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49"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48"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46"/>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9"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Modèle de données</w:t>
      </w:r>
    </w:p>
    <w:bookmarkStart w:id="65"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3" w:name="Xf875252aad1b3a425685d2837dfb16e5026bccf"/>
    <w:p>
      <w:pPr>
        <w:pStyle w:val="berschrift3"/>
      </w:pPr>
      <w:r>
        <w:t xml:space="preserve">3.1.1 Aperçu</w:t>
      </w:r>
    </w:p>
    <w:p>
      <w:pPr>
        <w:pStyle w:val="DefinitionTerm"/>
      </w:pPr>
      <w:r>
        <w:t xml:space="preserve">IRI</w:t>
      </w:r>
    </w:p>
    <w:p>
      <w:pPr>
        <w:pStyle w:val="Definition"/>
      </w:pPr>
      <w:hyperlink r:id="rId61">
        <w:r>
          <w:rPr>
            <w:rStyle w:val="Hyperlink"/>
          </w:rPr>
          <w:t xml:space="preserve">https://agriculture.ld.admin.ch/eCH-1234/2/PostalAddressShape</w:t>
        </w:r>
      </w:hyperlink>
    </w:p>
    <w:p>
      <w:pPr>
        <w:pStyle w:val="DefinitionTerm"/>
      </w:pPr>
      <w:r>
        <w:t xml:space="preserve">Classe cible</w:t>
      </w:r>
    </w:p>
    <w:p>
      <w:pPr>
        <w:pStyle w:val="Definition"/>
      </w:pPr>
      <w:r>
        <w:rPr>
          <w:rStyle w:val="VerbatimChar"/>
        </w:rPr>
        <w:t xml:space="preserve">schema:PostalAddress</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Open data</w:t>
      </w:r>
    </w:p>
    <w:p>
      <w:pPr>
        <w:pStyle w:val="Definition"/>
      </w:pPr>
      <w:r>
        <w:t xml:space="preserve">Oui (</w:t>
      </w:r>
      <w:hyperlink r:id="rId62">
        <w:r>
          <w:rPr>
            <w:rStyle w:val="Hyperlink"/>
          </w:rPr>
          <w:t xml:space="preserve">publiées sur LINDAS</w:t>
        </w:r>
      </w:hyperlink>
      <w:r>
        <w:t xml:space="preserve">)</w:t>
      </w:r>
    </w:p>
    <w:bookmarkEnd w:id="63"/>
    <w:bookmarkStart w:id="64" w:name="X94841f346bc9e44ac9d6b39aeccedc95e7957c8"/>
    <w:p>
      <w:pPr>
        <w:pStyle w:val="berschrift3"/>
      </w:pPr>
      <w:r>
        <w:t xml:space="preserve">3.1.2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r>
              <w:rPr>
                <w:rStyle w:val="VerbatimChar"/>
              </w:rPr>
              <w:t xml:space="preserve">schema:streetAddress</w:t>
            </w:r>
            <w:r>
              <w:t xml:space="preserve">)</w:t>
            </w:r>
          </w:p>
        </w:tc>
        <w:tc>
          <w:tcPr/>
          <w:p>
            <w:pPr>
              <w:pStyle w:val="Compact"/>
              <w:numPr>
                <w:ilvl w:val="0"/>
                <w:numId w:val="1004"/>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r>
              <w:rPr>
                <w:rStyle w:val="VerbatimChar"/>
              </w:rPr>
              <w:t xml:space="preserve">schema:postalCode</w:t>
            </w:r>
            <w:r>
              <w:t xml:space="preserve">):</w:t>
            </w:r>
            <w:r>
              <w:t xml:space="preserve"> </w:t>
            </w:r>
            <w:r>
              <w:t xml:space="preserve">Lettres, chiffres, espaces et traits</w:t>
            </w:r>
            <w:r>
              <w:t xml:space="preserve"> </w:t>
            </w:r>
            <w:r>
              <w:t xml:space="preserve">d’union, de deux à dix caractères.</w:t>
            </w:r>
          </w:p>
        </w:tc>
        <w:tc>
          <w:tcPr/>
          <w:p>
            <w:pPr>
              <w:pStyle w:val="Compact"/>
              <w:numPr>
                <w:ilvl w:val="0"/>
                <w:numId w:val="1005"/>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r>
              <w:rPr>
                <w:rStyle w:val="VerbatimChar"/>
              </w:rPr>
              <w:t xml:space="preserve">schema:addressLocality</w:t>
            </w:r>
            <w:r>
              <w:t xml:space="preserve">):</w:t>
            </w:r>
            <w:r>
              <w:t xml:space="preserve"> </w:t>
            </w:r>
            <w:r>
              <w:t xml:space="preserve">Chaque adresse requiert exactement une</w:t>
            </w:r>
            <w:r>
              <w:t xml:space="preserve"> </w:t>
            </w:r>
            <w:r>
              <w:t xml:space="preserve">localité.</w:t>
            </w:r>
          </w:p>
        </w:tc>
        <w:tc>
          <w:tcPr/>
          <w:p>
            <w:pPr>
              <w:pStyle w:val="Compact"/>
              <w:numPr>
                <w:ilvl w:val="0"/>
                <w:numId w:val="1006"/>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r>
              <w:rPr>
                <w:rStyle w:val="VerbatimChar"/>
              </w:rPr>
              <w:t xml:space="preserve">schema:addressRegion</w:t>
            </w:r>
            <w:r>
              <w:t xml:space="preserve">):</w:t>
            </w:r>
            <w:r>
              <w:t xml:space="preserve"> </w:t>
            </w:r>
            <w:r>
              <w:t xml:space="preserve">Canton, État ou province, lorsque c’est</w:t>
            </w:r>
            <w:r>
              <w:t xml:space="preserve"> </w:t>
            </w:r>
            <w:r>
              <w:t xml:space="preserve">l’usage dans le pays.</w:t>
            </w:r>
          </w:p>
        </w:tc>
        <w:tc>
          <w:tcPr/>
          <w:p>
            <w:pPr>
              <w:pStyle w:val="Compact"/>
              <w:numPr>
                <w:ilvl w:val="0"/>
                <w:numId w:val="1007"/>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r>
              <w:rPr>
                <w:rStyle w:val="VerbatimChar"/>
              </w:rPr>
              <w:t xml:space="preserve">schema:addressCountry</w:t>
            </w:r>
            <w:r>
              <w:t xml:space="preserve">): Pays</w:t>
            </w:r>
            <w:r>
              <w:t xml:space="preserve"> </w:t>
            </w:r>
            <w:r>
              <w:t xml:space="preserve">sous forme d’IRI tirée de la liste des</w:t>
            </w:r>
            <w:r>
              <w:t xml:space="preserve"> </w:t>
            </w:r>
            <w:r>
              <w:t xml:space="preserve">pays des Archives fédérales sur LINDAS</w:t>
            </w:r>
            <w:r>
              <w:t xml:space="preserve"> </w:t>
            </w:r>
            <w:r>
              <w:t xml:space="preserve">(ISO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64"/>
    <w:bookmarkEnd w:id="65"/>
    <w:bookmarkStart w:id="70" w:name="sec-nodeshape-musicalbumshape"/>
    <w:p>
      <w:pPr>
        <w:pStyle w:val="berschrift2"/>
      </w:pPr>
      <w:r>
        <w:t xml:space="preserve">3.2 Album de musique</w:t>
      </w:r>
    </w:p>
    <w:p>
      <w:pPr>
        <w:pStyle w:val="FirstParagraph"/>
      </w:pPr>
      <w:r>
        <w:t xml:space="preserve">Une collection de pistes dans le jeu de données Chinook.</w:t>
      </w:r>
    </w:p>
    <w:bookmarkStart w:id="68" w:name="sec-nodeshape-musicalbumshape-overview"/>
    <w:p>
      <w:pPr>
        <w:pStyle w:val="berschrift3"/>
      </w:pPr>
      <w:r>
        <w:t xml:space="preserve">3.2.1 Aperçu</w:t>
      </w:r>
    </w:p>
    <w:p>
      <w:pPr>
        <w:pStyle w:val="DefinitionTerm"/>
      </w:pPr>
      <w:r>
        <w:t xml:space="preserve">IRI</w:t>
      </w:r>
    </w:p>
    <w:p>
      <w:pPr>
        <w:pStyle w:val="Definition"/>
      </w:pPr>
      <w:hyperlink r:id="rId66">
        <w:r>
          <w:rPr>
            <w:rStyle w:val="Hyperlink"/>
          </w:rPr>
          <w:t xml:space="preserve">https://agriculture.ld.admin.ch/eCH-1234/2/MusicAlbumShape</w:t>
        </w:r>
      </w:hyperlink>
    </w:p>
    <w:p>
      <w:pPr>
        <w:pStyle w:val="DefinitionTerm"/>
      </w:pPr>
      <w:r>
        <w:t xml:space="preserve">Classe cible</w:t>
      </w:r>
    </w:p>
    <w:p>
      <w:pPr>
        <w:pStyle w:val="Definition"/>
      </w:pPr>
      <w:r>
        <w:rPr>
          <w:rStyle w:val="VerbatimChar"/>
        </w:rPr>
        <w:t xml:space="preserve">schema:MusicAlbum</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Open data</w:t>
      </w:r>
    </w:p>
    <w:p>
      <w:pPr>
        <w:pStyle w:val="Definition"/>
      </w:pPr>
      <w:r>
        <w:t xml:space="preserve">Oui (</w:t>
      </w:r>
      <w:hyperlink r:id="rId67">
        <w:r>
          <w:rPr>
            <w:rStyle w:val="Hyperlink"/>
          </w:rPr>
          <w:t xml:space="preserve">publiées sur LINDAS</w:t>
        </w:r>
      </w:hyperlink>
      <w:r>
        <w:t xml:space="preserve">)</w:t>
      </w:r>
    </w:p>
    <w:bookmarkEnd w:id="68"/>
    <w:bookmarkStart w:id="69" w:name="sec-nodeshape-musicalbumshape-properties"/>
    <w:p>
      <w:pPr>
        <w:pStyle w:val="berschrift3"/>
      </w:pPr>
      <w:r>
        <w:t xml:space="preserve">3.2.2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album</w:t>
            </w:r>
            <w:r>
              <w:t xml:space="preserve"> </w:t>
            </w:r>
            <w:r>
              <w:t xml:space="preserve">doit avoir un nom.</w:t>
            </w:r>
          </w:p>
        </w:tc>
        <w:tc>
          <w:tcPr/>
          <w:p>
            <w:pPr>
              <w:pStyle w:val="Compact"/>
              <w:numPr>
                <w:ilvl w:val="0"/>
                <w:numId w:val="1009"/>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r>
              <w:rPr>
                <w:rStyle w:val="VerbatimChar"/>
              </w:rPr>
              <w:t xml:space="preserve">schema:byArtist</w:t>
            </w:r>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schema:MusicGroup</w:t>
            </w:r>
          </w:p>
        </w:tc>
        <w:tc>
          <w:tcPr/>
          <w:p>
            <w:pPr>
              <w:pStyle w:val="Compact"/>
              <w:jc w:val="right"/>
            </w:pPr>
            <w:r>
              <w:t xml:space="preserve">0..*</w:t>
            </w:r>
          </w:p>
        </w:tc>
      </w:tr>
    </w:tbl>
    <w:bookmarkEnd w:id="69"/>
    <w:bookmarkEnd w:id="70"/>
    <w:bookmarkStart w:id="75" w:name="sec-nodeshape-trackshape"/>
    <w:p>
      <w:pPr>
        <w:pStyle w:val="berschrift2"/>
      </w:pPr>
      <w:r>
        <w:t xml:space="preserve">3.3 Enregistrement musical</w:t>
      </w:r>
    </w:p>
    <w:p>
      <w:pPr>
        <w:pStyle w:val="FirstParagraph"/>
      </w:pPr>
      <w:r>
        <w:t xml:space="preserve">Une piste musicale unique dans le jeu de données Chinook.</w:t>
      </w:r>
    </w:p>
    <w:bookmarkStart w:id="73" w:name="sec-nodeshape-trackshape-overview"/>
    <w:p>
      <w:pPr>
        <w:pStyle w:val="berschrift3"/>
      </w:pPr>
      <w:r>
        <w:t xml:space="preserve">3.3.1 Aperçu</w:t>
      </w:r>
    </w:p>
    <w:p>
      <w:pPr>
        <w:pStyle w:val="DefinitionTerm"/>
      </w:pPr>
      <w:r>
        <w:t xml:space="preserve">IRI</w:t>
      </w:r>
    </w:p>
    <w:p>
      <w:pPr>
        <w:pStyle w:val="Definition"/>
      </w:pPr>
      <w:hyperlink r:id="rId71">
        <w:r>
          <w:rPr>
            <w:rStyle w:val="Hyperlink"/>
          </w:rPr>
          <w:t xml:space="preserve">https://agriculture.ld.admin.ch/eCH-1234/2/TrackShape</w:t>
        </w:r>
      </w:hyperlink>
    </w:p>
    <w:p>
      <w:pPr>
        <w:pStyle w:val="DefinitionTerm"/>
      </w:pPr>
      <w:r>
        <w:t xml:space="preserve">Classe cible</w:t>
      </w:r>
    </w:p>
    <w:p>
      <w:pPr>
        <w:pStyle w:val="Definition"/>
      </w:pPr>
      <w:r>
        <w:rPr>
          <w:rStyle w:val="VerbatimChar"/>
        </w:rPr>
        <w:t xml:space="preserve">schema:MusicRecording</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Open data</w:t>
      </w:r>
    </w:p>
    <w:p>
      <w:pPr>
        <w:pStyle w:val="Definition"/>
      </w:pPr>
      <w:r>
        <w:t xml:space="preserve">Oui (</w:t>
      </w:r>
      <w:hyperlink r:id="rId72">
        <w:r>
          <w:rPr>
            <w:rStyle w:val="Hyperlink"/>
          </w:rPr>
          <w:t xml:space="preserve">publiées sur LINDAS</w:t>
        </w:r>
      </w:hyperlink>
      <w:r>
        <w:t xml:space="preserve">)</w:t>
      </w:r>
    </w:p>
    <w:bookmarkEnd w:id="73"/>
    <w:bookmarkStart w:id="74" w:name="sec-nodeshape-trackshape-properties"/>
    <w:p>
      <w:pPr>
        <w:pStyle w:val="berschrift3"/>
      </w:pPr>
      <w:r>
        <w:t xml:space="preserve">3.3.2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piste</w:t>
            </w:r>
            <w:r>
              <w:t xml:space="preserve"> </w:t>
            </w:r>
            <w:r>
              <w:t xml:space="preserve">doit avoir un nom.</w:t>
            </w:r>
          </w:p>
        </w:tc>
        <w:tc>
          <w:tcPr/>
          <w:p>
            <w:pPr>
              <w:pStyle w:val="Compact"/>
              <w:numPr>
                <w:ilvl w:val="0"/>
                <w:numId w:val="1011"/>
              </w:numPr>
              <w:jc w:val="left"/>
            </w:pPr>
            <w:r>
              <w:t xml:space="preserve">Type: Chaîne de caractères (</w:t>
            </w:r>
            <w:r>
              <w:rPr>
                <w:rStyle w:val="VerbatimChar"/>
              </w:rPr>
              <w:t xml:space="preserve">xsd:string</w:t>
            </w:r>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r>
              <w:rPr>
                <w:rStyle w:val="VerbatimChar"/>
              </w:rPr>
              <w:t xml:space="preserve">schema:inAlbum</w:t>
            </w:r>
            <w:r>
              <w:t xml:space="preserve">): Une</w:t>
            </w:r>
            <w:r>
              <w:t xml:space="preserve"> </w:t>
            </w:r>
            <w:r>
              <w:t xml:space="preserve">piste ne peut appartenir qu’à un</w:t>
            </w:r>
            <w:r>
              <w:t xml:space="preserve"> </w:t>
            </w:r>
            <w:r>
              <w:t xml:space="preserve">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r>
              <w:rPr>
                <w:rStyle w:val="VerbatimChar"/>
              </w:rPr>
              <w:t xml:space="preserve">schema:author</w:t>
            </w:r>
            <w:r>
              <w:t xml:space="preserve">): La</w:t>
            </w:r>
            <w:r>
              <w:t xml:space="preserve"> </w:t>
            </w:r>
            <w:r>
              <w:t xml:space="preserve">personne ou le groupe qui a écrit la</w:t>
            </w:r>
            <w:r>
              <w:t xml:space="preserve"> </w:t>
            </w:r>
            <w:r>
              <w:t xml:space="preserve">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r>
              <w:rPr>
                <w:rStyle w:val="VerbatimChar"/>
              </w:rPr>
              <w:t xml:space="preserve">schema:duration</w:t>
            </w:r>
            <w:r>
              <w:t xml:space="preserve">): La durée</w:t>
            </w:r>
            <w:r>
              <w:t xml:space="preserve"> </w:t>
            </w:r>
            <w:r>
              <w:t xml:space="preserve">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r>
              <w:rPr>
                <w:rStyle w:val="VerbatimChar"/>
              </w:rPr>
              <w:t xml:space="preserve">schema:contentSize</w:t>
            </w:r>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74"/>
    <w:bookmarkEnd w:id="75"/>
    <w:bookmarkStart w:id="83"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78" w:name="sec-nodeshape-invoiceshape-overview"/>
    <w:p>
      <w:pPr>
        <w:pStyle w:val="berschrift3"/>
      </w:pPr>
      <w:r>
        <w:t xml:space="preserve">3.4.1 Aperçu</w:t>
      </w:r>
    </w:p>
    <w:p>
      <w:pPr>
        <w:pStyle w:val="DefinitionTerm"/>
      </w:pPr>
      <w:r>
        <w:t xml:space="preserve">IRI</w:t>
      </w:r>
    </w:p>
    <w:p>
      <w:pPr>
        <w:pStyle w:val="Definition"/>
      </w:pPr>
      <w:hyperlink r:id="rId76">
        <w:r>
          <w:rPr>
            <w:rStyle w:val="Hyperlink"/>
          </w:rPr>
          <w:t xml:space="preserve">https://agriculture.ld.admin.ch/eCH-1234/2/InvoiceShape</w:t>
        </w:r>
      </w:hyperlink>
    </w:p>
    <w:p>
      <w:pPr>
        <w:pStyle w:val="DefinitionTerm"/>
      </w:pPr>
      <w:r>
        <w:t xml:space="preserve">Classe cible</w:t>
      </w:r>
    </w:p>
    <w:p>
      <w:pPr>
        <w:pStyle w:val="Definition"/>
      </w:pPr>
      <w:r>
        <w:rPr>
          <w:rStyle w:val="VerbatimChar"/>
        </w:rPr>
        <w:t xml:space="preserve">schema:Invoice</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Open data</w:t>
      </w:r>
    </w:p>
    <w:p>
      <w:pPr>
        <w:pStyle w:val="Definition"/>
      </w:pPr>
      <w:r>
        <w:t xml:space="preserve">Oui (</w:t>
      </w:r>
      <w:hyperlink r:id="rId77">
        <w:r>
          <w:rPr>
            <w:rStyle w:val="Hyperlink"/>
          </w:rPr>
          <w:t xml:space="preserve">publiées sur LINDAS</w:t>
        </w:r>
      </w:hyperlink>
      <w:r>
        <w:t xml:space="preserve">)</w:t>
      </w:r>
    </w:p>
    <w:bookmarkEnd w:id="78"/>
    <w:bookmarkStart w:id="79" w:name="sec-nodeshape-invoiceshape-properties"/>
    <w:p>
      <w:pPr>
        <w:pStyle w:val="berschrift3"/>
      </w:pPr>
      <w:r>
        <w:t xml:space="preserve">3.4.2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r>
              <w:rPr>
                <w:rStyle w:val="VerbatimChar"/>
              </w:rPr>
              <w:t xml:space="preserve">schema:customer</w:t>
            </w:r>
            <w:r>
              <w:t xml:space="preserve">): Une</w:t>
            </w:r>
            <w:r>
              <w:t xml:space="preserve"> </w:t>
            </w:r>
            <w:r>
              <w:t xml:space="preserve">facture doit être liée à exactement un</w:t>
            </w:r>
            <w:r>
              <w:t xml:space="preserve"> </w:t>
            </w:r>
            <w:r>
              <w:t xml:space="preserve">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r>
              <w:rPr>
                <w:rStyle w:val="VerbatimChar"/>
              </w:rPr>
              <w:t xml:space="preserve">schema:totalPaymentDue</w:t>
            </w:r>
            <w:r>
              <w:t xml:space="preserve">): Une facture</w:t>
            </w:r>
            <w:r>
              <w:t xml:space="preserve"> </w:t>
            </w:r>
            <w:r>
              <w:t xml:space="preserve">doit définir un paiement total dû en</w:t>
            </w:r>
            <w:r>
              <w:t xml:space="preserve"> </w:t>
            </w:r>
            <w:r>
              <w:t xml:space="preserve">tant que 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r>
              <w:rPr>
                <w:rStyle w:val="VerbatimChar"/>
              </w:rPr>
              <w:t xml:space="preserve">schema:hasPart</w:t>
            </w:r>
            <w:r>
              <w:t xml:space="preserve">): Une</w:t>
            </w:r>
            <w:r>
              <w:t xml:space="preserve"> </w:t>
            </w:r>
            <w:r>
              <w:t xml:space="preserve">facture doit avoir au moins un article</w:t>
            </w:r>
            <w:r>
              <w:t xml:space="preserve"> </w:t>
            </w:r>
            <w:r>
              <w:t xml:space="preserve">(OrderItem).</w:t>
            </w:r>
          </w:p>
        </w:tc>
        <w:tc>
          <w:tcPr/>
          <w:p>
            <w:pPr>
              <w:pStyle w:val="Compact"/>
              <w:numPr>
                <w:ilvl w:val="0"/>
                <w:numId w:val="1018"/>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r>
              <w:rPr>
                <w:rStyle w:val="VerbatimChar"/>
              </w:rPr>
              <w:t xml:space="preserve">schema:dateCreated</w:t>
            </w:r>
            <w:r>
              <w:t xml:space="preserve">)</w:t>
            </w:r>
          </w:p>
        </w:tc>
        <w:tc>
          <w:tcPr/>
          <w:p>
            <w:pPr>
              <w:pStyle w:val="Compact"/>
              <w:numPr>
                <w:ilvl w:val="0"/>
                <w:numId w:val="1019"/>
              </w:numPr>
              <w:jc w:val="left"/>
            </w:pPr>
            <w:r>
              <w:t xml:space="preserve">Type: Date (</w:t>
            </w:r>
            <w:r>
              <w:rPr>
                <w:rStyle w:val="VerbatimChar"/>
              </w:rPr>
              <w:t xml:space="preserve">xsd:date</w:t>
            </w:r>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79"/>
    <w:bookmarkStart w:id="82" w:name="sec-nodeshape-invoiceshape-rules"/>
    <w:p>
      <w:pPr>
        <w:pStyle w:val="berschrift3"/>
      </w:pPr>
      <w:r>
        <w:t xml:space="preserve">3.4.3 Règles (SPARQL)</w:t>
      </w:r>
    </w:p>
    <w:bookmarkStart w:id="80"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0"/>
    <w:bookmarkStart w:id="81"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1"/>
    <w:bookmarkEnd w:id="82"/>
    <w:bookmarkEnd w:id="83"/>
    <w:bookmarkStart w:id="90" w:name="sec-nodeshape-genreshape"/>
    <w:p>
      <w:pPr>
        <w:pStyle w:val="berschrift2"/>
      </w:pPr>
      <w:r>
        <w:t xml:space="preserve">3.5 Genre</w:t>
      </w:r>
    </w:p>
    <w:p>
      <w:pPr>
        <w:pStyle w:val="FirstParagraph"/>
      </w:pPr>
      <w:r>
        <w:t xml:space="preserve">Une catégorie musicale dans le jeu de données Chinook.</w:t>
      </w:r>
    </w:p>
    <w:bookmarkStart w:id="86" w:name="sec-nodeshape-genreshape-overview"/>
    <w:p>
      <w:pPr>
        <w:pStyle w:val="berschrift3"/>
      </w:pPr>
      <w:r>
        <w:t xml:space="preserve">3.5.1 Aperçu</w:t>
      </w:r>
    </w:p>
    <w:p>
      <w:pPr>
        <w:pStyle w:val="DefinitionTerm"/>
      </w:pPr>
      <w:r>
        <w:t xml:space="preserve">IRI</w:t>
      </w:r>
    </w:p>
    <w:p>
      <w:pPr>
        <w:pStyle w:val="Definition"/>
      </w:pPr>
      <w:hyperlink r:id="rId84">
        <w:r>
          <w:rPr>
            <w:rStyle w:val="Hyperlink"/>
          </w:rPr>
          <w:t xml:space="preserve">https://agriculture.ld.admin.ch/eCH-1234/2/GenreShape</w:t>
        </w:r>
      </w:hyperlink>
    </w:p>
    <w:p>
      <w:pPr>
        <w:pStyle w:val="DefinitionTerm"/>
      </w:pPr>
      <w:r>
        <w:t xml:space="preserve">Classe cible</w:t>
      </w:r>
    </w:p>
    <w:p>
      <w:pPr>
        <w:pStyle w:val="Definition"/>
      </w:pPr>
      <w:r>
        <w:rPr>
          <w:rStyle w:val="VerbatimChar"/>
        </w:rPr>
        <w:t xml:space="preserve">:Genre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Open data</w:t>
      </w:r>
    </w:p>
    <w:p>
      <w:pPr>
        <w:pStyle w:val="Definition"/>
      </w:pPr>
      <w:r>
        <w:t xml:space="preserve">Oui (</w:t>
      </w:r>
      <w:hyperlink r:id="rId85">
        <w:r>
          <w:rPr>
            <w:rStyle w:val="Hyperlink"/>
          </w:rPr>
          <w:t xml:space="preserve">publiées sur LINDAS</w:t>
        </w:r>
      </w:hyperlink>
      <w:r>
        <w:t xml:space="preserve">)</w:t>
      </w:r>
    </w:p>
    <w:bookmarkEnd w:id="86"/>
    <w:bookmarkStart w:id="87" w:name="sec-nodeshape-genreshape-properties"/>
    <w:p>
      <w:pPr>
        <w:pStyle w:val="berschrift3"/>
      </w:pPr>
      <w:r>
        <w:t xml:space="preserve">3.5.2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w:t>
            </w:r>
          </w:p>
        </w:tc>
        <w:tc>
          <w:tcPr/>
          <w:p>
            <w:pPr>
              <w:pStyle w:val="Compact"/>
              <w:numPr>
                <w:ilvl w:val="0"/>
                <w:numId w:val="1020"/>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r>
              <w:rPr>
                <w:rStyle w:val="VerbatimChar"/>
              </w:rPr>
              <w:t xml:space="preserve">schema:partOf</w:t>
            </w:r>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r>
              <w:rPr>
                <w:rStyle w:val="VerbatimChar"/>
              </w:rPr>
              <w:t xml:space="preserve">schema:alternateName</w:t>
            </w:r>
            <w:r>
              <w:t xml:space="preserve">): Dénomination</w:t>
            </w:r>
            <w:r>
              <w:t xml:space="preserve"> </w:t>
            </w:r>
            <w:r>
              <w:t xml:space="preserve">traduite ou familière du genre, au plus</w:t>
            </w:r>
            <w:r>
              <w:t xml:space="preserve"> </w:t>
            </w:r>
            <w:r>
              <w:t xml:space="preserve">une par langue.</w:t>
            </w:r>
          </w:p>
        </w:tc>
        <w:tc>
          <w:tcPr/>
          <w:p>
            <w:pPr>
              <w:pStyle w:val="Compact"/>
              <w:numPr>
                <w:ilvl w:val="0"/>
                <w:numId w:val="1022"/>
              </w:numPr>
              <w:jc w:val="left"/>
            </w:pPr>
            <w:r>
              <w:t xml:space="preserve">Type: Texte avec indication de langue</w:t>
            </w:r>
            <w:r>
              <w:t xml:space="preserve"> </w:t>
            </w:r>
            <w:r>
              <w:t xml:space="preserve">(</w:t>
            </w:r>
            <w:r>
              <w:rPr>
                <w:rStyle w:val="VerbatimChar"/>
              </w:rPr>
              <w:t xml:space="preserve">rdf:langString</w:t>
            </w:r>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w:t>
            </w:r>
            <w:r>
              <w:t xml:space="preserve"> </w:t>
            </w:r>
            <w:r>
              <w:t xml:space="preserve">langue)</w:t>
            </w:r>
          </w:p>
        </w:tc>
        <w:tc>
          <w:tcPr/>
          <w:p>
            <w:pPr>
              <w:pStyle w:val="Compact"/>
              <w:jc w:val="right"/>
            </w:pPr>
            <w:r>
              <w:t xml:space="preserve">0..*</w:t>
            </w:r>
          </w:p>
        </w:tc>
      </w:tr>
    </w:tbl>
    <w:bookmarkEnd w:id="87"/>
    <w:bookmarkStart w:id="89" w:name="sec-nodeshape-genreshape-rules"/>
    <w:p>
      <w:pPr>
        <w:pStyle w:val="berschrift3"/>
      </w:pPr>
      <w:r>
        <w:t xml:space="preserve">3.5.3 Règles (SPARQL)</w:t>
      </w:r>
    </w:p>
    <w:bookmarkStart w:id="88"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88"/>
    <w:bookmarkEnd w:id="89"/>
    <w:bookmarkEnd w:id="90"/>
    <w:bookmarkStart w:id="94" w:name="sec-nodeshape-organisationshape"/>
    <w:p>
      <w:pPr>
        <w:pStyle w:val="berschrift2"/>
      </w:pPr>
      <w:r>
        <w:t xml:space="preserve">3.6 Organisation</w:t>
      </w:r>
    </w:p>
    <w:p>
      <w:pPr>
        <w:pStyle w:val="FirstParagraph"/>
      </w:pPr>
      <w:r>
        <w:t xml:space="preserve">Une entreprise ou organisation dans le jeu de données Chinook.</w:t>
      </w:r>
    </w:p>
    <w:bookmarkStart w:id="92" w:name="sec-nodeshape-organisationshape-overview"/>
    <w:p>
      <w:pPr>
        <w:pStyle w:val="berschrift3"/>
      </w:pPr>
      <w:r>
        <w:t xml:space="preserve">3.6.1 Aperçu</w:t>
      </w:r>
    </w:p>
    <w:p>
      <w:pPr>
        <w:pStyle w:val="DefinitionTerm"/>
      </w:pPr>
      <w:r>
        <w:t xml:space="preserve">IRI</w:t>
      </w:r>
    </w:p>
    <w:p>
      <w:pPr>
        <w:pStyle w:val="Definition"/>
      </w:pPr>
      <w:hyperlink r:id="rId91">
        <w:r>
          <w:rPr>
            <w:rStyle w:val="Hyperlink"/>
          </w:rPr>
          <w:t xml:space="preserve">https://agriculture.ld.admin.ch/eCH-1234/2/OrganisationShape</w:t>
        </w:r>
      </w:hyperlink>
    </w:p>
    <w:p>
      <w:pPr>
        <w:pStyle w:val="DefinitionTerm"/>
      </w:pPr>
      <w:r>
        <w:t xml:space="preserve">Classe cible</w:t>
      </w:r>
    </w:p>
    <w:p>
      <w:pPr>
        <w:pStyle w:val="Definition"/>
      </w:pPr>
      <w:r>
        <w:rPr>
          <w:rStyle w:val="VerbatimChar"/>
        </w:rPr>
        <w:t xml:space="preserve">schema:Organisation</w:t>
      </w:r>
    </w:p>
    <w:p>
      <w:pPr>
        <w:pStyle w:val="DefinitionTerm"/>
      </w:pPr>
      <w:r>
        <w:t xml:space="preserve">Fermée</w:t>
      </w:r>
    </w:p>
    <w:p>
      <w:pPr>
        <w:pStyle w:val="Definition"/>
      </w:pPr>
      <w:r>
        <w:t xml:space="preserve">Non (d’autres propriétés sont admises)</w:t>
      </w:r>
    </w:p>
    <w:p>
      <w:pPr>
        <w:pStyle w:val="DefinitionTerm"/>
      </w:pPr>
      <w:r>
        <w:t xml:space="preserve">Open data</w:t>
      </w:r>
    </w:p>
    <w:p>
      <w:pPr>
        <w:pStyle w:val="Definition"/>
      </w:pPr>
      <w:r>
        <w:t xml:space="preserve">Non (données transactionnelles, ne faisant pas partie du graphe publié)</w:t>
      </w:r>
    </w:p>
    <w:bookmarkEnd w:id="92"/>
    <w:bookmarkStart w:id="93" w:name="X694231572673875c8b98e55f859590bf822fedc"/>
    <w:p>
      <w:pPr>
        <w:pStyle w:val="berschrift3"/>
      </w:pPr>
      <w:r>
        <w:t xml:space="preserve">3.6.2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w:t>
            </w:r>
            <w:r>
              <w:t xml:space="preserve"> </w:t>
            </w:r>
            <w:r>
              <w:t xml:space="preserve">organisation doit avoir un nom.</w:t>
            </w:r>
          </w:p>
        </w:tc>
        <w:tc>
          <w:tcPr/>
          <w:p>
            <w:pPr>
              <w:pStyle w:val="Compact"/>
              <w:numPr>
                <w:ilvl w:val="0"/>
                <w:numId w:val="1023"/>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93"/>
    <w:bookmarkEnd w:id="94"/>
    <w:bookmarkStart w:id="10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97" w:name="sec-nodeshape-personshape-overview"/>
    <w:p>
      <w:pPr>
        <w:pStyle w:val="berschrift3"/>
      </w:pPr>
      <w:r>
        <w:t xml:space="preserve">3.7.1 Aperçu</w:t>
      </w:r>
    </w:p>
    <w:p>
      <w:pPr>
        <w:pStyle w:val="DefinitionTerm"/>
      </w:pPr>
      <w:r>
        <w:t xml:space="preserve">IRI</w:t>
      </w:r>
    </w:p>
    <w:p>
      <w:pPr>
        <w:pStyle w:val="Definition"/>
      </w:pPr>
      <w:hyperlink r:id="rId95">
        <w:r>
          <w:rPr>
            <w:rStyle w:val="Hyperlink"/>
          </w:rPr>
          <w:t xml:space="preserve">https://agriculture.ld.admin.ch/eCH-1234/2/PersonShape</w:t>
        </w:r>
      </w:hyperlink>
    </w:p>
    <w:p>
      <w:pPr>
        <w:pStyle w:val="DefinitionTerm"/>
      </w:pPr>
      <w:r>
        <w:t xml:space="preserve">Classe cible</w:t>
      </w:r>
    </w:p>
    <w:p>
      <w:pPr>
        <w:pStyle w:val="Definition"/>
      </w:pPr>
      <w:r>
        <w:rPr>
          <w:rStyle w:val="VerbatimChar"/>
        </w:rPr>
        <w:t xml:space="preserve">schema:Person</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Open data</w:t>
      </w:r>
    </w:p>
    <w:p>
      <w:pPr>
        <w:pStyle w:val="Definition"/>
      </w:pPr>
      <w:r>
        <w:t xml:space="preserve">Oui (</w:t>
      </w:r>
      <w:hyperlink r:id="rId96">
        <w:r>
          <w:rPr>
            <w:rStyle w:val="Hyperlink"/>
          </w:rPr>
          <w:t xml:space="preserve">publiées sur LINDAS</w:t>
        </w:r>
      </w:hyperlink>
      <w:r>
        <w:t xml:space="preserve">)</w:t>
      </w:r>
    </w:p>
    <w:bookmarkEnd w:id="97"/>
    <w:bookmarkStart w:id="98" w:name="sec-nodeshape-personshape-properties"/>
    <w:p>
      <w:pPr>
        <w:pStyle w:val="berschrift3"/>
      </w:pPr>
      <w:r>
        <w:t xml:space="preserve">3.7.2 Propriétés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r>
              <w:rPr>
                <w:rStyle w:val="VerbatimChar"/>
              </w:rPr>
              <w:t xml:space="preserve">schema:givenName</w:t>
            </w:r>
            <w:r>
              <w:t xml:space="preserve">): Chaque</w:t>
            </w:r>
            <w:r>
              <w:t xml:space="preserve"> </w:t>
            </w:r>
            <w:r>
              <w:t xml:space="preserve">personne doit avoir un prénom.</w:t>
            </w:r>
          </w:p>
        </w:tc>
        <w:tc>
          <w:tcPr/>
          <w:p>
            <w:pPr>
              <w:pStyle w:val="Compact"/>
              <w:numPr>
                <w:ilvl w:val="0"/>
                <w:numId w:val="1024"/>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r>
              <w:rPr>
                <w:rStyle w:val="VerbatimChar"/>
              </w:rPr>
              <w:t xml:space="preserve">schema:familyName</w:t>
            </w:r>
            <w:r>
              <w:t xml:space="preserve">): Chaque personne</w:t>
            </w:r>
            <w:r>
              <w:t xml:space="preserve"> </w:t>
            </w:r>
            <w:r>
              <w:t xml:space="preserve">doit avoir un nom de famille.</w:t>
            </w:r>
          </w:p>
        </w:tc>
        <w:tc>
          <w:tcPr/>
          <w:p>
            <w:pPr>
              <w:pStyle w:val="Compact"/>
              <w:numPr>
                <w:ilvl w:val="0"/>
                <w:numId w:val="1025"/>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r>
              <w:rPr>
                <w:rStyle w:val="VerbatimChar"/>
              </w:rPr>
              <w:t xml:space="preserve">schema:email</w:t>
            </w:r>
            <w:r>
              <w:t xml:space="preserve">): Si</w:t>
            </w:r>
            <w:r>
              <w:t xml:space="preserve"> </w:t>
            </w:r>
            <w:r>
              <w:t xml:space="preserve">une adresse e-mail est fournie, elle</w:t>
            </w:r>
            <w:r>
              <w:t xml:space="preserve"> </w:t>
            </w:r>
            <w:r>
              <w:t xml:space="preserve">doit respecter un format standard.</w:t>
            </w:r>
          </w:p>
        </w:tc>
        <w:tc>
          <w:tcPr/>
          <w:p>
            <w:pPr>
              <w:pStyle w:val="Compact"/>
              <w:numPr>
                <w:ilvl w:val="0"/>
                <w:numId w:val="1026"/>
              </w:numPr>
              <w:jc w:val="left"/>
            </w:pPr>
            <w:r>
              <w:t xml:space="preserve">Type: Chaîne de caractères (</w:t>
            </w:r>
            <w:r>
              <w:rPr>
                <w:rStyle w:val="VerbatimChar"/>
              </w:rPr>
              <w:t xml:space="preserve">xsd:string</w:t>
            </w:r>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r>
              <w:rPr>
                <w:rStyle w:val="VerbatimChar"/>
              </w:rPr>
              <w:t xml:space="preserve">schema:birthDate</w:t>
            </w:r>
            <w:r>
              <w:t xml:space="preserve">): Une personne doit</w:t>
            </w:r>
            <w:r>
              <w:t xml:space="preserve"> </w:t>
            </w:r>
            <w:r>
              <w:t xml:space="preserve">avoir une date de naissance valide.</w:t>
            </w:r>
          </w:p>
        </w:tc>
        <w:tc>
          <w:tcPr/>
          <w:p>
            <w:pPr>
              <w:pStyle w:val="Compact"/>
              <w:numPr>
                <w:ilvl w:val="0"/>
                <w:numId w:val="1027"/>
              </w:numPr>
              <w:jc w:val="left"/>
            </w:pPr>
            <w:r>
              <w:t xml:space="preserve">Type: Date (</w:t>
            </w:r>
            <w:r>
              <w:rPr>
                <w:rStyle w:val="VerbatimChar"/>
              </w:rPr>
              <w:t xml:space="preserve">xsd:date</w:t>
            </w:r>
            <w:r>
              <w:t xml:space="preserve">)</w:t>
            </w:r>
          </w:p>
          <w:p>
            <w:pPr>
              <w:pStyle w:val="Compact"/>
              <w:numPr>
                <w:ilvl w:val="0"/>
                <w:numId w:val="1027"/>
              </w:numPr>
              <w:jc w:val="left"/>
            </w:pPr>
            <w:r>
              <w:t xml:space="preserve">Plage de valeurs: ≥ 1900-01-01, ≤</w:t>
            </w:r>
            <w:r>
              <w:t xml:space="preserve"> </w:t>
            </w:r>
            <w:r>
              <w:t xml:space="preserve">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r>
              <w:rPr>
                <w:rStyle w:val="VerbatimChar"/>
              </w:rPr>
              <w:t xml:space="preserve">schema:worksFor</w:t>
            </w:r>
            <w:r>
              <w:t xml:space="preserve">):</w:t>
            </w:r>
            <w:r>
              <w:t xml:space="preserve"> </w:t>
            </w:r>
            <w:r>
              <w:t xml:space="preserve">Un employé peut relever d’une autre</w:t>
            </w:r>
            <w:r>
              <w:t xml:space="preserve"> </w:t>
            </w:r>
            <w:r>
              <w:t xml:space="preserve">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r>
              <w:rPr>
                <w:rStyle w:val="VerbatimChar"/>
              </w:rPr>
              <w:t xml:space="preserve">schema:jobTitle</w:t>
            </w:r>
            <w:r>
              <w:t xml:space="preserve">)</w:t>
            </w:r>
          </w:p>
        </w:tc>
        <w:tc>
          <w:tcPr/>
          <w:p>
            <w:pPr>
              <w:pStyle w:val="Compact"/>
              <w:numPr>
                <w:ilvl w:val="0"/>
                <w:numId w:val="1030"/>
              </w:numPr>
              <w:jc w:val="left"/>
            </w:pPr>
            <w:r>
              <w:t xml:space="preserve">Type: Chaîne de caractères (</w:t>
            </w:r>
            <w:r>
              <w:rPr>
                <w:rStyle w:val="VerbatimChar"/>
              </w:rPr>
              <w:t xml:space="preserve">xsd:string</w:t>
            </w:r>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r>
              <w:rPr>
                <w:rStyle w:val="VerbatimChar"/>
              </w:rPr>
              <w:t xml:space="preserve">schema:knows</w:t>
            </w:r>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98"/>
    <w:bookmarkStart w:id="100" w:name="sec-nodeshape-personshape-rules"/>
    <w:p>
      <w:pPr>
        <w:pStyle w:val="berschrift3"/>
      </w:pPr>
      <w:r>
        <w:t xml:space="preserve">3.7.3 Règles (SPARQL)</w:t>
      </w:r>
    </w:p>
    <w:bookmarkStart w:id="9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9"/>
    <w:bookmarkEnd w:id="100"/>
    <w:bookmarkEnd w:id="101"/>
    <w:bookmarkStart w:id="106"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04" w:name="X78f593afbb200587db35193dab5ef366499966a"/>
    <w:p>
      <w:pPr>
        <w:pStyle w:val="berschrift3"/>
      </w:pPr>
      <w:r>
        <w:t xml:space="preserve">3.8.1 Aperçu</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Classe cible</w:t>
      </w:r>
    </w:p>
    <w:p>
      <w:pPr>
        <w:pStyle w:val="Definition"/>
      </w:pPr>
      <w:r>
        <w:rPr>
          <w:rStyle w:val="VerbatimChar"/>
        </w:rPr>
        <w:t xml:space="preserve">schema:QuantitativeValue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Open data</w:t>
      </w:r>
    </w:p>
    <w:p>
      <w:pPr>
        <w:pStyle w:val="Definition"/>
      </w:pPr>
      <w:r>
        <w:t xml:space="preserve">Oui (</w:t>
      </w:r>
      <w:hyperlink r:id="rId103">
        <w:r>
          <w:rPr>
            <w:rStyle w:val="Hyperlink"/>
          </w:rPr>
          <w:t xml:space="preserve">publiées sur LINDAS</w:t>
        </w:r>
      </w:hyperlink>
      <w:r>
        <w:t xml:space="preserve">)</w:t>
      </w:r>
    </w:p>
    <w:bookmarkEnd w:id="104"/>
    <w:bookmarkStart w:id="105" w:name="X2e1f3b536eb29ac285cf6217bf2fada750b5fc0"/>
    <w:p>
      <w:pPr>
        <w:pStyle w:val="berschrift3"/>
      </w:pPr>
      <w:r>
        <w:t xml:space="preserve">3.8.2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r>
              <w:rPr>
                <w:rStyle w:val="VerbatimChar"/>
              </w:rPr>
              <w:t xml:space="preserve">schema:value</w:t>
            </w:r>
            <w:r>
              <w:t xml:space="preserve">): Une valeur</w:t>
            </w:r>
            <w:r>
              <w:t xml:space="preserve"> </w:t>
            </w:r>
            <w:r>
              <w:t xml:space="preserve">quantitative doit avoir exactement une</w:t>
            </w:r>
            <w:r>
              <w:t xml:space="preserve"> </w:t>
            </w:r>
            <w:r>
              <w:t xml:space="preserve">valeur numérique.</w:t>
            </w:r>
          </w:p>
        </w:tc>
        <w:tc>
          <w:tcPr/>
          <w:p>
            <w:pPr>
              <w:pStyle w:val="Compact"/>
              <w:numPr>
                <w:ilvl w:val="0"/>
                <w:numId w:val="1032"/>
              </w:numPr>
              <w:jc w:val="left"/>
            </w:pPr>
            <w:r>
              <w:t xml:space="preserve">Type: Nombre décimal (</w:t>
            </w:r>
            <w:r>
              <w:rPr>
                <w:rStyle w:val="VerbatimChar"/>
              </w:rPr>
              <w:t xml:space="preserve">xsd:decimal</w:t>
            </w:r>
            <w:r>
              <w:t xml:space="preserve">) ou</w:t>
            </w:r>
            <w:r>
              <w:t xml:space="preserve"> </w:t>
            </w:r>
            <w:r>
              <w:t xml:space="preserve">Nombre entier (</w:t>
            </w:r>
            <w:r>
              <w:rPr>
                <w:rStyle w:val="VerbatimChar"/>
              </w:rPr>
              <w:t xml:space="preserve">xsd:integer</w:t>
            </w:r>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r>
              <w:rPr>
                <w:rStyle w:val="VerbatimChar"/>
              </w:rPr>
              <w:t xml:space="preserve">schema:unitCode</w:t>
            </w:r>
            <w:r>
              <w:t xml:space="preserve">):</w:t>
            </w:r>
            <w:r>
              <w:t xml:space="preserve"> </w:t>
            </w:r>
            <w:r>
              <w:t xml:space="preserve">Une valeur quantitative doit spécifier</w:t>
            </w:r>
            <w:r>
              <w:t xml:space="preserve"> </w:t>
            </w:r>
            <w:r>
              <w:t xml:space="preserve">son unité via une URI unitCode.</w:t>
            </w:r>
          </w:p>
        </w:tc>
        <w:tc>
          <w:tcPr/>
          <w:p>
            <w:pPr>
              <w:pStyle w:val="Compact"/>
              <w:numPr>
                <w:ilvl w:val="0"/>
                <w:numId w:val="1033"/>
              </w:numPr>
              <w:jc w:val="left"/>
            </w:pPr>
            <w:r>
              <w:t xml:space="preserve">Valeurs: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08">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10"/>
    <w:bookmarkStart w:id="111"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11"/>
    <w:bookmarkStart w:id="112"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12"/>
    <w:bookmarkStart w:id="142" w:name="sec-appendix-a"/>
    <w:p>
      <w:pPr>
        <w:pStyle w:val="berschrift1"/>
      </w:pPr>
      <w:r>
        <w:t xml:space="preserve">Annexe A – Références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43"/>
    <w:bookmarkStart w:id="146"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08">
        <w:r>
          <w:rPr>
            <w:rStyle w:val="Hyperlink"/>
          </w:rPr>
          <w:t xml:space="preserve">LINDAS</w:t>
        </w:r>
      </w:hyperlink>
      <w:r>
        <w:t xml:space="preserve"> </w:t>
      </w:r>
      <w:r>
        <w:t xml:space="preserve">et dans le</w:t>
      </w:r>
      <w:r>
        <w:t xml:space="preserve"> </w:t>
      </w:r>
      <w:hyperlink r:id="rId144">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45"/>
          <w:p/>
        </w:tc>
      </w:tr>
    </w:tbl>
    <w:bookmarkEnd w:id="146"/>
    <w:bookmarkStart w:id="148"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47">
        <w:r>
          <w:rPr>
            <w:rStyle w:val="Hyperlink"/>
          </w:rPr>
          <w:t xml:space="preserve">releases sur GitHub</w:t>
        </w:r>
      </w:hyperlink>
      <w:r>
        <w:t xml:space="preserve">.</w:t>
      </w:r>
    </w:p>
    <w:bookmarkEnd w:id="148"/>
    <w:bookmarkStart w:id="149" w:name="sec-appendix-e"/>
    <w:p>
      <w:pPr>
        <w:pStyle w:val="berschrift1"/>
      </w:pPr>
      <w:r>
        <w:t xml:space="preserve">Annexe E – Table des illustrations</w:t>
      </w:r>
    </w:p>
    <w:bookmarkEnd w:id="149"/>
    <w:bookmarkStart w:id="150" w:name="sec-appendix-f"/>
    <w:p>
      <w:pPr>
        <w:pStyle w:val="berschrift1"/>
      </w:pPr>
      <w:r>
        <w:t xml:space="preserve">Annexe F – Liste des tableaux</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2026-10-07T10:27:24Z</dcterms:created>
  <dcterms:modified xsi:type="dcterms:W3CDTF">2026-10-07T10:27:24Z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