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Quarto-Dokument als Vorlage</w:t>
      </w:r>
    </w:p>
    <w:p>
      <w:pPr>
        <w:pStyle w:val="Date"/>
      </w:pPr>
      <w:r>
        <w:t xml:space="preserve">2026-10-01</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54"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beziehungsweise im Expertenausschuss zugelassen.</w:t>
      </w:r>
    </w:p>
    <w:bookmarkEnd w:id="26"/>
    <w:bookmarkStart w:id="27"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7"/>
    <w:bookmarkStart w:id="33" w:name="sec-example-subheading"/>
    <w:p>
      <w:pPr>
        <w:pStyle w:val="berschrift2"/>
      </w:pPr>
      <w:r>
        <w:t xml:space="preserve">1.3 Wir können Untertitel haben</w:t>
      </w:r>
    </w:p>
    <w:p>
      <w:pPr>
        <w:pStyle w:val="FirstParagraph"/>
      </w:pPr>
      <w:r>
        <w:t xml:space="preserve">Und etwas Text schreiben.</w:t>
      </w:r>
    </w:p>
    <w:bookmarkStart w:id="32"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 Hat eine Abbildung eine Beschriftung, erscheint sie im Abbildungsverzeichnis. Dort wird nur der erste Satz der Beschriftung angezeigt.</w:t>
            </w:r>
          </w:p>
          <w:bookmarkEnd w:id="31"/>
        </w:tc>
      </w:tr>
    </w:tbl>
    <w:p>
      <w:pPr>
        <w:pStyle w:val="Textkrper"/>
      </w:pPr>
      <w:r>
        <w:t xml:space="preserve">Bei der Darstellung von Diagrammen sollte versucht werden, diese direkt in Mermaid JS zu erstellen; dies macht zukünftige Änderungen oder Übersetzungen sehr einfach.</w:t>
      </w:r>
    </w:p>
    <w:bookmarkEnd w:id="32"/>
    <w:bookmarkEnd w:id="33"/>
    <w:bookmarkStart w:id="53" w:name="sec-formatting"/>
    <w:p>
      <w:pPr>
        <w:pStyle w:val="berschrift2"/>
      </w:pPr>
      <w:r>
        <w:t xml:space="preserve">1.4 Formatierungen</w:t>
      </w:r>
    </w:p>
    <w:p>
      <w:pPr>
        <w:pStyle w:val="FirstParagraph"/>
      </w:pPr>
      <w:r>
        <w:t xml:space="preserve">Dieses Kapitel ist ein Stresstest: Es enthält die gängigen Markdown- und Quarto-Elemente, damit ihre Darstellung in PDF und Website geprüft werden kann.</w:t>
      </w:r>
    </w:p>
    <w:bookmarkStart w:id="38" w:name="sec-formatting-text"/>
    <w:p>
      <w:pPr>
        <w:pStyle w:val="berschrift3"/>
      </w:pPr>
      <w:r>
        <w:t xml:space="preserve">1.4.1 Textauszeichnungen</w:t>
      </w:r>
    </w:p>
    <w:p>
      <w:pPr>
        <w:pStyle w:val="FirstParagraph"/>
      </w:pPr>
      <w:r>
        <w:t xml:space="preserve">Text kann</w:t>
      </w:r>
      <w:r>
        <w:t xml:space="preserve"> </w:t>
      </w:r>
      <w:r>
        <w:rPr>
          <w:b/>
          <w:bCs/>
        </w:rPr>
        <w:t xml:space="preserve">fett</w:t>
      </w:r>
      <w:r>
        <w:t xml:space="preserve">,</w:t>
      </w:r>
      <w:r>
        <w:t xml:space="preserve"> </w:t>
      </w:r>
      <w:r>
        <w:rPr>
          <w:i/>
          <w:iCs/>
        </w:rPr>
        <w:t xml:space="preserve">kursiv</w:t>
      </w:r>
      <w:r>
        <w:t xml:space="preserve">,</w:t>
      </w:r>
      <w:r>
        <w:t xml:space="preserve"> </w:t>
      </w:r>
      <w:r>
        <w:rPr>
          <w:u w:val="single"/>
        </w:rPr>
        <w:t xml:space="preserve">unterstrichen</w:t>
      </w:r>
      <w:r>
        <w:t xml:space="preserve">,</w:t>
      </w:r>
      <w:r>
        <w:t xml:space="preserve"> </w:t>
      </w:r>
      <w:r>
        <w:rPr>
          <w:highlight w:val="yellow"/>
        </w:rPr>
        <w:t xml:space="preserve">markiert</w:t>
      </w:r>
      <w:r>
        <w:t xml:space="preserve">,</w:t>
      </w:r>
      <w:r>
        <w:t xml:space="preserve"> </w:t>
      </w:r>
      <w:r>
        <w:rPr>
          <w:smallCaps/>
        </w:rPr>
        <w:t xml:space="preserve">in Kapitälchen</w:t>
      </w:r>
      <w:r>
        <w:t xml:space="preserve"> </w:t>
      </w:r>
      <w:r>
        <w:t xml:space="preserve">oder</w:t>
      </w:r>
      <w:r>
        <w:t xml:space="preserve"> </w:t>
      </w:r>
      <w:r>
        <w:rPr>
          <w:strike/>
        </w:rPr>
        <w:t xml:space="preserve">durchgestrichen</w:t>
      </w:r>
      <w:r>
        <w:t xml:space="preserve"> </w:t>
      </w:r>
      <w:r>
        <w:t xml:space="preserve">gesetzt werden. Tastenkürzel wie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und Inline-Code wie</w:t>
      </w:r>
      <w:r>
        <w:t xml:space="preserve"> </w:t>
      </w:r>
      <w:r>
        <w:rPr>
          <w:rStyle w:val="VerbatimChar"/>
        </w:rPr>
        <w:t xml:space="preserve">schema:name</w:t>
      </w:r>
      <w:r>
        <w:t xml:space="preserve"> </w:t>
      </w:r>
      <w:r>
        <w:t xml:space="preserve">werden speziell hervorgehoben.</w:t>
      </w:r>
      <w:r>
        <w:rPr>
          <w:rStyle w:val="FootnoteReference"/>
        </w:rPr>
        <w:footnoteReference w:id="34"/>
      </w:r>
    </w:p>
    <w:bookmarkStart w:id="37" w:name="sec-formatting-h4"/>
    <w:p>
      <w:pPr>
        <w:pStyle w:val="berschrift4"/>
      </w:pPr>
      <w:r>
        <w:t xml:space="preserve">1.4.1.1 Eine Überschrift vierter Stufe</w:t>
      </w:r>
    </w:p>
    <w:p>
      <w:pPr>
        <w:pStyle w:val="FirstParagraph"/>
      </w:pPr>
      <w:r>
        <w:t xml:space="preserve">Überschriften bis zur vierten Stufe sind möglich; sie werden nummeriert, erscheinen aber nicht im Inhaltsverzeichnis.</w:t>
      </w:r>
      <w:r>
        <w:rPr>
          <w:rStyle w:val="FootnoteReference"/>
        </w:rPr>
        <w:footnoteReference w:id="35"/>
      </w:r>
    </w:p>
    <w:bookmarkEnd w:id="37"/>
    <w:bookmarkEnd w:id="38"/>
    <w:bookmarkStart w:id="45" w:name="sec-formatting-lists"/>
    <w:p>
      <w:pPr>
        <w:pStyle w:val="berschrift3"/>
      </w:pPr>
      <w:r>
        <w:t xml:space="preserve">1.4.2 Listen und Hinweise</w:t>
      </w:r>
    </w:p>
    <w:p>
      <w:pPr>
        <w:pStyle w:val="FirstParagraph"/>
      </w:pPr>
      <w:r>
        <w:t xml:space="preserve">Ungeordnete Liste:</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Unterpunkt</w:t>
      </w:r>
    </w:p>
    <w:p>
      <w:pPr>
        <w:pStyle w:val="Compact"/>
        <w:numPr>
          <w:ilvl w:val="0"/>
          <w:numId w:val="1001"/>
        </w:numPr>
      </w:pPr>
      <w:r>
        <w:t xml:space="preserve">Dritter Punkt</w:t>
      </w:r>
    </w:p>
    <w:p>
      <w:pPr>
        <w:pStyle w:val="FirstParagraph"/>
      </w:pPr>
      <w:r>
        <w:t xml:space="preserve">Geordnete Liste:</w:t>
      </w:r>
    </w:p>
    <w:p>
      <w:pPr>
        <w:pStyle w:val="Compact"/>
        <w:numPr>
          <w:ilvl w:val="0"/>
          <w:numId w:val="1003"/>
        </w:numPr>
      </w:pPr>
      <w:r>
        <w:t xml:space="preserve">Erster Schritt</w:t>
      </w:r>
    </w:p>
    <w:p>
      <w:pPr>
        <w:pStyle w:val="Compact"/>
        <w:numPr>
          <w:ilvl w:val="0"/>
          <w:numId w:val="1003"/>
        </w:numPr>
      </w:pPr>
      <w:r>
        <w:t xml:space="preserve">Zweiter Schritt</w:t>
      </w:r>
    </w:p>
    <w:p>
      <w:pPr>
        <w:pStyle w:val="Compact"/>
        <w:numPr>
          <w:ilvl w:val="0"/>
          <w:numId w:val="1003"/>
        </w:numPr>
      </w:pPr>
      <w:r>
        <w:t xml:space="preserve">Dritter Schritt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Ein Hinweis macht auf Zusammenhänge aufmerksam, die leicht übersehen werden.</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Textkrper"/>
            </w:pPr>
            <w:pPr>
              <w:spacing w:before="16" w:after="16"/>
            </w:pPr>
            <w:r>
              <w:t xml:space="preserve">Eine Warnung weist auf Fehlerquellen hin, zum Beispiel auf ungeprüfte Eingabedaten.</w:t>
            </w:r>
          </w:p>
          <w:p/>
        </w:tc>
      </w:tr>
    </w:tbl>
    <w:bookmarkEnd w:id="45"/>
    <w:bookmarkStart w:id="52" w:name="sec-formatting-code"/>
    <w:p>
      <w:pPr>
        <w:pStyle w:val="berschrift3"/>
      </w:pPr>
      <w:r>
        <w:t xml:space="preserve">1.4.3 Code, Tabellen und Formeln</w:t>
      </w:r>
    </w:p>
    <w:p>
      <w:pPr>
        <w:pStyle w:val="FirstParagraph"/>
      </w:pPr>
      <w:r>
        <w:t xml:space="preserve">Der folgende Codeblock zeigt eine SPARQL-Abfrage:</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Abbildungen lassen sich auch mit R-Code erzeugen, wie</w:t>
      </w:r>
      <w:r>
        <w:t xml:space="preserve"> </w:t>
      </w:r>
      <w:hyperlink w:anchor="fig-r-example">
        <w:r>
          <w:rPr>
            <w:rStyle w:val="Hyperlink"/>
          </w:rPr>
          <w:t xml:space="preserve">Abbildung 2</w:t>
        </w:r>
      </w:hyperlink>
      <w:r>
        <w:t xml:space="preserve"> </w:t>
      </w:r>
      <w:r>
        <w:t xml:space="preserve">zeigt:</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 Mit R erzeugte Abbildung. Quarto führt den Code beim Rendern aus und fügt die Grafik ein.</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Tabelle 1: Beispieltabelle mit drei Spalten. Hat eine Tabelle eine Beschriftung, erscheint sie im Tabellenverzeichnis. Dort wird nur der erste Satz der Beschriftung angezeigt.</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Spalte</w:t>
                  </w:r>
                </w:p>
              </w:tc>
              <w:tc>
                <w:tcPr/>
                <w:p>
                  <w:pPr>
                    <w:pStyle w:val="Compact"/>
                    <w:jc w:val="left"/>
                    <w:jc w:val="center"/>
                  </w:pPr>
                  <w:r>
                    <w:t xml:space="preserve">Typ</w:t>
                  </w:r>
                </w:p>
              </w:tc>
              <w:tc>
                <w:tcPr/>
                <w:p>
                  <w:pPr>
                    <w:pStyle w:val="Compact"/>
                    <w:jc w:val="left"/>
                    <w:jc w:val="center"/>
                  </w:pPr>
                  <w:r>
                    <w:t xml:space="preserve">Bemerkung</w:t>
                  </w:r>
                </w:p>
              </w:tc>
            </w:tr>
            <w:tr>
              <w:tc>
                <w:tcPr/>
                <w:p>
                  <w:pPr>
                    <w:pStyle w:val="Compact"/>
                    <w:jc w:val="left"/>
                    <w:jc w:val="center"/>
                  </w:pPr>
                  <w:r>
                    <w:t xml:space="preserve">Name</w:t>
                  </w:r>
                </w:p>
              </w:tc>
              <w:tc>
                <w:tcPr/>
                <w:p>
                  <w:pPr>
                    <w:pStyle w:val="Compact"/>
                    <w:jc w:val="left"/>
                    <w:jc w:val="center"/>
                  </w:pPr>
                  <w:r>
                    <w:t xml:space="preserve">Zeichenkette</w:t>
                  </w:r>
                </w:p>
              </w:tc>
              <w:tc>
                <w:tcPr/>
                <w:p>
                  <w:pPr>
                    <w:pStyle w:val="Compact"/>
                    <w:jc w:val="left"/>
                    <w:jc w:val="center"/>
                  </w:pPr>
                  <w:r>
                    <w:t xml:space="preserve">Pflichtfeld</w:t>
                  </w:r>
                </w:p>
              </w:tc>
            </w:tr>
            <w:tr>
              <w:tc>
                <w:tcPr/>
                <w:p>
                  <w:pPr>
                    <w:pStyle w:val="Compact"/>
                    <w:jc w:val="left"/>
                    <w:jc w:val="center"/>
                  </w:pPr>
                  <w:r>
                    <w:t xml:space="preserve">Menge</w:t>
                  </w:r>
                </w:p>
              </w:tc>
              <w:tc>
                <w:tcPr/>
                <w:p>
                  <w:pPr>
                    <w:pStyle w:val="Compact"/>
                    <w:jc w:val="left"/>
                    <w:jc w:val="center"/>
                  </w:pPr>
                  <w:r>
                    <w:t xml:space="preserve">Dezimalzahl</w:t>
                  </w:r>
                </w:p>
              </w:tc>
              <w:tc>
                <w:tcPr/>
                <w:p>
                  <w:pPr>
                    <w:pStyle w:val="Compact"/>
                    <w:jc w:val="left"/>
                    <w:jc w:val="center"/>
                  </w:pPr>
                  <w:r>
                    <w:t xml:space="preserve">mit Einheit</w:t>
                  </w:r>
                </w:p>
              </w:tc>
            </w:tr>
          </w:tbl>
          <w:bookmarkEnd w:id="50"/>
          <w:p/>
        </w:tc>
      </w:tr>
    </w:tbl>
    <w:p>
      <w:pPr>
        <w:pStyle w:val="Textkrper"/>
      </w:pPr>
      <w:r>
        <w:t xml:space="preserve">Eine Formel kann im Text stehen, etwa</w:t>
      </w:r>
      <w:r>
        <w:t xml:space="preserve"> </w:t>
      </w:r>
      <m:oMath>
        <m:r>
          <m:t>E</m:t>
        </m:r>
        <m:r>
          <m:rPr>
            <m:sty m:val="p"/>
          </m:rPr>
          <m:t>=</m:t>
        </m:r>
        <m:r>
          <m:t>m</m:t>
        </m:r>
        <m:sSup>
          <m:e>
            <m:r>
              <m:t>c</m:t>
            </m:r>
          </m:e>
          <m:sup>
            <m:r>
              <m:t>2</m:t>
            </m:r>
          </m:sup>
        </m:sSup>
      </m:oMath>
      <w:r>
        <w:t xml:space="preserve">, oder als eigene Gleichung wie</w:t>
      </w:r>
      <w:r>
        <w:t xml:space="preserve"> </w:t>
      </w:r>
      <w:hyperlink w:anchor="eq-example">
        <w:r>
          <w:rPr>
            <w:rStyle w:val="Hyperlink"/>
          </w:rPr>
          <w:t xml:space="preserve">Gleichung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bookmarkEnd w:id="52"/>
    <w:bookmarkEnd w:id="53"/>
    <w:bookmarkEnd w:id="54"/>
    <w:bookmarkStart w:id="58" w:name="sec-usage-notes"/>
    <w:p>
      <w:pPr>
        <w:pStyle w:val="berschrift1"/>
      </w:pPr>
      <w:r>
        <w:t xml:space="preserve">2. Hinweise zur Verwendung</w:t>
      </w:r>
    </w:p>
    <w:p>
      <w:pPr>
        <w:pStyle w:val="FirstParagraph"/>
      </w:pPr>
      <w:r>
        <w:t xml:space="preserve">Der folgende Absatz ist bewusst Unsinn und dient nur dem Test der Zitierweise (im Fliesstext ohne Klammern mit</w:t>
      </w:r>
      <w:r>
        <w:t xml:space="preserve"> </w:t>
      </w:r>
      <w:r>
        <w:rPr>
          <w:rStyle w:val="VerbatimChar"/>
        </w:rPr>
        <w:t xml:space="preserve">@key</w:t>
      </w:r>
      <w:r>
        <w:t xml:space="preserve">, sonst in Klammern mit</w:t>
      </w:r>
      <w:r>
        <w:t xml:space="preserve"> </w:t>
      </w:r>
      <w:r>
        <w:rPr>
          <w:rStyle w:val="VerbatimChar"/>
        </w:rPr>
        <w:t xml:space="preserve">[@key]</w:t>
      </w:r>
      <w:r>
        <w:t xml:space="preserve">): Gemäss</w:t>
      </w:r>
      <w:r>
        <w:t xml:space="preserve"> </w:t>
      </w:r>
      <w:hyperlink w:anchor="ref-eCH-0003:11.1.0">
        <w:r>
          <w:rPr>
            <w:rStyle w:val="Hyperlink"/>
          </w:rPr>
          <w:t xml:space="preserve">eCH-0003 11.1.0</w:t>
        </w:r>
      </w:hyperlink>
      <w:r>
        <w:t xml:space="preserve"> </w:t>
      </w:r>
      <w:r>
        <w:t xml:space="preserve">müssen alle Postadressen</w:t>
      </w:r>
      <w:r>
        <w:t xml:space="preserve"> </w:t>
      </w:r>
      <w:r>
        <w:t xml:space="preserve">[</w:t>
      </w:r>
      <w:hyperlink w:anchor="ref-eCH-0010:8.1.0">
        <w:r>
          <w:rPr>
            <w:rStyle w:val="Hyperlink"/>
          </w:rPr>
          <w:t xml:space="preserve">eCH-0010 8.1.0</w:t>
        </w:r>
      </w:hyperlink>
      <w:r>
        <w:t xml:space="preserve">]</w:t>
      </w:r>
      <w:r>
        <w:t xml:space="preserve"> </w:t>
      </w:r>
      <w:r>
        <w:t xml:space="preserve">in Turtle</w:t>
      </w:r>
      <w:r>
        <w:t xml:space="preserve"> </w:t>
      </w:r>
      <w:r>
        <w:t xml:space="preserve">[</w:t>
      </w:r>
      <w:hyperlink w:anchor="ref-Turtle">
        <w:r>
          <w:rPr>
            <w:rStyle w:val="Hyperlink"/>
          </w:rPr>
          <w:t xml:space="preserve">Turtle</w:t>
        </w:r>
      </w:hyperlink>
      <w:r>
        <w:t xml:space="preserve">]</w:t>
      </w:r>
      <w:r>
        <w:t xml:space="preserve"> </w:t>
      </w:r>
      <w:r>
        <w:t xml:space="preserve">serialisiert, als DCAT-Katalog</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mit SHACL</w:t>
      </w:r>
      <w:r>
        <w:t xml:space="preserve"> </w:t>
      </w:r>
      <w:r>
        <w:t xml:space="preserve">[</w:t>
      </w:r>
      <w:hyperlink w:anchor="ref-SHACL">
        <w:r>
          <w:rPr>
            <w:rStyle w:val="Hyperlink"/>
          </w:rPr>
          <w:t xml:space="preserve">SHACL</w:t>
        </w:r>
      </w:hyperlink>
      <w:r>
        <w:t xml:space="preserve">]</w:t>
      </w:r>
      <w:r>
        <w:t xml:space="preserve"> </w:t>
      </w:r>
      <w:r>
        <w:t xml:space="preserve">geprüft und per SPARQL</w:t>
      </w:r>
      <w:r>
        <w:t xml:space="preserve"> </w:t>
      </w:r>
      <w:r>
        <w:t xml:space="preserve">[</w:t>
      </w:r>
      <w:hyperlink w:anchor="ref-SPARQL">
        <w:r>
          <w:rPr>
            <w:rStyle w:val="Hyperlink"/>
          </w:rPr>
          <w:t xml:space="preserve">SPARQL</w:t>
        </w:r>
      </w:hyperlink>
      <w:r>
        <w:t xml:space="preserve">]</w:t>
      </w:r>
      <w:r>
        <w:t xml:space="preserve"> </w:t>
      </w:r>
      <w:r>
        <w:t xml:space="preserve">als Linked Open Data</w:t>
      </w:r>
      <w:r>
        <w:t xml:space="preserve"> </w:t>
      </w:r>
      <w:r>
        <w:t xml:space="preserve">[</w:t>
      </w:r>
      <w:hyperlink w:anchor="ref-eCH-0205:1.0">
        <w:r>
          <w:rPr>
            <w:rStyle w:val="Hyperlink"/>
          </w:rPr>
          <w:t xml:space="preserve">eCH-0205 1.0</w:t>
        </w:r>
      </w:hyperlink>
      <w:r>
        <w:t xml:space="preserve">]</w:t>
      </w:r>
      <w:r>
        <w:t xml:space="preserve"> </w:t>
      </w:r>
      <w:r>
        <w:t xml:space="preserve">über landwirtschaftliche Kulturen</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und OWL</w:t>
      </w:r>
      <w:r>
        <w:t xml:space="preserve"> </w:t>
      </w:r>
      <w:r>
        <w:t xml:space="preserve">[</w:t>
      </w:r>
      <w:hyperlink w:anchor="ref-OWL2">
        <w:r>
          <w:rPr>
            <w:rStyle w:val="Hyperlink"/>
          </w:rPr>
          <w:t xml:space="preserve">OWL 2</w:t>
        </w:r>
      </w:hyperlink>
      <w:r>
        <w:t xml:space="preserve">]</w:t>
      </w:r>
      <w:r>
        <w:t xml:space="preserve"> </w:t>
      </w:r>
      <w:r>
        <w:t xml:space="preserve">veröffentlicht werden, wie es das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vorsieht.</w:t>
      </w:r>
    </w:p>
    <w:bookmarkStart w:id="57" w:name="sec-namespaces"/>
    <w:p>
      <w:pPr>
        <w:pStyle w:val="berschrift2"/>
      </w:pPr>
      <w:r>
        <w:t xml:space="preserve">2.1 Namespaces</w:t>
      </w:r>
    </w:p>
    <w:p>
      <w:pPr>
        <w:pStyle w:val="FirstParagraph"/>
      </w:pPr>
      <w:hyperlink w:anchor="tbl-namespaces">
        <w:r>
          <w:rPr>
            <w:rStyle w:val="Hyperlink"/>
          </w:rPr>
          <w:t xml:space="preserve">Tabelle 2</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55">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Tabelle 2: In eCH-1234 – Quarto-Dokument als Vorlage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56" w:name="sec-data-model"/>
    <w:p>
      <w:pPr>
        <w:pStyle w:val="berschrift1"/>
      </w:pPr>
      <w:r>
        <w:t xml:space="preserve">3. Datenmodell</w:t>
      </w:r>
    </w:p>
    <w:bookmarkStart w:id="71" w:name="sec-nodeshape-genreshape"/>
    <w:p>
      <w:pPr>
        <w:pStyle w:val="berschrift2"/>
      </w:pPr>
      <w:r>
        <w:t xml:space="preserve">3.1 Genre</w:t>
      </w:r>
    </w:p>
    <w:p>
      <w:pPr>
        <w:pStyle w:val="FirstParagraph"/>
      </w:pPr>
      <w:r>
        <w:t xml:space="preserve">Eine musikalische Kategorie im Chinook-Datensatz.</w:t>
      </w:r>
    </w:p>
    <w:bookmarkStart w:id="62" w:name="sec-nodeshape-genreshape-overview"/>
    <w:p>
      <w:pPr>
        <w:pStyle w:val="berschrift3"/>
      </w:pPr>
      <w:r>
        <w:t xml:space="preserve">3.1.1 Übersicht</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Zielklasse</w:t>
      </w:r>
    </w:p>
    <w:p>
      <w:pPr>
        <w:pStyle w:val="Definition"/>
      </w:pPr>
      <w:hyperlink r:id="rId60">
        <w:r>
          <w:rPr>
            <w:rStyle w:val="Hyperlink"/>
          </w:rPr>
          <w:t xml:space="preserve">:Genre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25 Instanzen mit je 5 bis 7 Tripeln (im Mittel 5.4)</w:t>
      </w:r>
    </w:p>
    <w:p>
      <w:pPr>
        <w:pStyle w:val="DefinitionTerm"/>
      </w:pPr>
      <w:r>
        <w:t xml:space="preserve">Datenzugriff</w:t>
      </w:r>
    </w:p>
    <w:p>
      <w:pPr>
        <w:pStyle w:val="Definition"/>
      </w:pPr>
      <w:hyperlink r:id="rId61">
        <w:r>
          <w:rPr>
            <w:rStyle w:val="Hyperlink"/>
          </w:rPr>
          <w:t xml:space="preserve">SPARQL-Dienst</w:t>
        </w:r>
      </w:hyperlink>
    </w:p>
    <w:bookmarkEnd w:id="62"/>
    <w:bookmarkStart w:id="68" w:name="sec-nodeshape-genreshape-properties"/>
    <w:p>
      <w:pPr>
        <w:pStyle w:val="berschrift3"/>
      </w:pPr>
      <w:r>
        <w:t xml:space="preserve">3.1.2 Eigenschaften</w:t>
      </w:r>
    </w:p>
    <w:tbl>
      <w:tblPr>
        <w:tblStyle w:val="Table"/>
        <w:tblW w:type="pct" w:w="4967"/>
        <w:tblLayout w:type="fixed"/>
        <w:tblLook w:firstRow="1" w:lastRow="0" w:firstColumn="0" w:lastColumn="0" w:noHBand="0" w:noVBand="0" w:val="0020"/>
      </w:tblPr>
      <w:tblGrid>
        <w:gridCol w:w="3157"/>
        <w:gridCol w:w="3934"/>
        <w:gridCol w:w="77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4"/>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4"/>
              </w:numPr>
              <w:jc w:val="left"/>
            </w:pPr>
            <w:r>
              <w:t xml:space="preserve">Muster:</w:t>
            </w:r>
            <w:r>
              <w:t xml:space="preserve"> </w:t>
            </w:r>
            <w:r>
              <w:rPr>
                <w:rStyle w:val="VerbatimChar"/>
              </w:rPr>
              <w:t xml:space="preserve">^[A-Z]</w:t>
            </w:r>
          </w:p>
          <w:p>
            <w:pPr>
              <w:pStyle w:val="Compact"/>
              <w:numPr>
                <w:ilvl w:val="0"/>
                <w:numId w:val="1004"/>
              </w:numPr>
              <w:jc w:val="left"/>
            </w:pPr>
            <w:r>
              <w:t xml:space="preserve">Länge: 2–50 Zeichen</w:t>
            </w:r>
          </w:p>
        </w:tc>
        <w:tc>
          <w:tcPr/>
          <w:p>
            <w:pPr>
              <w:pStyle w:val="Compact"/>
              <w:jc w:val="right"/>
            </w:pPr>
            <w:r>
              <w:t xml:space="preserve">1..1</w:t>
            </w:r>
          </w:p>
        </w:tc>
      </w:tr>
      <w:tr>
        <w:tc>
          <w:tcPr/>
          <w:p>
            <w:pPr>
              <w:pStyle w:val="Compact"/>
              <w:jc w:val="left"/>
            </w:pPr>
            <w:r>
              <w:rPr>
                <w:b/>
                <w:bCs/>
              </w:rPr>
              <w:t xml:space="preserve">Teil von</w:t>
            </w:r>
            <w:r>
              <w:t xml:space="preserve"> </w:t>
            </w:r>
            <w:r>
              <w:t xml:space="preserve">(</w:t>
            </w:r>
            <w:hyperlink r:id="rId65">
              <w:r>
                <w:rPr>
                  <w:rStyle w:val="Hyperlink"/>
                </w:rPr>
                <w:t xml:space="preserve">schema:partOf</w:t>
              </w:r>
            </w:hyperlink>
            <w:r>
              <w:t xml:space="preserve">)</w:t>
            </w:r>
          </w:p>
        </w:tc>
        <w:tc>
          <w:tcPr/>
          <w:p>
            <w:pPr>
              <w:pStyle w:val="Compact"/>
              <w:numPr>
                <w:ilvl w:val="0"/>
                <w:numId w:val="1005"/>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Alternative Bezeichnung</w:t>
            </w:r>
            <w:r>
              <w:t xml:space="preserve"> </w:t>
            </w:r>
            <w:r>
              <w:t xml:space="preserve">(</w:t>
            </w:r>
            <w:hyperlink r:id="rId66">
              <w:r>
                <w:rPr>
                  <w:rStyle w:val="Hyperlink"/>
                </w:rPr>
                <w:t xml:space="preserve">schema:alternateName</w:t>
              </w:r>
            </w:hyperlink>
            <w:r>
              <w:t xml:space="preserve">):</w:t>
            </w:r>
            <w:r>
              <w:t xml:space="preserve"> </w:t>
            </w:r>
            <w:r>
              <w:t xml:space="preserve">Übersetzte oder umgangssprachliche Bezeichnung des Genres,</w:t>
            </w:r>
            <w:r>
              <w:t xml:space="preserve"> </w:t>
            </w:r>
            <w:r>
              <w:t xml:space="preserve">höchstens eine pro Sprache.</w:t>
            </w:r>
          </w:p>
        </w:tc>
        <w:tc>
          <w:tcPr/>
          <w:p>
            <w:pPr>
              <w:pStyle w:val="Compact"/>
              <w:numPr>
                <w:ilvl w:val="0"/>
                <w:numId w:val="1006"/>
              </w:numPr>
              <w:jc w:val="left"/>
            </w:pPr>
            <w:r>
              <w:t xml:space="preserve">Typ: Sprachabhängiger Text</w:t>
            </w:r>
            <w:r>
              <w:t xml:space="preserve"> </w:t>
            </w:r>
            <w:r>
              <w:t xml:space="preserve">(</w:t>
            </w:r>
            <w:hyperlink r:id="rId67">
              <w:r>
                <w:rPr>
                  <w:rStyle w:val="Hyperlink"/>
                </w:rPr>
                <w:t xml:space="preserve">rdf:langString</w:t>
              </w:r>
            </w:hyperlink>
            <w:r>
              <w:t xml:space="preserve">)</w:t>
            </w:r>
          </w:p>
          <w:p>
            <w:pPr>
              <w:pStyle w:val="Compact"/>
              <w:numPr>
                <w:ilvl w:val="0"/>
                <w:numId w:val="1006"/>
              </w:numPr>
              <w:jc w:val="left"/>
            </w:pPr>
            <w:r>
              <w:t xml:space="preserve">Länge: ≤ 50 Zeichen</w:t>
            </w:r>
          </w:p>
          <w:p>
            <w:pPr>
              <w:pStyle w:val="Compact"/>
              <w:numPr>
                <w:ilvl w:val="0"/>
                <w:numId w:val="1006"/>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0..*</w:t>
            </w:r>
          </w:p>
        </w:tc>
      </w:tr>
    </w:tbl>
    <w:bookmarkEnd w:id="68"/>
    <w:bookmarkStart w:id="70" w:name="sec-nodeshape-genreshape-rules"/>
    <w:p>
      <w:pPr>
        <w:pStyle w:val="berschrift3"/>
      </w:pPr>
      <w:r>
        <w:t xml:space="preserve">3.1.3 Regeln (SPARQL)</w:t>
      </w:r>
    </w:p>
    <w:bookmarkStart w:id="69" w:name="sec-nodeshape-genreshape-rule-1"/>
    <w:p>
      <w:pPr>
        <w:pStyle w:val="berschrift4"/>
      </w:pPr>
      <w:r>
        <w:t xml:space="preserve">3.1.3.1 Keine zyklische Hierarchie</w:t>
      </w:r>
    </w:p>
    <w:p>
      <w:pPr>
        <w:pStyle w:val="FirstParagraph"/>
      </w:pPr>
      <w:r>
        <w:t xml:space="preserve">Ein Genre darf weder direkt noch transitiv ein Teil von sich selbst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79" w:name="sec-nodeshape-musicalbumshape"/>
    <w:p>
      <w:pPr>
        <w:pStyle w:val="berschrift2"/>
      </w:pPr>
      <w:r>
        <w:t xml:space="preserve">3.2 Musikalbum</w:t>
      </w:r>
    </w:p>
    <w:p>
      <w:pPr>
        <w:pStyle w:val="FirstParagraph"/>
      </w:pPr>
      <w:r>
        <w:t xml:space="preserve">Eine Sammlung von Titeln im Chinook-Datensatz.</w:t>
      </w:r>
    </w:p>
    <w:bookmarkStart w:id="75" w:name="sec-nodeshape-musicalbumshape-overview"/>
    <w:p>
      <w:pPr>
        <w:pStyle w:val="berschrift3"/>
      </w:pPr>
      <w:r>
        <w:t xml:space="preserve">3.2.1 Übersicht</w:t>
      </w:r>
    </w:p>
    <w:p>
      <w:pPr>
        <w:pStyle w:val="DefinitionTerm"/>
      </w:pPr>
      <w:r>
        <w:t xml:space="preserve">Shape</w:t>
      </w:r>
    </w:p>
    <w:p>
      <w:pPr>
        <w:pStyle w:val="Definition"/>
      </w:pPr>
      <w:hyperlink r:id="rId72">
        <w:r>
          <w:rPr>
            <w:rStyle w:val="Hyperlink"/>
          </w:rPr>
          <w:t xml:space="preserve">:MusicAlbumShape</w:t>
        </w:r>
      </w:hyperlink>
    </w:p>
    <w:p>
      <w:pPr>
        <w:pStyle w:val="DefinitionTerm"/>
      </w:pPr>
      <w:r>
        <w:t xml:space="preserve">Zielklasse</w:t>
      </w:r>
    </w:p>
    <w:p>
      <w:pPr>
        <w:pStyle w:val="Definition"/>
      </w:pPr>
      <w:hyperlink r:id="rId73">
        <w:r>
          <w:rPr>
            <w:rStyle w:val="Hyperlink"/>
          </w:rPr>
          <w:t xml:space="preserve">schema:MusicAlbum</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347 Instanzen mit je 5 Tripeln</w:t>
      </w:r>
    </w:p>
    <w:p>
      <w:pPr>
        <w:pStyle w:val="DefinitionTerm"/>
      </w:pPr>
      <w:r>
        <w:t xml:space="preserve">Datenzugriff</w:t>
      </w:r>
    </w:p>
    <w:p>
      <w:pPr>
        <w:pStyle w:val="Definition"/>
      </w:pPr>
      <w:hyperlink r:id="rId74">
        <w:r>
          <w:rPr>
            <w:rStyle w:val="Hyperlink"/>
          </w:rPr>
          <w:t xml:space="preserve">SPARQL-Dienst</w:t>
        </w:r>
      </w:hyperlink>
    </w:p>
    <w:bookmarkEnd w:id="75"/>
    <w:bookmarkStart w:id="78" w:name="sec-nodeshape-musicalbumshape-properties"/>
    <w:p>
      <w:pPr>
        <w:pStyle w:val="berschrift3"/>
      </w:pPr>
      <w:r>
        <w:t xml:space="preserve">3.2.2 Eigenschaften</w:t>
      </w:r>
    </w:p>
    <w:tbl>
      <w:tblPr>
        <w:tblStyle w:val="Table"/>
        <w:tblW w:type="pct" w:w="4960"/>
        <w:tblLayout w:type="fixed"/>
        <w:tblLook w:firstRow="1" w:lastRow="0" w:firstColumn="0" w:lastColumn="0" w:noHBand="0" w:noVBand="0" w:val="0020"/>
      </w:tblPr>
      <w:tblGrid>
        <w:gridCol w:w="3231"/>
        <w:gridCol w:w="3674"/>
        <w:gridCol w:w="95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Jedes</w:t>
            </w:r>
            <w:r>
              <w:t xml:space="preserve"> </w:t>
            </w:r>
            <w:r>
              <w:t xml:space="preserve">Album muss einen Namen haben.</w:t>
            </w:r>
          </w:p>
        </w:tc>
        <w:tc>
          <w:tcPr/>
          <w:p>
            <w:pPr>
              <w:pStyle w:val="Compact"/>
              <w:numPr>
                <w:ilvl w:val="0"/>
                <w:numId w:val="1007"/>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7"/>
              </w:numPr>
              <w:jc w:val="left"/>
            </w:pPr>
            <w:r>
              <w:t xml:space="preserve">Länge: ≤ 200 Zeichen</w:t>
            </w:r>
          </w:p>
        </w:tc>
        <w:tc>
          <w:tcPr/>
          <w:p>
            <w:pPr>
              <w:pStyle w:val="Compact"/>
              <w:jc w:val="right"/>
            </w:pPr>
            <w:r>
              <w:t xml:space="preserve">1..1</w:t>
            </w:r>
          </w:p>
        </w:tc>
      </w:tr>
      <w:tr>
        <w:tc>
          <w:tcPr/>
          <w:p>
            <w:pPr>
              <w:pStyle w:val="Compact"/>
              <w:jc w:val="left"/>
            </w:pPr>
            <w:r>
              <w:rPr>
                <w:b/>
                <w:bCs/>
              </w:rPr>
              <w:t xml:space="preserve">Künstler</w:t>
            </w:r>
            <w:r>
              <w:t xml:space="preserve"> </w:t>
            </w:r>
            <w:r>
              <w:t xml:space="preserve">(</w:t>
            </w:r>
            <w:hyperlink r:id="rId76">
              <w:r>
                <w:rPr>
                  <w:rStyle w:val="Hyperlink"/>
                </w:rPr>
                <w:t xml:space="preserve">schema:byArtist</w:t>
              </w:r>
            </w:hyperlink>
            <w:r>
              <w:t xml:space="preserve">):</w:t>
            </w:r>
            <w:r>
              <w:t xml:space="preserve"> </w:t>
            </w:r>
            <w:r>
              <w:t xml:space="preserve">Person oder Musikgruppe, die das Album erstellt</w:t>
            </w:r>
            <w:r>
              <w:t xml:space="preserve"> </w:t>
            </w:r>
            <w:r>
              <w:t xml:space="preserve">hat.</w:t>
            </w:r>
          </w:p>
        </w:tc>
        <w:tc>
          <w:tcPr/>
          <w:p>
            <w:pPr>
              <w:pStyle w:val="Compact"/>
              <w:numPr>
                <w:ilvl w:val="0"/>
                <w:numId w:val="1008"/>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77">
              <w:r>
                <w:rPr>
                  <w:rStyle w:val="Hyperlink"/>
                </w:rPr>
                <w:t xml:space="preserve">schema:MusicGroup</w:t>
              </w:r>
            </w:hyperlink>
          </w:p>
        </w:tc>
        <w:tc>
          <w:tcPr/>
          <w:p>
            <w:pPr>
              <w:pStyle w:val="Compact"/>
              <w:jc w:val="right"/>
            </w:pPr>
            <w:r>
              <w:t xml:space="preserve">0..*</w:t>
            </w:r>
          </w:p>
        </w:tc>
      </w:tr>
    </w:tbl>
    <w:bookmarkEnd w:id="78"/>
    <w:bookmarkEnd w:id="79"/>
    <w:bookmarkStart w:id="90" w:name="sec-nodeshape-trackshape"/>
    <w:p>
      <w:pPr>
        <w:pStyle w:val="berschrift2"/>
      </w:pPr>
      <w:r>
        <w:t xml:space="preserve">3.3 Musikaufnahme</w:t>
      </w:r>
    </w:p>
    <w:p>
      <w:pPr>
        <w:pStyle w:val="FirstParagraph"/>
      </w:pPr>
      <w:r>
        <w:t xml:space="preserve">Ein einzelner Musiktitel im Chinook-Datensatz.</w:t>
      </w:r>
    </w:p>
    <w:bookmarkStart w:id="83" w:name="sec-nodeshape-trackshape-overview"/>
    <w:p>
      <w:pPr>
        <w:pStyle w:val="berschrift3"/>
      </w:pPr>
      <w:r>
        <w:t xml:space="preserve">3.3.1 Übersicht</w:t>
      </w:r>
    </w:p>
    <w:p>
      <w:pPr>
        <w:pStyle w:val="DefinitionTerm"/>
      </w:pPr>
      <w:r>
        <w:t xml:space="preserve">Shape</w:t>
      </w:r>
    </w:p>
    <w:p>
      <w:pPr>
        <w:pStyle w:val="Definition"/>
      </w:pPr>
      <w:hyperlink r:id="rId80">
        <w:r>
          <w:rPr>
            <w:rStyle w:val="Hyperlink"/>
          </w:rPr>
          <w:t xml:space="preserve">:TrackShape</w:t>
        </w:r>
      </w:hyperlink>
    </w:p>
    <w:p>
      <w:pPr>
        <w:pStyle w:val="DefinitionTerm"/>
      </w:pPr>
      <w:r>
        <w:t xml:space="preserve">Zielklasse</w:t>
      </w:r>
    </w:p>
    <w:p>
      <w:pPr>
        <w:pStyle w:val="Definition"/>
      </w:pPr>
      <w:hyperlink r:id="rId81">
        <w:r>
          <w:rPr>
            <w:rStyle w:val="Hyperlink"/>
          </w:rPr>
          <w:t xml:space="preserve">schema:MusicRecording</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3503 Instanzen mit je 10 bis 15 Tripeln (im Mittel 11.1)</w:t>
      </w:r>
    </w:p>
    <w:p>
      <w:pPr>
        <w:pStyle w:val="DefinitionTerm"/>
      </w:pPr>
      <w:r>
        <w:t xml:space="preserve">Datenzugriff</w:t>
      </w:r>
    </w:p>
    <w:p>
      <w:pPr>
        <w:pStyle w:val="Definition"/>
      </w:pPr>
      <w:hyperlink r:id="rId82">
        <w:r>
          <w:rPr>
            <w:rStyle w:val="Hyperlink"/>
          </w:rPr>
          <w:t xml:space="preserve">SPARQL-Dienst</w:t>
        </w:r>
      </w:hyperlink>
    </w:p>
    <w:bookmarkEnd w:id="83"/>
    <w:bookmarkStart w:id="89" w:name="sec-nodeshape-trackshape-properties"/>
    <w:p>
      <w:pPr>
        <w:pStyle w:val="berschrift3"/>
      </w:pPr>
      <w:r>
        <w:t xml:space="preserve">3.3.2 Eigenschaften</w:t>
      </w:r>
    </w:p>
    <w:tbl>
      <w:tblPr>
        <w:tblStyle w:val="Table"/>
        <w:tblW w:type="pct" w:w="4962"/>
        <w:tblLayout w:type="fixed"/>
        <w:tblLook w:firstRow="1" w:lastRow="0" w:firstColumn="0" w:lastColumn="0" w:noHBand="0" w:noVBand="0" w:val="0020"/>
      </w:tblPr>
      <w:tblGrid>
        <w:gridCol w:w="3411"/>
        <w:gridCol w:w="3533"/>
        <w:gridCol w:w="913"/>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Jeder Titel muss einen Namen haben.</w:t>
            </w:r>
          </w:p>
        </w:tc>
        <w:tc>
          <w:tcPr/>
          <w:p>
            <w:pPr>
              <w:pStyle w:val="Compact"/>
              <w:numPr>
                <w:ilvl w:val="0"/>
                <w:numId w:val="1009"/>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9"/>
              </w:numPr>
              <w:jc w:val="left"/>
            </w:pPr>
            <w:r>
              <w:t xml:space="preserve">Länge: 1–200 Zeichen</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84">
              <w:r>
                <w:rPr>
                  <w:rStyle w:val="Hyperlink"/>
                </w:rPr>
                <w:t xml:space="preserve">schema:inAlbum</w:t>
              </w:r>
            </w:hyperlink>
            <w:r>
              <w:t xml:space="preserve">): Ein</w:t>
            </w:r>
            <w:r>
              <w:t xml:space="preserve"> </w:t>
            </w:r>
            <w:r>
              <w:t xml:space="preserve">Titel kann nur zu einem gültigen schema:MusicAlbum</w:t>
            </w:r>
            <w:r>
              <w:t xml:space="preserve"> </w:t>
            </w:r>
            <w:r>
              <w:t xml:space="preserve">gehören.</w:t>
            </w:r>
          </w:p>
        </w:tc>
        <w:tc>
          <w:tcPr/>
          <w:p>
            <w:pPr>
              <w:pStyle w:val="Compact"/>
              <w:numPr>
                <w:ilvl w:val="0"/>
                <w:numId w:val="1010"/>
              </w:numPr>
              <w:jc w:val="left"/>
            </w:pPr>
            <w:r>
              <w:t xml:space="preserve">Typ:</w:t>
            </w:r>
            <w:r>
              <w:t xml:space="preserve"> </w:t>
            </w:r>
            <w:hyperlink w:anchor="sec-nodeshape-musicalbumshape">
              <w:r>
                <w:rPr>
                  <w:rStyle w:val="Hyperlink"/>
                </w:rPr>
                <w:t xml:space="preserve">Musikalbum</w:t>
              </w:r>
            </w:hyperlink>
          </w:p>
        </w:tc>
        <w:tc>
          <w:tcPr/>
          <w:p>
            <w:pPr>
              <w:pStyle w:val="Compact"/>
              <w:jc w:val="right"/>
            </w:pPr>
            <w:r>
              <w:t xml:space="preserve">0..*</w:t>
            </w:r>
          </w:p>
        </w:tc>
      </w:tr>
      <w:tr>
        <w:tc>
          <w:tcPr/>
          <w:p>
            <w:pPr>
              <w:pStyle w:val="Compact"/>
              <w:jc w:val="left"/>
            </w:pPr>
            <w:r>
              <w:rPr>
                <w:b/>
                <w:bCs/>
              </w:rPr>
              <w:t xml:space="preserve">Autor</w:t>
            </w:r>
            <w:r>
              <w:t xml:space="preserve"> </w:t>
            </w:r>
            <w:r>
              <w:t xml:space="preserve">(</w:t>
            </w:r>
            <w:hyperlink r:id="rId85">
              <w:r>
                <w:rPr>
                  <w:rStyle w:val="Hyperlink"/>
                </w:rPr>
                <w:t xml:space="preserve">schema:author</w:t>
              </w:r>
            </w:hyperlink>
            <w:r>
              <w:t xml:space="preserve">): Die</w:t>
            </w:r>
            <w:r>
              <w:t xml:space="preserve"> </w:t>
            </w:r>
            <w:r>
              <w:t xml:space="preserve">Person oder Gruppe, die den Titel geschrieben hat.</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6">
              <w:r>
                <w:rPr>
                  <w:rStyle w:val="Hyperlink"/>
                </w:rPr>
                <w:t xml:space="preserve">schema:genre</w:t>
              </w:r>
            </w:hyperlink>
            <w:r>
              <w:t xml:space="preserve">)</w:t>
            </w:r>
          </w:p>
        </w:tc>
        <w:tc>
          <w:tcPr/>
          <w:p>
            <w:pPr>
              <w:pStyle w:val="Compact"/>
              <w:numPr>
                <w:ilvl w:val="0"/>
                <w:numId w:val="1011"/>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Dauer</w:t>
            </w:r>
            <w:r>
              <w:t xml:space="preserve"> </w:t>
            </w:r>
            <w:r>
              <w:t xml:space="preserve">(</w:t>
            </w:r>
            <w:hyperlink r:id="rId87">
              <w:r>
                <w:rPr>
                  <w:rStyle w:val="Hyperlink"/>
                </w:rPr>
                <w:t xml:space="preserve">schema:duration</w:t>
              </w:r>
            </w:hyperlink>
            <w:r>
              <w:t xml:space="preserve">): Die</w:t>
            </w:r>
            <w:r>
              <w:t xml:space="preserve"> </w:t>
            </w:r>
            <w:r>
              <w:t xml:space="preserve">Dauer muss als schema:QuantitativeValue ausgedrückt</w:t>
            </w:r>
            <w:r>
              <w:t xml:space="preserve"> </w:t>
            </w:r>
            <w:r>
              <w:t xml:space="preserve">werden.</w:t>
            </w:r>
          </w:p>
        </w:tc>
        <w:tc>
          <w:tcPr/>
          <w:p>
            <w:pPr>
              <w:pStyle w:val="Compact"/>
              <w:numPr>
                <w:ilvl w:val="0"/>
                <w:numId w:val="1012"/>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r>
        <w:tc>
          <w:tcPr/>
          <w:p>
            <w:pPr>
              <w:pStyle w:val="Compact"/>
              <w:jc w:val="left"/>
            </w:pPr>
            <w:r>
              <w:rPr>
                <w:b/>
                <w:bCs/>
              </w:rPr>
              <w:t xml:space="preserve">Dateigrösse</w:t>
            </w:r>
            <w:r>
              <w:t xml:space="preserve"> </w:t>
            </w:r>
            <w:r>
              <w:t xml:space="preserve">(</w:t>
            </w:r>
            <w:hyperlink r:id="rId88">
              <w:r>
                <w:rPr>
                  <w:rStyle w:val="Hyperlink"/>
                </w:rPr>
                <w:t xml:space="preserve">schema:contentSize</w:t>
              </w:r>
            </w:hyperlink>
            <w:r>
              <w:t xml:space="preserve">)</w:t>
            </w:r>
          </w:p>
        </w:tc>
        <w:tc>
          <w:tcPr/>
          <w:p>
            <w:pPr>
              <w:pStyle w:val="Compact"/>
              <w:numPr>
                <w:ilvl w:val="0"/>
                <w:numId w:val="1013"/>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bl>
    <w:bookmarkEnd w:id="89"/>
    <w:bookmarkEnd w:id="90"/>
    <w:bookmarkStart w:id="95" w:name="sec-nodeshape-organisationshape"/>
    <w:p>
      <w:pPr>
        <w:pStyle w:val="berschrift2"/>
      </w:pPr>
      <w:r>
        <w:t xml:space="preserve">3.4 Organisation</w:t>
      </w:r>
    </w:p>
    <w:p>
      <w:pPr>
        <w:pStyle w:val="FirstParagraph"/>
      </w:pPr>
      <w:r>
        <w:t xml:space="preserve">Ein Unternehmen oder eine Organisation im Chinook-Datensatz.</w:t>
      </w:r>
    </w:p>
    <w:bookmarkStart w:id="93" w:name="sec-nodeshape-organisationshape-overview"/>
    <w:p>
      <w:pPr>
        <w:pStyle w:val="berschrift3"/>
      </w:pPr>
      <w:r>
        <w:t xml:space="preserve">3.4.1 Übersicht</w:t>
      </w:r>
    </w:p>
    <w:p>
      <w:pPr>
        <w:pStyle w:val="DefinitionTerm"/>
      </w:pPr>
      <w:r>
        <w:t xml:space="preserve">Shape</w:t>
      </w:r>
    </w:p>
    <w:p>
      <w:pPr>
        <w:pStyle w:val="Definition"/>
      </w:pPr>
      <w:hyperlink r:id="rId91">
        <w:r>
          <w:rPr>
            <w:rStyle w:val="Hyperlink"/>
          </w:rPr>
          <w:t xml:space="preserve">:OrganisationShape</w:t>
        </w:r>
      </w:hyperlink>
    </w:p>
    <w:p>
      <w:pPr>
        <w:pStyle w:val="DefinitionTerm"/>
      </w:pPr>
      <w:r>
        <w:t xml:space="preserve">Zielklasse</w:t>
      </w:r>
    </w:p>
    <w:p>
      <w:pPr>
        <w:pStyle w:val="Definition"/>
      </w:pPr>
      <w:hyperlink r:id="rId92">
        <w:r>
          <w:rPr>
            <w:rStyle w:val="Hyperlink"/>
          </w:rPr>
          <w:t xml:space="preserve">schema:Organisation</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93"/>
    <w:bookmarkStart w:id="94" w:name="X694231572673875c8b98e55f859590bf822fedc"/>
    <w:p>
      <w:pPr>
        <w:pStyle w:val="berschrift3"/>
      </w:pPr>
      <w:r>
        <w:t xml:space="preserve">3.4.2 Eigenschaften</w:t>
      </w:r>
    </w:p>
    <w:tbl>
      <w:tblPr>
        <w:tblStyle w:val="Table"/>
        <w:tblW w:type="pct" w:w="4957"/>
        <w:tblLayout w:type="fixed"/>
        <w:tblLook w:firstRow="1" w:lastRow="0" w:firstColumn="0" w:lastColumn="0" w:noHBand="0" w:noVBand="0" w:val="0020"/>
      </w:tblPr>
      <w:tblGrid>
        <w:gridCol w:w="2910"/>
        <w:gridCol w:w="3926"/>
        <w:gridCol w:w="1015"/>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Jede Organisation muss einen Namen</w:t>
            </w:r>
            <w:r>
              <w:t xml:space="preserve"> </w:t>
            </w:r>
            <w:r>
              <w:t xml:space="preserve">haben.</w:t>
            </w:r>
          </w:p>
        </w:tc>
        <w:tc>
          <w:tcPr/>
          <w:p>
            <w:pPr>
              <w:pStyle w:val="Compact"/>
              <w:numPr>
                <w:ilvl w:val="0"/>
                <w:numId w:val="1014"/>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14"/>
              </w:numPr>
              <w:jc w:val="left"/>
            </w:pPr>
            <w:r>
              <w:t xml:space="preserve">Länge: 2–100 Zeichen</w:t>
            </w:r>
          </w:p>
        </w:tc>
        <w:tc>
          <w:tcPr/>
          <w:p>
            <w:pPr>
              <w:pStyle w:val="Compact"/>
              <w:jc w:val="right"/>
            </w:pPr>
            <w:r>
              <w:t xml:space="preserve">1..1</w:t>
            </w:r>
          </w:p>
        </w:tc>
      </w:tr>
    </w:tbl>
    <w:bookmarkEnd w:id="94"/>
    <w:bookmarkEnd w:id="95"/>
    <w:bookmarkStart w:id="11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t xml:space="preserve">Personen werden unabhängig von ihrer Rolle einheitlich beschrieben: Angestellte des Musikhandels, Kundinnen und Kunden sowie manuell erfasste Personen teilen dieselben Eigenschaften. Die Rolle ergibt sich aus den Beziehungen, etwa</w:t>
      </w:r>
      <w:r>
        <w:t xml:space="preserve"> </w:t>
      </w:r>
      <w:r>
        <w:rPr>
          <w:rStyle w:val="VerbatimChar"/>
        </w:rPr>
        <w:t xml:space="preserve">schema:worksFor</w:t>
      </w:r>
      <w:r>
        <w:t xml:space="preserve"> </w:t>
      </w:r>
      <w:r>
        <w:t xml:space="preserve">für Angestellte oder</w:t>
      </w:r>
      <w:r>
        <w:t xml:space="preserve"> </w:t>
      </w:r>
      <w:r>
        <w:rPr>
          <w:rStyle w:val="VerbatimChar"/>
        </w:rPr>
        <w:t xml:space="preserve">schema:customer</w:t>
      </w:r>
      <w:r>
        <w:t xml:space="preserve"> </w:t>
      </w:r>
      <w:r>
        <w:t xml:space="preserve">auf einer Rechnung für Kundschaft.</w:t>
      </w:r>
    </w:p>
    <w:p>
      <w:pPr>
        <w:pStyle w:val="Textkrper"/>
      </w:pPr>
      <w:r>
        <w:t xml:space="preserve">Namen werden so erfasst, wie sie die Person selbst verwendet; akademische Titel gehören nicht in den Vornamen. E-Mail-Adressen und Geburtsdaten sind freiwillige Angaben und werden bei Verstössen gegen die Regeln lediglich als Warnung gemeldet.</w:t>
      </w:r>
    </w:p>
    <w:bookmarkStart w:id="99" w:name="sec-nodeshape-personshape-overview"/>
    <w:p>
      <w:pPr>
        <w:pStyle w:val="berschrift3"/>
      </w:pPr>
      <w:r>
        <w:t xml:space="preserve">3.5.1 Übersicht</w:t>
      </w:r>
    </w:p>
    <w:p>
      <w:pPr>
        <w:pStyle w:val="DefinitionTerm"/>
      </w:pPr>
      <w:r>
        <w:t xml:space="preserve">Shape</w:t>
      </w:r>
    </w:p>
    <w:p>
      <w:pPr>
        <w:pStyle w:val="Definition"/>
      </w:pPr>
      <w:hyperlink r:id="rId96">
        <w:r>
          <w:rPr>
            <w:rStyle w:val="Hyperlink"/>
          </w:rPr>
          <w:t xml:space="preserve">:PersonShape</w:t>
        </w:r>
      </w:hyperlink>
    </w:p>
    <w:p>
      <w:pPr>
        <w:pStyle w:val="DefinitionTerm"/>
      </w:pPr>
      <w:r>
        <w:t xml:space="preserve">Zielklasse</w:t>
      </w:r>
    </w:p>
    <w:p>
      <w:pPr>
        <w:pStyle w:val="Definition"/>
      </w:pPr>
      <w:hyperlink r:id="rId97">
        <w:r>
          <w:rPr>
            <w:rStyle w:val="Hyperlink"/>
          </w:rPr>
          <w:t xml:space="preserve">schema:Person</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383 Instanzen mit je 5 bis 10 Tripeln (im Mittel 5.6)</w:t>
      </w:r>
    </w:p>
    <w:p>
      <w:pPr>
        <w:pStyle w:val="DefinitionTerm"/>
      </w:pPr>
      <w:r>
        <w:t xml:space="preserve">Datenzugriff</w:t>
      </w:r>
    </w:p>
    <w:p>
      <w:pPr>
        <w:pStyle w:val="Definition"/>
      </w:pPr>
      <w:hyperlink r:id="rId98">
        <w:r>
          <w:rPr>
            <w:rStyle w:val="Hyperlink"/>
          </w:rPr>
          <w:t xml:space="preserve">SPARQL-Dienst</w:t>
        </w:r>
      </w:hyperlink>
    </w:p>
    <w:bookmarkEnd w:id="99"/>
    <w:bookmarkStart w:id="110" w:name="sec-nodeshape-personshape-properties"/>
    <w:p>
      <w:pPr>
        <w:pStyle w:val="berschrift3"/>
      </w:pPr>
      <w:r>
        <w:t xml:space="preserve">3.5.2 Eigenschaften</w:t>
      </w:r>
    </w:p>
    <w:tbl>
      <w:tblPr>
        <w:tblStyle w:val="Table"/>
        <w:tblW w:type="pct" w:w="4961"/>
        <w:tblLayout w:type="fixed"/>
        <w:tblLook w:firstRow="1" w:lastRow="0" w:firstColumn="0" w:lastColumn="0" w:noHBand="0" w:noVBand="0" w:val="0020"/>
      </w:tblPr>
      <w:tblGrid>
        <w:gridCol w:w="3376"/>
        <w:gridCol w:w="3560"/>
        <w:gridCol w:w="9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Vorname</w:t>
            </w:r>
            <w:r>
              <w:t xml:space="preserve"> </w:t>
            </w:r>
            <w:r>
              <w:t xml:space="preserve">(</w:t>
            </w:r>
            <w:hyperlink r:id="rId100">
              <w:r>
                <w:rPr>
                  <w:rStyle w:val="Hyperlink"/>
                </w:rPr>
                <w:t xml:space="preserve">schema:givenName</w:t>
              </w:r>
            </w:hyperlink>
            <w:r>
              <w:t xml:space="preserve">):</w:t>
            </w:r>
            <w:r>
              <w:t xml:space="preserve"> </w:t>
            </w:r>
            <w:r>
              <w:t xml:space="preserve">Jede Person muss einen Vornamen haben.</w:t>
            </w:r>
          </w:p>
        </w:tc>
        <w:tc>
          <w:tcPr/>
          <w:p>
            <w:pPr>
              <w:pStyle w:val="Compact"/>
              <w:numPr>
                <w:ilvl w:val="0"/>
                <w:numId w:val="1015"/>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Nachname</w:t>
            </w:r>
            <w:r>
              <w:t xml:space="preserve"> </w:t>
            </w:r>
            <w:r>
              <w:t xml:space="preserve">(</w:t>
            </w:r>
            <w:hyperlink r:id="rId101">
              <w:r>
                <w:rPr>
                  <w:rStyle w:val="Hyperlink"/>
                </w:rPr>
                <w:t xml:space="preserve">schema:familyName</w:t>
              </w:r>
            </w:hyperlink>
            <w:r>
              <w:t xml:space="preserve">):</w:t>
            </w:r>
            <w:r>
              <w:t xml:space="preserve"> </w:t>
            </w:r>
            <w:r>
              <w:t xml:space="preserve">Jede Person muss einen Nachnamen haben.</w:t>
            </w:r>
          </w:p>
        </w:tc>
        <w:tc>
          <w:tcPr/>
          <w:p>
            <w:pPr>
              <w:pStyle w:val="Compact"/>
              <w:numPr>
                <w:ilvl w:val="0"/>
                <w:numId w:val="1016"/>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E-Mail-Adresse</w:t>
            </w:r>
            <w:r>
              <w:t xml:space="preserve"> </w:t>
            </w:r>
            <w:r>
              <w:t xml:space="preserve">(</w:t>
            </w:r>
            <w:hyperlink r:id="rId102">
              <w:r>
                <w:rPr>
                  <w:rStyle w:val="Hyperlink"/>
                </w:rPr>
                <w:t xml:space="preserve">schema:email</w:t>
              </w:r>
            </w:hyperlink>
            <w:r>
              <w:t xml:space="preserve">): Falls</w:t>
            </w:r>
            <w:r>
              <w:t xml:space="preserve"> </w:t>
            </w:r>
            <w:r>
              <w:t xml:space="preserve">angegeben, muss die E-Mail-Adresse einem</w:t>
            </w:r>
            <w:r>
              <w:t xml:space="preserve"> </w:t>
            </w:r>
            <w:r>
              <w:t xml:space="preserve">Standardformat entsprechen.</w:t>
            </w:r>
          </w:p>
        </w:tc>
        <w:tc>
          <w:tcPr/>
          <w:p>
            <w:pPr>
              <w:pStyle w:val="Compact"/>
              <w:numPr>
                <w:ilvl w:val="0"/>
                <w:numId w:val="1017"/>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17"/>
              </w:numPr>
              <w:jc w:val="left"/>
            </w:pPr>
            <w:r>
              <w:t xml:space="preserve">Muster:</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17"/>
              </w:numPr>
              <w:jc w:val="left"/>
            </w:pPr>
            <w:r>
              <w:t xml:space="preserve">Länge: ≤ 254 Zeichen</w:t>
            </w:r>
          </w:p>
          <w:p>
            <w:pPr>
              <w:pStyle w:val="Compact"/>
              <w:numPr>
                <w:ilvl w:val="0"/>
                <w:numId w:val="1017"/>
              </w:numPr>
              <w:jc w:val="left"/>
            </w:pPr>
            <w:r>
              <w:t xml:space="preserve">Schweregrad: Warnung</w:t>
            </w:r>
          </w:p>
        </w:tc>
        <w:tc>
          <w:tcPr/>
          <w:p>
            <w:pPr>
              <w:pStyle w:val="Compact"/>
              <w:jc w:val="right"/>
            </w:pPr>
            <w:r>
              <w:t xml:space="preserve">0..*</w:t>
            </w:r>
          </w:p>
        </w:tc>
      </w:tr>
      <w:tr>
        <w:tc>
          <w:tcPr/>
          <w:p>
            <w:pPr>
              <w:pStyle w:val="Compact"/>
              <w:jc w:val="left"/>
            </w:pPr>
            <w:r>
              <w:rPr>
                <w:b/>
                <w:bCs/>
              </w:rPr>
              <w:t xml:space="preserve">Geburtsdatum</w:t>
            </w:r>
            <w:r>
              <w:t xml:space="preserve"> </w:t>
            </w:r>
            <w:r>
              <w:t xml:space="preserve">(</w:t>
            </w:r>
            <w:hyperlink r:id="rId103">
              <w:r>
                <w:rPr>
                  <w:rStyle w:val="Hyperlink"/>
                </w:rPr>
                <w:t xml:space="preserve">schema:birthDate</w:t>
              </w:r>
            </w:hyperlink>
            <w:r>
              <w:t xml:space="preserve">):</w:t>
            </w:r>
            <w:r>
              <w:t xml:space="preserve"> </w:t>
            </w:r>
            <w:r>
              <w:t xml:space="preserve">Eine Person sollte ein gültiges Geburtsdatum haben.</w:t>
            </w:r>
          </w:p>
        </w:tc>
        <w:tc>
          <w:tcPr/>
          <w:p>
            <w:pPr>
              <w:pStyle w:val="Compact"/>
              <w:numPr>
                <w:ilvl w:val="0"/>
                <w:numId w:val="1018"/>
              </w:numPr>
              <w:jc w:val="left"/>
            </w:pPr>
            <w:r>
              <w:t xml:space="preserve">Typ: Datum</w:t>
            </w:r>
            <w:r>
              <w:t xml:space="preserve"> </w:t>
            </w:r>
            <w:r>
              <w:t xml:space="preserve">(</w:t>
            </w:r>
            <w:hyperlink r:id="rId104">
              <w:r>
                <w:rPr>
                  <w:rStyle w:val="Hyperlink"/>
                </w:rPr>
                <w:t xml:space="preserve">xsd:date</w:t>
              </w:r>
            </w:hyperlink>
            <w:r>
              <w:t xml:space="preserve">)</w:t>
            </w:r>
          </w:p>
          <w:p>
            <w:pPr>
              <w:pStyle w:val="Compact"/>
              <w:numPr>
                <w:ilvl w:val="0"/>
                <w:numId w:val="1018"/>
              </w:numPr>
              <w:jc w:val="left"/>
            </w:pPr>
            <w:r>
              <w:t xml:space="preserve">Wertebereich: ≥ 1900-01-01, ≤ 2025-12-31</w:t>
            </w:r>
          </w:p>
          <w:p>
            <w:pPr>
              <w:pStyle w:val="Compact"/>
              <w:numPr>
                <w:ilvl w:val="0"/>
                <w:numId w:val="1018"/>
              </w:numPr>
              <w:jc w:val="left"/>
            </w:pPr>
            <w:r>
              <w:t xml:space="preserve">Schweregrad: Warnung</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05">
              <w:r>
                <w:rPr>
                  <w:rStyle w:val="Hyperlink"/>
                </w:rPr>
                <w:t xml:space="preserve">schema:address</w:t>
              </w:r>
            </w:hyperlink>
            <w:r>
              <w:t xml:space="preserve">)</w:t>
            </w:r>
          </w:p>
        </w:tc>
        <w:tc>
          <w:tcPr/>
          <w:p>
            <w:pPr>
              <w:pStyle w:val="Compact"/>
              <w:numPr>
                <w:ilvl w:val="0"/>
                <w:numId w:val="1019"/>
              </w:numPr>
              <w:jc w:val="left"/>
            </w:pPr>
            <w:r>
              <w:t xml:space="preserve">Typ:</w:t>
            </w:r>
            <w:r>
              <w:t xml:space="preserve"> </w:t>
            </w:r>
            <w:hyperlink w:anchor="sec-nodeshape-postaladdressshape">
              <w:r>
                <w:rPr>
                  <w:rStyle w:val="Hyperlink"/>
                </w:rPr>
                <w:t xml:space="preserve">Postadresse</w:t>
              </w:r>
            </w:hyperlink>
          </w:p>
        </w:tc>
        <w:tc>
          <w:tcPr/>
          <w:p>
            <w:pPr>
              <w:pStyle w:val="Compact"/>
              <w:jc w:val="right"/>
            </w:pPr>
            <w:r>
              <w:t xml:space="preserve">0..*</w:t>
            </w:r>
          </w:p>
        </w:tc>
      </w:tr>
      <w:tr>
        <w:tc>
          <w:tcPr/>
          <w:p>
            <w:pPr>
              <w:pStyle w:val="Compact"/>
              <w:jc w:val="left"/>
            </w:pPr>
            <w:r>
              <w:rPr>
                <w:b/>
                <w:bCs/>
              </w:rPr>
              <w:t xml:space="preserve">Arbeitet für</w:t>
            </w:r>
            <w:r>
              <w:t xml:space="preserve"> </w:t>
            </w:r>
            <w:r>
              <w:t xml:space="preserve">(</w:t>
            </w:r>
            <w:hyperlink r:id="rId106">
              <w:r>
                <w:rPr>
                  <w:rStyle w:val="Hyperlink"/>
                </w:rPr>
                <w:t xml:space="preserve">schema:worksFor</w:t>
              </w:r>
            </w:hyperlink>
            <w:r>
              <w:t xml:space="preserve">): Ein</w:t>
            </w:r>
            <w:r>
              <w:t xml:space="preserve"> </w:t>
            </w:r>
            <w:r>
              <w:t xml:space="preserve">Mitarbeiter kann einer anderen Person unterstellt</w:t>
            </w:r>
            <w:r>
              <w:t xml:space="preserve"> </w:t>
            </w:r>
            <w:r>
              <w:t xml:space="preserve">sein.</w:t>
            </w:r>
          </w:p>
        </w:tc>
        <w:tc>
          <w:tcPr/>
          <w:p>
            <w:pPr>
              <w:pStyle w:val="Compact"/>
              <w:numPr>
                <w:ilvl w:val="0"/>
                <w:numId w:val="1020"/>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107">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Berufsbezeichnung</w:t>
            </w:r>
            <w:r>
              <w:t xml:space="preserve"> </w:t>
            </w:r>
            <w:r>
              <w:t xml:space="preserve">(</w:t>
            </w:r>
            <w:hyperlink r:id="rId108">
              <w:r>
                <w:rPr>
                  <w:rStyle w:val="Hyperlink"/>
                </w:rPr>
                <w:t xml:space="preserve">schema:jobTitle</w:t>
              </w:r>
            </w:hyperlink>
            <w:r>
              <w:t xml:space="preserve">)</w:t>
            </w:r>
          </w:p>
        </w:tc>
        <w:tc>
          <w:tcPr/>
          <w:p>
            <w:pPr>
              <w:pStyle w:val="Compact"/>
              <w:numPr>
                <w:ilvl w:val="0"/>
                <w:numId w:val="1021"/>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1"/>
              </w:numPr>
              <w:jc w:val="left"/>
            </w:pPr>
            <w:r>
              <w:t xml:space="preserve">Länge: 2–100 Zeichen</w:t>
            </w:r>
          </w:p>
        </w:tc>
        <w:tc>
          <w:tcPr/>
          <w:p>
            <w:pPr>
              <w:pStyle w:val="Compact"/>
              <w:jc w:val="right"/>
            </w:pPr>
            <w:r>
              <w:t xml:space="preserve">0..1</w:t>
            </w:r>
          </w:p>
        </w:tc>
      </w:tr>
      <w:tr>
        <w:tc>
          <w:tcPr/>
          <w:p>
            <w:pPr>
              <w:pStyle w:val="Compact"/>
              <w:jc w:val="left"/>
            </w:pPr>
            <w:r>
              <w:rPr>
                <w:b/>
                <w:bCs/>
              </w:rPr>
              <w:t xml:space="preserve">Kennt</w:t>
            </w:r>
            <w:r>
              <w:t xml:space="preserve"> </w:t>
            </w:r>
            <w:r>
              <w:t xml:space="preserve">(</w:t>
            </w:r>
            <w:hyperlink r:id="rId109">
              <w:r>
                <w:rPr>
                  <w:rStyle w:val="Hyperlink"/>
                </w:rPr>
                <w:t xml:space="preserve">schema:knows</w:t>
              </w:r>
            </w:hyperlink>
            <w:r>
              <w:t xml:space="preserve">)</w:t>
            </w:r>
          </w:p>
        </w:tc>
        <w:tc>
          <w:tcPr/>
          <w:p>
            <w:pPr>
              <w:pStyle w:val="Compact"/>
              <w:numPr>
                <w:ilvl w:val="0"/>
                <w:numId w:val="1022"/>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10"/>
    <w:bookmarkStart w:id="112" w:name="sec-nodeshape-personshape-rules"/>
    <w:p>
      <w:pPr>
        <w:pStyle w:val="berschrift3"/>
      </w:pPr>
      <w:r>
        <w:t xml:space="preserve">3.5.3 Regeln (SPARQL)</w:t>
      </w:r>
    </w:p>
    <w:bookmarkStart w:id="111" w:name="sec-nodeshape-personshape-rule-1"/>
    <w:p>
      <w:pPr>
        <w:pStyle w:val="berschrift4"/>
      </w:pPr>
      <w:r>
        <w:t xml:space="preserve">3.5.3.1 Keine Selbstunterstellung</w:t>
      </w:r>
    </w:p>
    <w:p>
      <w:pPr>
        <w:pStyle w:val="FirstParagraph"/>
      </w:pPr>
      <w:r>
        <w:t xml:space="preserve">Ein Mitarbeiter kann nicht sich selbst unterstellt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11"/>
    <w:bookmarkEnd w:id="112"/>
    <w:bookmarkEnd w:id="113"/>
    <w:bookmarkStart w:id="127" w:name="sec-nodeshape-postaladdressshape"/>
    <w:p>
      <w:pPr>
        <w:pStyle w:val="berschrift2"/>
      </w:pPr>
      <w:r>
        <w:t xml:space="preserve">3.6 Postadresse</w:t>
      </w:r>
    </w:p>
    <w:p>
      <w:pPr>
        <w:pStyle w:val="FirstParagraph"/>
      </w:pPr>
      <w:r>
        <w:t xml:space="preserve">Die Postadresse einer Person.</w:t>
      </w:r>
    </w:p>
    <w:p>
      <w:pPr>
        <w:pStyle w:val="Textkrper"/>
      </w:pPr>
      <w:r>
        <w:t xml:space="preserve">Adressen folgen dem Aufbau von schema.org und nicht dem Schweizer Adressstandard eCH-0010, da der Datensatz überwiegend ausländische Adressen enthält. Postleitzahlen werden deshalb nur auf ein plausibles Format geprüft, nicht gegen ein Verzeichnis.</w:t>
      </w:r>
    </w:p>
    <w:bookmarkStart w:id="117" w:name="Xf875252aad1b3a425685d2837dfb16e5026bccf"/>
    <w:p>
      <w:pPr>
        <w:pStyle w:val="berschrift3"/>
      </w:pPr>
      <w:r>
        <w:t xml:space="preserve">3.6.1 Übersicht</w:t>
      </w:r>
    </w:p>
    <w:p>
      <w:pPr>
        <w:pStyle w:val="DefinitionTerm"/>
      </w:pPr>
      <w:r>
        <w:t xml:space="preserve">Shape</w:t>
      </w:r>
    </w:p>
    <w:p>
      <w:pPr>
        <w:pStyle w:val="Definition"/>
      </w:pPr>
      <w:hyperlink r:id="rId114">
        <w:r>
          <w:rPr>
            <w:rStyle w:val="Hyperlink"/>
          </w:rPr>
          <w:t xml:space="preserve">:PostalAddressShape</w:t>
        </w:r>
      </w:hyperlink>
    </w:p>
    <w:p>
      <w:pPr>
        <w:pStyle w:val="DefinitionTerm"/>
      </w:pPr>
      <w:r>
        <w:t xml:space="preserve">Zielklasse</w:t>
      </w:r>
    </w:p>
    <w:p>
      <w:pPr>
        <w:pStyle w:val="Definition"/>
      </w:pPr>
      <w:hyperlink r:id="rId115">
        <w:r>
          <w:rPr>
            <w:rStyle w:val="Hyperlink"/>
          </w:rPr>
          <w:t xml:space="preserve">schema:PostalAddress</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67 Instanzen mit je 6 bis 8 Tripeln (im Mittel 7.5)</w:t>
      </w:r>
    </w:p>
    <w:p>
      <w:pPr>
        <w:pStyle w:val="DefinitionTerm"/>
      </w:pPr>
      <w:r>
        <w:t xml:space="preserve">Datenzugriff</w:t>
      </w:r>
    </w:p>
    <w:p>
      <w:pPr>
        <w:pStyle w:val="Definition"/>
      </w:pPr>
      <w:hyperlink r:id="rId116">
        <w:r>
          <w:rPr>
            <w:rStyle w:val="Hyperlink"/>
          </w:rPr>
          <w:t xml:space="preserve">SPARQL-Dienst</w:t>
        </w:r>
      </w:hyperlink>
    </w:p>
    <w:bookmarkEnd w:id="117"/>
    <w:bookmarkStart w:id="126" w:name="X94841f346bc9e44ac9d6b39aeccedc95e7957c8"/>
    <w:p>
      <w:pPr>
        <w:pStyle w:val="berschrift3"/>
      </w:pPr>
      <w:r>
        <w:t xml:space="preserve">3.6.2 Eigenschaften</w:t>
      </w:r>
    </w:p>
    <w:tbl>
      <w:tblPr>
        <w:tblStyle w:val="Table"/>
        <w:tblW w:type="pct" w:w="4964"/>
        <w:tblLayout w:type="fixed"/>
        <w:tblLook w:firstRow="1" w:lastRow="0" w:firstColumn="0" w:lastColumn="0" w:noHBand="0" w:noVBand="0" w:val="0020"/>
      </w:tblPr>
      <w:tblGrid>
        <w:gridCol w:w="3703"/>
        <w:gridCol w:w="3304"/>
        <w:gridCol w:w="854"/>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Strasse und Hausnummer</w:t>
            </w:r>
            <w:r>
              <w:t xml:space="preserve"> </w:t>
            </w:r>
            <w:r>
              <w:t xml:space="preserve">(</w:t>
            </w:r>
            <w:hyperlink r:id="rId118">
              <w:r>
                <w:rPr>
                  <w:rStyle w:val="Hyperlink"/>
                </w:rPr>
                <w:t xml:space="preserve">schema:streetAddress</w:t>
              </w:r>
            </w:hyperlink>
            <w:r>
              <w:t xml:space="preserve">)</w:t>
            </w:r>
          </w:p>
        </w:tc>
        <w:tc>
          <w:tcPr/>
          <w:p>
            <w:pPr>
              <w:pStyle w:val="Compact"/>
              <w:numPr>
                <w:ilvl w:val="0"/>
                <w:numId w:val="1023"/>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3"/>
              </w:numPr>
              <w:jc w:val="left"/>
            </w:pPr>
            <w:r>
              <w:t xml:space="preserve">Länge: 3–100 Zeichen</w:t>
            </w:r>
          </w:p>
          <w:p>
            <w:pPr>
              <w:pStyle w:val="Compact"/>
              <w:numPr>
                <w:ilvl w:val="0"/>
                <w:numId w:val="1023"/>
              </w:numPr>
              <w:jc w:val="left"/>
            </w:pPr>
            <w:r>
              <w:t xml:space="preserve">Beispiele: Schwarzenburgstrasse 165</w:t>
            </w:r>
          </w:p>
        </w:tc>
        <w:tc>
          <w:tcPr/>
          <w:p>
            <w:pPr>
              <w:pStyle w:val="Compact"/>
              <w:jc w:val="right"/>
            </w:pPr>
            <w:r>
              <w:t xml:space="preserve">1..1</w:t>
            </w:r>
          </w:p>
        </w:tc>
      </w:tr>
      <w:tr>
        <w:tc>
          <w:tcPr/>
          <w:p>
            <w:pPr>
              <w:pStyle w:val="Compact"/>
              <w:jc w:val="left"/>
            </w:pPr>
            <w:r>
              <w:rPr>
                <w:b/>
                <w:bCs/>
              </w:rPr>
              <w:t xml:space="preserve">Postleitzahl</w:t>
            </w:r>
            <w:r>
              <w:t xml:space="preserve"> </w:t>
            </w:r>
            <w:r>
              <w:t xml:space="preserve">(</w:t>
            </w:r>
            <w:hyperlink r:id="rId119">
              <w:r>
                <w:rPr>
                  <w:rStyle w:val="Hyperlink"/>
                </w:rPr>
                <w:t xml:space="preserve">schema:postalCode</w:t>
              </w:r>
            </w:hyperlink>
            <w:r>
              <w:t xml:space="preserve">):</w:t>
            </w:r>
            <w:r>
              <w:t xml:space="preserve"> </w:t>
            </w:r>
            <w:r>
              <w:t xml:space="preserve">Buchstaben, Ziffern, Leerzeichen und Bindestriche, zwei bis</w:t>
            </w:r>
            <w:r>
              <w:t xml:space="preserve"> </w:t>
            </w:r>
            <w:r>
              <w:t xml:space="preserve">zehn Zeichen.</w:t>
            </w:r>
          </w:p>
        </w:tc>
        <w:tc>
          <w:tcPr/>
          <w:p>
            <w:pPr>
              <w:pStyle w:val="Compact"/>
              <w:numPr>
                <w:ilvl w:val="0"/>
                <w:numId w:val="1024"/>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4"/>
              </w:numPr>
              <w:jc w:val="left"/>
            </w:pPr>
            <w:r>
              <w:t xml:space="preserve">Muster:</w:t>
            </w:r>
            <w:r>
              <w:t xml:space="preserve"> </w:t>
            </w:r>
            <w:r>
              <w:rPr>
                <w:rStyle w:val="VerbatimChar"/>
              </w:rPr>
              <w:t xml:space="preserve">^[A-Za-z0-9][A-Za-z0-9 -]{1,9}$</w:t>
            </w:r>
          </w:p>
          <w:p>
            <w:pPr>
              <w:pStyle w:val="Compact"/>
              <w:numPr>
                <w:ilvl w:val="0"/>
                <w:numId w:val="1024"/>
              </w:numPr>
              <w:jc w:val="left"/>
            </w:pPr>
            <w:r>
              <w:t xml:space="preserve">Schweregrad: Warnung</w:t>
            </w:r>
          </w:p>
        </w:tc>
        <w:tc>
          <w:tcPr/>
          <w:p>
            <w:pPr>
              <w:pStyle w:val="Compact"/>
              <w:jc w:val="right"/>
            </w:pPr>
            <w:r>
              <w:t xml:space="preserve">0..1</w:t>
            </w:r>
          </w:p>
        </w:tc>
      </w:tr>
      <w:tr>
        <w:tc>
          <w:tcPr/>
          <w:p>
            <w:pPr>
              <w:pStyle w:val="Compact"/>
              <w:jc w:val="left"/>
            </w:pPr>
            <w:r>
              <w:rPr>
                <w:b/>
                <w:bCs/>
              </w:rPr>
              <w:t xml:space="preserve">Ort</w:t>
            </w:r>
            <w:r>
              <w:t xml:space="preserve"> </w:t>
            </w:r>
            <w:r>
              <w:t xml:space="preserve">(</w:t>
            </w:r>
            <w:hyperlink r:id="rId120">
              <w:r>
                <w:rPr>
                  <w:rStyle w:val="Hyperlink"/>
                </w:rPr>
                <w:t xml:space="preserve">schema:addressLocality</w:t>
              </w:r>
            </w:hyperlink>
            <w:r>
              <w:t xml:space="preserve">):</w:t>
            </w:r>
            <w:r>
              <w:t xml:space="preserve"> </w:t>
            </w:r>
            <w:r>
              <w:t xml:space="preserve">Jede Adresse braucht genau einen Ort.</w:t>
            </w:r>
          </w:p>
        </w:tc>
        <w:tc>
          <w:tcPr/>
          <w:p>
            <w:pPr>
              <w:pStyle w:val="Compact"/>
              <w:numPr>
                <w:ilvl w:val="0"/>
                <w:numId w:val="1025"/>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5"/>
              </w:numPr>
              <w:jc w:val="left"/>
            </w:pPr>
            <w:r>
              <w:t xml:space="preserve">Länge: ≤ 100 Zeichen</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21">
              <w:r>
                <w:rPr>
                  <w:rStyle w:val="Hyperlink"/>
                </w:rPr>
                <w:t xml:space="preserve">schema:addressRegion</w:t>
              </w:r>
            </w:hyperlink>
            <w:r>
              <w:t xml:space="preserve">):</w:t>
            </w:r>
            <w:r>
              <w:t xml:space="preserve"> </w:t>
            </w:r>
            <w:r>
              <w:t xml:space="preserve">Kanton, Bundesstaat oder Provinz, sofern im Land üblich.</w:t>
            </w:r>
          </w:p>
        </w:tc>
        <w:tc>
          <w:tcPr/>
          <w:p>
            <w:pPr>
              <w:pStyle w:val="Compact"/>
              <w:numPr>
                <w:ilvl w:val="0"/>
                <w:numId w:val="1026"/>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6"/>
              </w:numPr>
              <w:jc w:val="left"/>
            </w:pPr>
            <w:r>
              <w:t xml:space="preserve">Länge: ≤ 100 Zeichen</w:t>
            </w:r>
          </w:p>
        </w:tc>
        <w:tc>
          <w:tcPr/>
          <w:p>
            <w:pPr>
              <w:pStyle w:val="Compact"/>
              <w:jc w:val="right"/>
            </w:pPr>
            <w:r>
              <w:t xml:space="preserve">0..1</w:t>
            </w:r>
          </w:p>
        </w:tc>
      </w:tr>
      <w:tr>
        <w:tc>
          <w:tcPr/>
          <w:p>
            <w:pPr>
              <w:pStyle w:val="Compact"/>
              <w:jc w:val="left"/>
            </w:pPr>
            <w:r>
              <w:rPr>
                <w:b/>
                <w:bCs/>
              </w:rPr>
              <w:t xml:space="preserve">Land</w:t>
            </w:r>
            <w:r>
              <w:t xml:space="preserve"> </w:t>
            </w:r>
            <w:r>
              <w:t xml:space="preserve">(</w:t>
            </w:r>
            <w:hyperlink r:id="rId122">
              <w:r>
                <w:rPr>
                  <w:rStyle w:val="Hyperlink"/>
                </w:rPr>
                <w:t xml:space="preserve">schema:addressCountry</w:t>
              </w:r>
            </w:hyperlink>
            <w:r>
              <w:t xml:space="preserve">):</w:t>
            </w:r>
            <w:r>
              <w:t xml:space="preserve"> </w:t>
            </w:r>
            <w:r>
              <w:t xml:space="preserve">Land als IRI aus dem Länderverzeichnis des Bundesarchivs auf</w:t>
            </w:r>
            <w:r>
              <w:t xml:space="preserve"> </w:t>
            </w:r>
            <w:r>
              <w:t xml:space="preserve">LINDAS (ISO 3166-1 alpha-3).</w:t>
            </w:r>
          </w:p>
        </w:tc>
        <w:tc>
          <w:tcPr/>
          <w:p>
            <w:pPr>
              <w:pStyle w:val="Compact"/>
              <w:numPr>
                <w:ilvl w:val="0"/>
                <w:numId w:val="1027"/>
              </w:numPr>
              <w:jc w:val="left"/>
            </w:pPr>
            <w:r>
              <w:t xml:space="preserve">Muster:</w:t>
            </w:r>
            <w:r>
              <w:t xml:space="preserve"> </w:t>
            </w:r>
            <w:r>
              <w:rPr>
                <w:rStyle w:val="VerbatimChar"/>
              </w:rPr>
              <w:t xml:space="preserve">^https://ld\.admin\.ch/country/[A-Z]{3}$</w:t>
            </w:r>
          </w:p>
          <w:p>
            <w:pPr>
              <w:pStyle w:val="Compact"/>
              <w:numPr>
                <w:ilvl w:val="0"/>
                <w:numId w:val="1027"/>
              </w:numPr>
              <w:jc w:val="left"/>
            </w:pPr>
            <w:r>
              <w:t xml:space="preserve">Beispiele:</w:t>
            </w:r>
            <w:r>
              <w:t xml:space="preserve"> </w:t>
            </w:r>
            <w:hyperlink r:id="rId123">
              <w:r>
                <w:rPr>
                  <w:rStyle w:val="Hyperlink"/>
                </w:rPr>
                <w:t xml:space="preserve">country:CHE</w:t>
              </w:r>
            </w:hyperlink>
            <w:r>
              <w:t xml:space="preserve">,</w:t>
            </w:r>
            <w:r>
              <w:t xml:space="preserve"> </w:t>
            </w:r>
            <w:hyperlink r:id="rId124">
              <w:r>
                <w:rPr>
                  <w:rStyle w:val="Hyperlink"/>
                </w:rPr>
                <w:t xml:space="preserve">country:FRA</w:t>
              </w:r>
            </w:hyperlink>
            <w:r>
              <w:t xml:space="preserve">,</w:t>
            </w:r>
            <w:r>
              <w:t xml:space="preserve"> </w:t>
            </w:r>
            <w:hyperlink r:id="rId125">
              <w:r>
                <w:rPr>
                  <w:rStyle w:val="Hyperlink"/>
                </w:rPr>
                <w:t xml:space="preserve">country:ITA</w:t>
              </w:r>
            </w:hyperlink>
          </w:p>
        </w:tc>
        <w:tc>
          <w:tcPr/>
          <w:p>
            <w:pPr>
              <w:pStyle w:val="Compact"/>
              <w:jc w:val="right"/>
            </w:pPr>
            <w:r>
              <w:t xml:space="preserve">1..1</w:t>
            </w:r>
          </w:p>
        </w:tc>
      </w:tr>
    </w:tbl>
    <w:bookmarkEnd w:id="126"/>
    <w:bookmarkEnd w:id="127"/>
    <w:bookmarkStart w:id="141" w:name="sec-nodeshape-quantitativevalueshape"/>
    <w:p>
      <w:pPr>
        <w:pStyle w:val="berschrift2"/>
      </w:pPr>
      <w:r>
        <w:t xml:space="preserve">3.7 Quantitativer Wert</w:t>
      </w:r>
    </w:p>
    <w:p>
      <w:pPr>
        <w:pStyle w:val="FirstParagraph"/>
      </w:pPr>
      <w:r>
        <w:t xml:space="preserve">Ein numerischer Wert mit einer dazugehörigen Einheit.</w:t>
      </w:r>
    </w:p>
    <w:p>
      <w:pPr>
        <w:pStyle w:val="Textkrper"/>
      </w:pPr>
      <w:r>
        <w:t xml:space="preserve">Quantitative Werte werden nie als blosse Zahl erfasst, sondern immer zusammen mit einer Einheit aus dem QUDT-Vokabular. So bleibt eindeutig, ob eine Dauer in Millisekunden oder eine Dateigrösse in Bytes gemeint ist. Negative Werte sind in diesem Datensatz nicht vorgesehen.</w:t>
      </w:r>
    </w:p>
    <w:bookmarkStart w:id="131" w:name="X78f593afbb200587db35193dab5ef366499966a"/>
    <w:p>
      <w:pPr>
        <w:pStyle w:val="berschrift3"/>
      </w:pPr>
      <w:r>
        <w:t xml:space="preserve">3.7.1 Übersicht</w:t>
      </w:r>
    </w:p>
    <w:p>
      <w:pPr>
        <w:pStyle w:val="DefinitionTerm"/>
      </w:pPr>
      <w:r>
        <w:t xml:space="preserve">Shape</w:t>
      </w:r>
    </w:p>
    <w:p>
      <w:pPr>
        <w:pStyle w:val="Definition"/>
      </w:pPr>
      <w:hyperlink r:id="rId128">
        <w:r>
          <w:rPr>
            <w:rStyle w:val="Hyperlink"/>
          </w:rPr>
          <w:t xml:space="preserve">:QuantitativeValueShape</w:t>
        </w:r>
      </w:hyperlink>
    </w:p>
    <w:p>
      <w:pPr>
        <w:pStyle w:val="DefinitionTerm"/>
      </w:pPr>
      <w:r>
        <w:t xml:space="preserve">Zielklasse</w:t>
      </w:r>
    </w:p>
    <w:p>
      <w:pPr>
        <w:pStyle w:val="Definition"/>
      </w:pPr>
      <w:hyperlink r:id="rId129">
        <w:r>
          <w:rPr>
            <w:rStyle w:val="Hyperlink"/>
          </w:rPr>
          <w:t xml:space="preserve">schema:QuantitativeValue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15401 Instanzen mit je 3 Tripeln</w:t>
      </w:r>
    </w:p>
    <w:p>
      <w:pPr>
        <w:pStyle w:val="DefinitionTerm"/>
      </w:pPr>
      <w:r>
        <w:t xml:space="preserve">Datenzugriff</w:t>
      </w:r>
    </w:p>
    <w:p>
      <w:pPr>
        <w:pStyle w:val="Definition"/>
      </w:pPr>
      <w:hyperlink r:id="rId130">
        <w:r>
          <w:rPr>
            <w:rStyle w:val="Hyperlink"/>
          </w:rPr>
          <w:t xml:space="preserve">SPARQL-Dienst</w:t>
        </w:r>
      </w:hyperlink>
    </w:p>
    <w:bookmarkEnd w:id="131"/>
    <w:bookmarkStart w:id="140" w:name="X2e1f3b536eb29ac285cf6217bf2fada750b5fc0"/>
    <w:p>
      <w:pPr>
        <w:pStyle w:val="berschrift3"/>
      </w:pPr>
      <w:r>
        <w:t xml:space="preserve">3.7.2 Eigenschaften</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Wert</w:t>
            </w:r>
            <w:r>
              <w:t xml:space="preserve"> </w:t>
            </w:r>
            <w:r>
              <w:t xml:space="preserve">(</w:t>
            </w:r>
            <w:hyperlink r:id="rId132">
              <w:r>
                <w:rPr>
                  <w:rStyle w:val="Hyperlink"/>
                </w:rPr>
                <w:t xml:space="preserve">schema:value</w:t>
              </w:r>
            </w:hyperlink>
            <w:r>
              <w:t xml:space="preserve">): Ein</w:t>
            </w:r>
            <w:r>
              <w:t xml:space="preserve"> </w:t>
            </w:r>
            <w:r>
              <w:t xml:space="preserve">quantitativer Wert muss genau einen numerischen</w:t>
            </w:r>
            <w:r>
              <w:t xml:space="preserve"> </w:t>
            </w:r>
            <w:r>
              <w:t xml:space="preserve">Wert haben.</w:t>
            </w:r>
          </w:p>
        </w:tc>
        <w:tc>
          <w:tcPr/>
          <w:p>
            <w:pPr>
              <w:pStyle w:val="Compact"/>
              <w:numPr>
                <w:ilvl w:val="0"/>
                <w:numId w:val="1028"/>
              </w:numPr>
              <w:jc w:val="left"/>
            </w:pPr>
            <w:r>
              <w:t xml:space="preserve">Typ: Dezimalzahl</w:t>
            </w:r>
            <w:r>
              <w:t xml:space="preserve"> </w:t>
            </w:r>
            <w:r>
              <w:t xml:space="preserve">(</w:t>
            </w:r>
            <w:hyperlink r:id="rId133">
              <w:r>
                <w:rPr>
                  <w:rStyle w:val="Hyperlink"/>
                </w:rPr>
                <w:t xml:space="preserve">xsd:decimal</w:t>
              </w:r>
            </w:hyperlink>
            <w:r>
              <w:t xml:space="preserve">)</w:t>
            </w:r>
            <w:r>
              <w:t xml:space="preserve"> </w:t>
            </w:r>
            <w:r>
              <w:t xml:space="preserve">oder Ganzzahl</w:t>
            </w:r>
            <w:r>
              <w:t xml:space="preserve"> </w:t>
            </w:r>
            <w:r>
              <w:t xml:space="preserve">(</w:t>
            </w:r>
            <w:hyperlink r:id="rId134">
              <w:r>
                <w:rPr>
                  <w:rStyle w:val="Hyperlink"/>
                </w:rPr>
                <w:t xml:space="preserve">xsd:integer</w:t>
              </w:r>
            </w:hyperlink>
            <w:r>
              <w:t xml:space="preserve">)</w:t>
            </w:r>
          </w:p>
          <w:p>
            <w:pPr>
              <w:pStyle w:val="Compact"/>
              <w:numPr>
                <w:ilvl w:val="0"/>
                <w:numId w:val="1028"/>
              </w:numPr>
              <w:jc w:val="left"/>
            </w:pPr>
            <w:r>
              <w:t xml:space="preserve">Wertebereich: ≥ 0</w:t>
            </w:r>
          </w:p>
        </w:tc>
        <w:tc>
          <w:tcPr/>
          <w:p>
            <w:pPr>
              <w:pStyle w:val="Compact"/>
              <w:jc w:val="right"/>
            </w:pPr>
            <w:r>
              <w:t xml:space="preserve">1..1</w:t>
            </w:r>
          </w:p>
        </w:tc>
      </w:tr>
      <w:tr>
        <w:tc>
          <w:tcPr/>
          <w:p>
            <w:pPr>
              <w:pStyle w:val="Compact"/>
              <w:jc w:val="left"/>
            </w:pPr>
            <w:r>
              <w:rPr>
                <w:b/>
                <w:bCs/>
              </w:rPr>
              <w:t xml:space="preserve">Einheitencode</w:t>
            </w:r>
            <w:r>
              <w:t xml:space="preserve"> </w:t>
            </w:r>
            <w:r>
              <w:t xml:space="preserve">(</w:t>
            </w:r>
            <w:hyperlink r:id="rId135">
              <w:r>
                <w:rPr>
                  <w:rStyle w:val="Hyperlink"/>
                </w:rPr>
                <w:t xml:space="preserve">schema:unitCode</w:t>
              </w:r>
            </w:hyperlink>
            <w:r>
              <w:t xml:space="preserve">):</w:t>
            </w:r>
            <w:r>
              <w:t xml:space="preserve"> </w:t>
            </w:r>
            <w:r>
              <w:t xml:space="preserve">Ein quantitativer Wert muss seine Einheit über</w:t>
            </w:r>
            <w:r>
              <w:t xml:space="preserve"> </w:t>
            </w:r>
            <w:r>
              <w:t xml:space="preserve">eine unitCode-URI angeben.</w:t>
            </w:r>
          </w:p>
        </w:tc>
        <w:tc>
          <w:tcPr/>
          <w:p>
            <w:pPr>
              <w:pStyle w:val="Compact"/>
              <w:numPr>
                <w:ilvl w:val="0"/>
                <w:numId w:val="1029"/>
              </w:numPr>
              <w:jc w:val="left"/>
            </w:pPr>
            <w:r>
              <w:t xml:space="preserve">Werte:</w:t>
            </w:r>
            <w:r>
              <w:t xml:space="preserve"> </w:t>
            </w:r>
            <w:hyperlink r:id="rId136">
              <w:r>
                <w:rPr>
                  <w:rStyle w:val="Hyperlink"/>
                </w:rPr>
                <w:t xml:space="preserve">unit:USD</w:t>
              </w:r>
            </w:hyperlink>
            <w:r>
              <w:t xml:space="preserve">,</w:t>
            </w:r>
            <w:r>
              <w:t xml:space="preserve"> </w:t>
            </w:r>
            <w:hyperlink r:id="rId137">
              <w:r>
                <w:rPr>
                  <w:rStyle w:val="Hyperlink"/>
                </w:rPr>
                <w:t xml:space="preserve">unit:EA</w:t>
              </w:r>
            </w:hyperlink>
            <w:r>
              <w:t xml:space="preserve">,</w:t>
            </w:r>
            <w:r>
              <w:t xml:space="preserve"> </w:t>
            </w:r>
            <w:hyperlink r:id="rId138">
              <w:r>
                <w:rPr>
                  <w:rStyle w:val="Hyperlink"/>
                </w:rPr>
                <w:t xml:space="preserve">unit:BYTE</w:t>
              </w:r>
            </w:hyperlink>
            <w:r>
              <w:t xml:space="preserve">,</w:t>
            </w:r>
            <w:r>
              <w:t xml:space="preserve"> </w:t>
            </w:r>
            <w:hyperlink r:id="rId139">
              <w:r>
                <w:rPr>
                  <w:rStyle w:val="Hyperlink"/>
                </w:rPr>
                <w:t xml:space="preserve">unit:MilliSEC</w:t>
              </w:r>
            </w:hyperlink>
          </w:p>
        </w:tc>
        <w:tc>
          <w:tcPr/>
          <w:p>
            <w:pPr>
              <w:pStyle w:val="Compact"/>
              <w:jc w:val="right"/>
            </w:pPr>
            <w:r>
              <w:t xml:space="preserve">1..1</w:t>
            </w:r>
          </w:p>
        </w:tc>
      </w:tr>
    </w:tbl>
    <w:bookmarkEnd w:id="140"/>
    <w:bookmarkEnd w:id="141"/>
    <w:bookmarkStart w:id="155" w:name="sec-nodeshape-invoiceshape"/>
    <w:p>
      <w:pPr>
        <w:pStyle w:val="berschrift2"/>
      </w:pPr>
      <w:r>
        <w:t xml:space="preserve">3.8 Rechnung</w:t>
      </w:r>
    </w:p>
    <w:p>
      <w:pPr>
        <w:pStyle w:val="FirstParagraph"/>
      </w:pPr>
      <w:r>
        <w:t xml:space="preserve">Ein Kaufbeleg im Chinook-Datensatz. Eine Rechnung fasst die Positionen eines Kaufs zusammen. Der Rechnungsbetrag wird nicht nur als Wert erfasst, sondern auch gegen die Summe der Positionen geprüft; Abweichungen von mehr als fünf Rappen gelten als Fehler. Rechnungen vor dem Jahr 2000 stammen aus einem Altsystem und sind in diesem Datensatz nicht zulässig.</w:t>
      </w:r>
    </w:p>
    <w:bookmarkStart w:id="145" w:name="sec-nodeshape-invoiceshape-overview"/>
    <w:p>
      <w:pPr>
        <w:pStyle w:val="berschrift3"/>
      </w:pPr>
      <w:r>
        <w:t xml:space="preserve">3.8.1 Übersicht</w:t>
      </w:r>
    </w:p>
    <w:p>
      <w:pPr>
        <w:pStyle w:val="DefinitionTerm"/>
      </w:pPr>
      <w:r>
        <w:t xml:space="preserve">Shape</w:t>
      </w:r>
    </w:p>
    <w:p>
      <w:pPr>
        <w:pStyle w:val="Definition"/>
      </w:pPr>
      <w:hyperlink r:id="rId142">
        <w:r>
          <w:rPr>
            <w:rStyle w:val="Hyperlink"/>
          </w:rPr>
          <w:t xml:space="preserve">:InvoiceShape</w:t>
        </w:r>
      </w:hyperlink>
    </w:p>
    <w:p>
      <w:pPr>
        <w:pStyle w:val="DefinitionTerm"/>
      </w:pPr>
      <w:r>
        <w:t xml:space="preserve">Zielklasse</w:t>
      </w:r>
    </w:p>
    <w:p>
      <w:pPr>
        <w:pStyle w:val="Definition"/>
      </w:pPr>
      <w:hyperlink r:id="rId143">
        <w:r>
          <w:rPr>
            <w:rStyle w:val="Hyperlink"/>
          </w:rPr>
          <w:t xml:space="preserve">schema:Invoice</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412 Instanzen mit je 8 bis 21 Tripeln (im Mittel 12.4)</w:t>
      </w:r>
    </w:p>
    <w:p>
      <w:pPr>
        <w:pStyle w:val="DefinitionTerm"/>
      </w:pPr>
      <w:r>
        <w:t xml:space="preserve">Datenzugriff</w:t>
      </w:r>
    </w:p>
    <w:p>
      <w:pPr>
        <w:pStyle w:val="Definition"/>
      </w:pPr>
      <w:hyperlink r:id="rId144">
        <w:r>
          <w:rPr>
            <w:rStyle w:val="Hyperlink"/>
          </w:rPr>
          <w:t xml:space="preserve">SPARQL-Dienst</w:t>
        </w:r>
      </w:hyperlink>
    </w:p>
    <w:bookmarkEnd w:id="145"/>
    <w:bookmarkStart w:id="151" w:name="sec-nodeshape-invoiceshape-properties"/>
    <w:p>
      <w:pPr>
        <w:pStyle w:val="berschrift3"/>
      </w:pPr>
      <w:r>
        <w:t xml:space="preserve">3.8.2 Eigenschaften</w:t>
      </w:r>
    </w:p>
    <w:tbl>
      <w:tblPr>
        <w:tblStyle w:val="Table"/>
        <w:tblW w:type="pct" w:w="4963"/>
        <w:tblLayout w:type="fixed"/>
        <w:tblLook w:firstRow="1" w:lastRow="0" w:firstColumn="0" w:lastColumn="0" w:noHBand="0" w:noVBand="0" w:val="0020"/>
      </w:tblPr>
      <w:tblGrid>
        <w:gridCol w:w="3813"/>
        <w:gridCol w:w="3168"/>
        <w:gridCol w:w="88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Kunde</w:t>
            </w:r>
            <w:r>
              <w:t xml:space="preserve"> </w:t>
            </w:r>
            <w:r>
              <w:t xml:space="preserve">(</w:t>
            </w:r>
            <w:hyperlink r:id="rId146">
              <w:r>
                <w:rPr>
                  <w:rStyle w:val="Hyperlink"/>
                </w:rPr>
                <w:t xml:space="preserve">schema:customer</w:t>
              </w:r>
            </w:hyperlink>
            <w:r>
              <w:t xml:space="preserve">):</w:t>
            </w:r>
            <w:r>
              <w:t xml:space="preserve"> </w:t>
            </w:r>
            <w:r>
              <w:t xml:space="preserve">Eine Rechnung muss genau einem Kunden zugeordnet sein.</w:t>
            </w:r>
          </w:p>
        </w:tc>
        <w:tc>
          <w:tcPr/>
          <w:p>
            <w:pPr>
              <w:pStyle w:val="Compact"/>
              <w:numPr>
                <w:ilvl w:val="0"/>
                <w:numId w:val="1030"/>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Fälliger Gesamtbetrag</w:t>
            </w:r>
            <w:r>
              <w:t xml:space="preserve"> </w:t>
            </w:r>
            <w:r>
              <w:t xml:space="preserve">(</w:t>
            </w:r>
            <w:hyperlink r:id="rId147">
              <w:r>
                <w:rPr>
                  <w:rStyle w:val="Hyperlink"/>
                </w:rPr>
                <w:t xml:space="preserve">schema:totalPaymentDue</w:t>
              </w:r>
            </w:hyperlink>
            <w:r>
              <w:t xml:space="preserve">):</w:t>
            </w:r>
            <w:r>
              <w:t xml:space="preserve"> </w:t>
            </w:r>
            <w:r>
              <w:t xml:space="preserve">Eine Rechnung muss einen fälligen Gesamtbetrag als</w:t>
            </w:r>
            <w:r>
              <w:t xml:space="preserve"> </w:t>
            </w:r>
            <w:r>
              <w:t xml:space="preserve">schema:QuantitativeValue definieren.</w:t>
            </w:r>
          </w:p>
        </w:tc>
        <w:tc>
          <w:tcPr/>
          <w:p>
            <w:pPr>
              <w:pStyle w:val="Compact"/>
              <w:numPr>
                <w:ilvl w:val="0"/>
                <w:numId w:val="1031"/>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1..1</w:t>
            </w:r>
          </w:p>
        </w:tc>
      </w:tr>
      <w:tr>
        <w:tc>
          <w:tcPr/>
          <w:p>
            <w:pPr>
              <w:pStyle w:val="Compact"/>
              <w:jc w:val="left"/>
            </w:pPr>
            <w:r>
              <w:rPr>
                <w:b/>
                <w:bCs/>
              </w:rPr>
              <w:t xml:space="preserve">Enthält</w:t>
            </w:r>
            <w:r>
              <w:t xml:space="preserve"> </w:t>
            </w:r>
            <w:r>
              <w:t xml:space="preserve">(</w:t>
            </w:r>
            <w:hyperlink r:id="rId148">
              <w:r>
                <w:rPr>
                  <w:rStyle w:val="Hyperlink"/>
                </w:rPr>
                <w:t xml:space="preserve">schema:hasPart</w:t>
              </w:r>
            </w:hyperlink>
            <w:r>
              <w:t xml:space="preserve">):</w:t>
            </w:r>
            <w:r>
              <w:t xml:space="preserve"> </w:t>
            </w:r>
            <w:r>
              <w:t xml:space="preserve">Eine Rechnung muss mindestens eine Position (OrderItem)</w:t>
            </w:r>
            <w:r>
              <w:t xml:space="preserve"> </w:t>
            </w:r>
            <w:r>
              <w:t xml:space="preserve">enthalten.</w:t>
            </w:r>
          </w:p>
        </w:tc>
        <w:tc>
          <w:tcPr/>
          <w:p>
            <w:pPr>
              <w:pStyle w:val="Compact"/>
              <w:numPr>
                <w:ilvl w:val="0"/>
                <w:numId w:val="1032"/>
              </w:numPr>
              <w:jc w:val="left"/>
            </w:pPr>
            <w:r>
              <w:t xml:space="preserve">Typ:</w:t>
            </w:r>
            <w:r>
              <w:t xml:space="preserve"> </w:t>
            </w:r>
            <w:hyperlink r:id="rId149">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Erstellungsdatum</w:t>
            </w:r>
            <w:r>
              <w:t xml:space="preserve"> </w:t>
            </w:r>
            <w:r>
              <w:t xml:space="preserve">(</w:t>
            </w:r>
            <w:hyperlink r:id="rId150">
              <w:r>
                <w:rPr>
                  <w:rStyle w:val="Hyperlink"/>
                </w:rPr>
                <w:t xml:space="preserve">schema:dateCreated</w:t>
              </w:r>
            </w:hyperlink>
            <w:r>
              <w:t xml:space="preserve">)</w:t>
            </w:r>
          </w:p>
        </w:tc>
        <w:tc>
          <w:tcPr/>
          <w:p>
            <w:pPr>
              <w:pStyle w:val="Compact"/>
              <w:numPr>
                <w:ilvl w:val="0"/>
                <w:numId w:val="1033"/>
              </w:numPr>
              <w:jc w:val="left"/>
            </w:pPr>
            <w:r>
              <w:t xml:space="preserve">Typ: Datum</w:t>
            </w:r>
            <w:r>
              <w:t xml:space="preserve"> </w:t>
            </w:r>
            <w:r>
              <w:t xml:space="preserve">(</w:t>
            </w:r>
            <w:hyperlink r:id="rId104">
              <w:r>
                <w:rPr>
                  <w:rStyle w:val="Hyperlink"/>
                </w:rPr>
                <w:t xml:space="preserve">xsd:date</w:t>
              </w:r>
            </w:hyperlink>
            <w:r>
              <w:t xml:space="preserve">)</w:t>
            </w:r>
          </w:p>
          <w:p>
            <w:pPr>
              <w:pStyle w:val="Compact"/>
              <w:numPr>
                <w:ilvl w:val="0"/>
                <w:numId w:val="1033"/>
              </w:numPr>
              <w:jc w:val="left"/>
            </w:pPr>
            <w:r>
              <w:t xml:space="preserve">Wertebereich: ≥ 2000-01-01</w:t>
            </w:r>
          </w:p>
          <w:p>
            <w:pPr>
              <w:pStyle w:val="Compact"/>
              <w:numPr>
                <w:ilvl w:val="0"/>
                <w:numId w:val="1033"/>
              </w:numPr>
              <w:jc w:val="left"/>
            </w:pPr>
            <w:r>
              <w:t xml:space="preserve">Beispiele: 2001-01-01, 2024-05-21</w:t>
            </w:r>
          </w:p>
        </w:tc>
        <w:tc>
          <w:tcPr/>
          <w:p>
            <w:pPr>
              <w:pStyle w:val="Compact"/>
              <w:jc w:val="right"/>
            </w:pPr>
            <w:r>
              <w:t xml:space="preserve">0..*</w:t>
            </w:r>
          </w:p>
        </w:tc>
      </w:tr>
    </w:tbl>
    <w:bookmarkEnd w:id="151"/>
    <w:bookmarkStart w:id="154" w:name="sec-nodeshape-invoiceshape-rules"/>
    <w:p>
      <w:pPr>
        <w:pStyle w:val="berschrift3"/>
      </w:pPr>
      <w:r>
        <w:t xml:space="preserve">3.8.3 Regeln (SPARQL)</w:t>
      </w:r>
    </w:p>
    <w:bookmarkStart w:id="152" w:name="sec-nodeshape-invoiceshape-rule-1"/>
    <w:p>
      <w:pPr>
        <w:pStyle w:val="berschrift4"/>
      </w:pPr>
      <w:r>
        <w:t xml:space="preserve">3.8.3.1 Rechnungsdatum</w:t>
      </w:r>
    </w:p>
    <w:p>
      <w:pPr>
        <w:pStyle w:val="FirstParagraph"/>
      </w:pPr>
      <w:r>
        <w:t xml:space="preserve">Eine Rechnung darf nicht vor dem Jahr 2000 datiert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52"/>
    <w:bookmarkStart w:id="153" w:name="sec-nodeshape-invoiceshape-rule-2"/>
    <w:p>
      <w:pPr>
        <w:pStyle w:val="berschrift4"/>
      </w:pPr>
      <w:r>
        <w:t xml:space="preserve">3.8.3.2 Rechnungssumme</w:t>
      </w:r>
    </w:p>
    <w:p>
      <w:pPr>
        <w:pStyle w:val="FirstParagraph"/>
      </w:pPr>
      <w:r>
        <w:t xml:space="preserve">Die Rechnungssumme muss exakt mit der Summe ihrer Positionen übereinstimmen (Toleranz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53"/>
    <w:bookmarkEnd w:id="154"/>
    <w:bookmarkEnd w:id="155"/>
    <w:bookmarkEnd w:id="156"/>
    <w:bookmarkStart w:id="158"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157">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58"/>
    <w:bookmarkStart w:id="159"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159"/>
    <w:bookmarkStart w:id="160"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60"/>
    <w:bookmarkStart w:id="161"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161"/>
    <w:bookmarkStart w:id="191" w:name="sec-appendix-a"/>
    <w:p>
      <w:pPr>
        <w:pStyle w:val="berschrift1"/>
      </w:pPr>
      <w:r>
        <w:t xml:space="preserve">Anhang A – Referenzen</w:t>
      </w:r>
    </w:p>
    <w:bookmarkStart w:id="190" w:name="refs"/>
    <w:bookmarkStart w:id="163"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62">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S. 91–103</w:t>
      </w:r>
    </w:p>
    <w:bookmarkEnd w:id="163"/>
    <w:bookmarkStart w:id="165"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64">
        <w:r>
          <w:rPr>
            <w:rStyle w:val="Hyperlink"/>
            <w:i/>
            <w:iCs/>
          </w:rPr>
          <w:t xml:space="preserve">Data Catalog Vocabulary (DCAT) – Version 3</w:t>
        </w:r>
      </w:hyperlink>
      <w:r>
        <w:t xml:space="preserve"> </w:t>
      </w:r>
      <w:r>
        <w:t xml:space="preserve">(W3C Recommendation) : World Wide Web Consortium (W3C), 2024</w:t>
      </w:r>
    </w:p>
    <w:bookmarkEnd w:id="165"/>
    <w:bookmarkStart w:id="167" w:name="ref-eCH-0003:11.1.0"/>
    <w:p>
      <w:pPr>
        <w:pStyle w:val="Bibliography"/>
      </w:pPr>
      <w:r>
        <w:t xml:space="preserve">[eCH-0003 11.1.0]</w:t>
      </w:r>
      <w:r>
        <w:t xml:space="preserve"> </w:t>
      </w:r>
      <w:r>
        <w:t xml:space="preserve">	</w:t>
      </w:r>
      <w:r>
        <w:t xml:space="preserve">Verein eCH:</w:t>
      </w:r>
      <w:r>
        <w:t xml:space="preserve"> </w:t>
      </w:r>
      <w:hyperlink r:id="rId166">
        <w:r>
          <w:rPr>
            <w:rStyle w:val="Hyperlink"/>
            <w:i/>
            <w:iCs/>
          </w:rPr>
          <w:t xml:space="preserve">eCH-0003 Leitfaden zur Genehmigung von Anträgen</w:t>
        </w:r>
      </w:hyperlink>
      <w:r>
        <w:t xml:space="preserve"> </w:t>
      </w:r>
      <w:r>
        <w:t xml:space="preserve">(eCH-Standard) : Verein eCH, 2022</w:t>
      </w:r>
    </w:p>
    <w:bookmarkEnd w:id="167"/>
    <w:bookmarkStart w:id="169" w:name="ref-eCH-0010:8.1.0"/>
    <w:p>
      <w:pPr>
        <w:pStyle w:val="Bibliography"/>
      </w:pPr>
      <w:r>
        <w:t xml:space="preserve">[eCH-0010 8.1.0]</w:t>
      </w:r>
      <w:r>
        <w:t xml:space="preserve"> </w:t>
      </w:r>
      <w:r>
        <w:t xml:space="preserve">	</w:t>
      </w:r>
      <w:r>
        <w:t xml:space="preserve">Verein eCH:</w:t>
      </w:r>
      <w:r>
        <w:t xml:space="preserve"> </w:t>
      </w:r>
      <w:hyperlink r:id="rId168">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69"/>
    <w:bookmarkStart w:id="171"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70">
        <w:r>
          <w:rPr>
            <w:rStyle w:val="Hyperlink"/>
            <w:i/>
            <w:iCs/>
          </w:rPr>
          <w:t xml:space="preserve">eCH-0200 DCAT-Anwendungsprofil für Datenportale in der Schweiz (DCAT-AP CH)</w:t>
        </w:r>
      </w:hyperlink>
      <w:r>
        <w:t xml:space="preserve"> </w:t>
      </w:r>
      <w:r>
        <w:t xml:space="preserve">(eCH-Standard) : Verein eCH, 2025</w:t>
      </w:r>
    </w:p>
    <w:bookmarkEnd w:id="171"/>
    <w:bookmarkStart w:id="173"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72">
        <w:r>
          <w:rPr>
            <w:rStyle w:val="Hyperlink"/>
            <w:i/>
            <w:iCs/>
          </w:rPr>
          <w:t xml:space="preserve">eCH-0205 Linked Open Data</w:t>
        </w:r>
      </w:hyperlink>
      <w:r>
        <w:t xml:space="preserve"> </w:t>
      </w:r>
      <w:r>
        <w:t xml:space="preserve">(eCH-Hilfsmittel) : Verein eCH, 2018</w:t>
      </w:r>
    </w:p>
    <w:bookmarkEnd w:id="173"/>
    <w:bookmarkStart w:id="175"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74">
        <w:r>
          <w:rPr>
            <w:rStyle w:val="Hyperlink"/>
            <w:i/>
            <w:iCs/>
          </w:rPr>
          <w:t xml:space="preserve">eCH-0265 Datenstandard Agrardaten – Flächen und Kulturen</w:t>
        </w:r>
      </w:hyperlink>
      <w:r>
        <w:t xml:space="preserve"> </w:t>
      </w:r>
      <w:r>
        <w:t xml:space="preserve">(eCH-Standard) : Verein eCH, 2024</w:t>
      </w:r>
    </w:p>
    <w:bookmarkEnd w:id="175"/>
    <w:bookmarkStart w:id="177"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76">
        <w:r>
          <w:rPr>
            <w:rStyle w:val="Hyperlink"/>
            <w:i/>
            <w:iCs/>
          </w:rPr>
          <w:t xml:space="preserve">JSON-LD 1.1 – A JSON-based Serialization for Linked Data</w:t>
        </w:r>
      </w:hyperlink>
      <w:r>
        <w:t xml:space="preserve"> </w:t>
      </w:r>
      <w:r>
        <w:t xml:space="preserve">(W3C Recommendation) : World Wide Web Consortium (W3C), 2020</w:t>
      </w:r>
    </w:p>
    <w:bookmarkEnd w:id="177"/>
    <w:bookmarkStart w:id="179" w:name="ref-OWL2"/>
    <w:p>
      <w:pPr>
        <w:pStyle w:val="Bibliography"/>
      </w:pPr>
      <w:r>
        <w:t xml:space="preserve">[OWL 2]</w:t>
      </w:r>
      <w:r>
        <w:t xml:space="preserve"> </w:t>
      </w:r>
      <w:r>
        <w:t xml:space="preserve">	</w:t>
      </w:r>
      <w:r>
        <w:t xml:space="preserve">W3C OWL Working Group:</w:t>
      </w:r>
      <w:r>
        <w:t xml:space="preserve"> </w:t>
      </w:r>
      <w:hyperlink r:id="rId178">
        <w:r>
          <w:rPr>
            <w:rStyle w:val="Hyperlink"/>
            <w:i/>
            <w:iCs/>
          </w:rPr>
          <w:t xml:space="preserve">OWL 2 Web Ontology Language Document Overview (Second Edition)</w:t>
        </w:r>
      </w:hyperlink>
      <w:r>
        <w:t xml:space="preserve"> </w:t>
      </w:r>
      <w:r>
        <w:t xml:space="preserve">(W3C Recommendation) : World Wide Web Consortium (W3C), 2012</w:t>
      </w:r>
    </w:p>
    <w:bookmarkEnd w:id="179"/>
    <w:bookmarkStart w:id="181" w:name="ref-cyganiak2014rdf11"/>
    <w:p>
      <w:pPr>
        <w:pStyle w:val="Bibliography"/>
      </w:pPr>
      <w:r>
        <w:t xml:space="preserve">[RDF]</w:t>
      </w:r>
      <w:r>
        <w:t xml:space="preserve"> </w:t>
      </w:r>
      <w:r>
        <w:t xml:space="preserve">	</w:t>
      </w:r>
      <w:r>
        <w:t xml:space="preserve">Cyganiak, Richard ; Wood, David ; Lanthaler, Markus:</w:t>
      </w:r>
      <w:r>
        <w:t xml:space="preserve"> </w:t>
      </w:r>
      <w:hyperlink r:id="rId180">
        <w:r>
          <w:rPr>
            <w:rStyle w:val="Hyperlink"/>
            <w:i/>
            <w:iCs/>
          </w:rPr>
          <w:t xml:space="preserve">RDF 1.1 Concepts and Abstract Syntax</w:t>
        </w:r>
      </w:hyperlink>
      <w:r>
        <w:t xml:space="preserve"> </w:t>
      </w:r>
      <w:r>
        <w:t xml:space="preserve">(W3C Recommendation) : World Wide Web Consortium (W3C), 2014</w:t>
      </w:r>
    </w:p>
    <w:bookmarkEnd w:id="181"/>
    <w:bookmarkStart w:id="183" w:name="ref-SHACL"/>
    <w:p>
      <w:pPr>
        <w:pStyle w:val="Bibliography"/>
      </w:pPr>
      <w:r>
        <w:t xml:space="preserve">[SHACL]</w:t>
      </w:r>
      <w:r>
        <w:t xml:space="preserve"> </w:t>
      </w:r>
      <w:r>
        <w:t xml:space="preserve">	</w:t>
      </w:r>
      <w:r>
        <w:t xml:space="preserve">Knublauch, Holger ; Kontokostas, Dimitris:</w:t>
      </w:r>
      <w:r>
        <w:t xml:space="preserve"> </w:t>
      </w:r>
      <w:hyperlink r:id="rId182">
        <w:r>
          <w:rPr>
            <w:rStyle w:val="Hyperlink"/>
            <w:i/>
            <w:iCs/>
          </w:rPr>
          <w:t xml:space="preserve">Shapes Constraint Language (SHACL)</w:t>
        </w:r>
      </w:hyperlink>
      <w:r>
        <w:t xml:space="preserve"> </w:t>
      </w:r>
      <w:r>
        <w:t xml:space="preserve">(W3C Recommendation) : World Wide Web Consortium (W3C), 2017</w:t>
      </w:r>
    </w:p>
    <w:bookmarkEnd w:id="183"/>
    <w:bookmarkStart w:id="185" w:name="ref-SKOS"/>
    <w:p>
      <w:pPr>
        <w:pStyle w:val="Bibliography"/>
      </w:pPr>
      <w:r>
        <w:t xml:space="preserve">[SKOS]</w:t>
      </w:r>
      <w:r>
        <w:t xml:space="preserve"> </w:t>
      </w:r>
      <w:r>
        <w:t xml:space="preserve">	</w:t>
      </w:r>
      <w:r>
        <w:t xml:space="preserve">Miles, Alistair ; Bechhofer, Sean:</w:t>
      </w:r>
      <w:r>
        <w:t xml:space="preserve"> </w:t>
      </w:r>
      <w:hyperlink r:id="rId184">
        <w:r>
          <w:rPr>
            <w:rStyle w:val="Hyperlink"/>
            <w:i/>
            <w:iCs/>
          </w:rPr>
          <w:t xml:space="preserve">SKOS Simple Knowledge Organization System Reference</w:t>
        </w:r>
      </w:hyperlink>
      <w:r>
        <w:t xml:space="preserve"> </w:t>
      </w:r>
      <w:r>
        <w:t xml:space="preserve">(W3C Recommendation) : World Wide Web Consortium (W3C), 2009</w:t>
      </w:r>
    </w:p>
    <w:bookmarkEnd w:id="185"/>
    <w:bookmarkStart w:id="187" w:name="ref-SPARQL"/>
    <w:p>
      <w:pPr>
        <w:pStyle w:val="Bibliography"/>
      </w:pPr>
      <w:r>
        <w:t xml:space="preserve">[SPARQL]</w:t>
      </w:r>
      <w:r>
        <w:t xml:space="preserve"> </w:t>
      </w:r>
      <w:r>
        <w:t xml:space="preserve">	</w:t>
      </w:r>
      <w:r>
        <w:t xml:space="preserve">Harris, Steve ; Seaborne, Andy:</w:t>
      </w:r>
      <w:r>
        <w:t xml:space="preserve"> </w:t>
      </w:r>
      <w:hyperlink r:id="rId186">
        <w:r>
          <w:rPr>
            <w:rStyle w:val="Hyperlink"/>
            <w:i/>
            <w:iCs/>
          </w:rPr>
          <w:t xml:space="preserve">SPARQL 1.1 Query Language</w:t>
        </w:r>
      </w:hyperlink>
      <w:r>
        <w:t xml:space="preserve"> </w:t>
      </w:r>
      <w:r>
        <w:t xml:space="preserve">(W3C Recommendation) : World Wide Web Consortium (W3C), 2013</w:t>
      </w:r>
    </w:p>
    <w:bookmarkEnd w:id="187"/>
    <w:bookmarkStart w:id="189"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88">
        <w:r>
          <w:rPr>
            <w:rStyle w:val="Hyperlink"/>
            <w:i/>
            <w:iCs/>
          </w:rPr>
          <w:t xml:space="preserve">RDF 1.1 Turtle – Terse RDF Triple Language</w:t>
        </w:r>
      </w:hyperlink>
      <w:r>
        <w:t xml:space="preserve"> </w:t>
      </w:r>
      <w:r>
        <w:t xml:space="preserve">(W3C Recommendation) : World Wide Web Consortium (W3C), 2014</w:t>
      </w:r>
    </w:p>
    <w:bookmarkEnd w:id="189"/>
    <w:bookmarkEnd w:id="190"/>
    <w:bookmarkEnd w:id="191"/>
    <w:bookmarkStart w:id="192" w:name="sec-appendix-b"/>
    <w:p>
      <w:pPr>
        <w:pStyle w:val="berschrift1"/>
      </w:pPr>
      <w:r>
        <w:t xml:space="preserve">Anhang B – Mitwirkung und 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Bundesamt für Landwirtschaft</w:t>
            </w:r>
          </w:p>
        </w:tc>
      </w:tr>
      <w:tr>
        <w:tc>
          <w:tcPr/>
          <w:p>
            <w:pPr>
              <w:pStyle w:val="Compact"/>
              <w:jc w:val="left"/>
            </w:pPr>
            <w:r>
              <w:t xml:space="preserve">Michael Schüpbach</w:t>
            </w:r>
          </w:p>
        </w:tc>
        <w:tc>
          <w:tcPr/>
          <w:p>
            <w:pPr>
              <w:pStyle w:val="Compact"/>
              <w:jc w:val="left"/>
            </w:pPr>
            <w:r>
              <w:t xml:space="preserve">Bundesamt für Landwirtschaft</w:t>
            </w:r>
          </w:p>
        </w:tc>
      </w:tr>
      <w:tr>
        <w:tc>
          <w:tcPr/>
          <w:p>
            <w:pPr>
              <w:pStyle w:val="Compact"/>
              <w:jc w:val="left"/>
            </w:pPr>
            <w:r>
              <w:t xml:space="preserve">Lea Stauber</w:t>
            </w:r>
          </w:p>
        </w:tc>
        <w:tc>
          <w:tcPr/>
          <w:p>
            <w:pPr>
              <w:pStyle w:val="Compact"/>
              <w:jc w:val="left"/>
            </w:pPr>
            <w:r>
              <w:t xml:space="preserve">Bundesamt für Landwirtschaft</w:t>
            </w:r>
          </w:p>
        </w:tc>
      </w:tr>
    </w:tbl>
    <w:bookmarkEnd w:id="192"/>
    <w:bookmarkStart w:id="195"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157">
        <w:r>
          <w:rPr>
            <w:rStyle w:val="Hyperlink"/>
          </w:rPr>
          <w:t xml:space="preserve">LINDAS</w:t>
        </w:r>
      </w:hyperlink>
      <w:r>
        <w:t xml:space="preserve"> </w:t>
      </w:r>
      <w:r>
        <w:t xml:space="preserve">und im</w:t>
      </w:r>
      <w:r>
        <w:t xml:space="preserve"> </w:t>
      </w:r>
      <w:hyperlink r:id="rId193">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4" w:name="tbl-glossary"/>
          <w:p>
            <w:pPr>
              <w:jc w:val="center"/>
            </w:pPr>
            <w:pPr>
              <w:jc w:val="left"/>
              <w:spacing w:before="200"/>
              <w:pStyle w:val="ImageCaption"/>
            </w:pPr>
            <w:r>
              <w:t xml:space="preserve">Tabelle 3: Glossar des Standards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Eine Menge von Tripeln. Ein benannter Graph wird selbst durch</w:t>
                  </w:r>
                  <w:r>
                    <w:t xml:space="preserve"> </w:t>
                  </w:r>
                  <w:r>
                    <w:t xml:space="preserve">eine IRI identifiziert und erlaubt es, Daten in einem Triple</w:t>
                  </w:r>
                  <w:r>
                    <w:t xml:space="preserve"> </w:t>
                  </w:r>
                  <w:r>
                    <w:t xml:space="preserve">Store zu gruppieren.</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Inferenz</w:t>
                  </w:r>
                  <w:r>
                    <w:t xml:space="preserve"> </w:t>
                  </w:r>
                  <w:r>
                    <w:t xml:space="preserve">(Reasoning)</w:t>
                  </w:r>
                </w:p>
              </w:tc>
              <w:tc>
                <w:tcPr/>
                <w:p>
                  <w:pPr>
                    <w:pStyle w:val="Compact"/>
                    <w:jc w:val="left"/>
                    <w:jc w:val="center"/>
                  </w:pPr>
                  <w:r>
                    <w:t xml:space="preserve">Das automatische Ableiten neuer Aussagen aus den vorhandenen</w:t>
                  </w:r>
                  <w:r>
                    <w:t xml:space="preserve"> </w:t>
                  </w:r>
                  <w:r>
                    <w:t xml:space="preserve">Daten und den Axiomen einer Ontologie, zum Beispiel durch den</w:t>
                  </w:r>
                  <w:r>
                    <w:t xml:space="preserve"> </w:t>
                  </w:r>
                  <w:r>
                    <w:t xml:space="preserve">Reasoner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Weltweit eindeutiger Bezeichner einer Ressource. In RDF werden</w:t>
                  </w:r>
                  <w:r>
                    <w:t xml:space="preserve"> </w:t>
                  </w:r>
                  <w:r>
                    <w:t xml:space="preserve">Subjekte, Prädikate und die meisten Objekte durch IRIs</w:t>
                  </w:r>
                  <w:r>
                    <w:t xml:space="preserve"> </w:t>
                  </w:r>
                  <w:r>
                    <w:t xml:space="preserve">identifiziert.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Eine Serialisierung von RDF auf der Basis von JSON, die sich</w:t>
                  </w:r>
                  <w:r>
                    <w:t xml:space="preserve"> </w:t>
                  </w:r>
                  <w:r>
                    <w:t xml:space="preserve">besonders für Web-Schnittstellen eignet.</w:t>
                  </w:r>
                </w:p>
                <w:p>
                  <w:pPr>
                    <w:jc w:val="left"/>
                    <w:jc w:val="center"/>
                  </w:pPr>
                  <w:r>
                    <w:rPr>
                      <w:i/>
                      <w:iCs/>
                    </w:rPr>
                    <w:t xml:space="preserve">Oberbegriff</w:t>
                  </w:r>
                  <w:r>
                    <w:t xml:space="preserve">: Serialisierung</w:t>
                  </w:r>
                </w:p>
              </w:tc>
            </w:tr>
            <w:tr>
              <w:tc>
                <w:tcPr/>
                <w:p>
                  <w:pPr>
                    <w:pStyle w:val="Compact"/>
                    <w:jc w:val="left"/>
                    <w:jc w:val="center"/>
                  </w:pPr>
                  <w:r>
                    <w:rPr>
                      <w:b/>
                      <w:bCs/>
                    </w:rPr>
                    <w:t xml:space="preserve">Linked Data</w:t>
                  </w:r>
                  <w:r>
                    <w:t xml:space="preserve"> </w:t>
                  </w:r>
                  <w:r>
                    <w:t xml:space="preserve">(Verknüpfte</w:t>
                  </w:r>
                  <w:r>
                    <w:t xml:space="preserve"> </w:t>
                  </w:r>
                  <w:r>
                    <w:t xml:space="preserve">Daten)</w:t>
                  </w:r>
                </w:p>
              </w:tc>
              <w:tc>
                <w:tcPr/>
                <w:p>
                  <w:pPr>
                    <w:jc w:val="left"/>
                    <w:jc w:val="center"/>
                  </w:pPr>
                  <w:r>
                    <w:t xml:space="preserve">Daten, die nach den Prinzipien des Semantic Web mit IRIs</w:t>
                  </w:r>
                  <w:r>
                    <w:t xml:space="preserve"> </w:t>
                  </w:r>
                  <w:r>
                    <w:t xml:space="preserve">identifiziert, in RDF beschrieben und untereinander verknüpft</w:t>
                  </w:r>
                  <w:r>
                    <w:t xml:space="preserve"> </w:t>
                  </w:r>
                  <w:r>
                    <w:t xml:space="preserve">publiziert werden.</w:t>
                  </w:r>
                </w:p>
                <w:p>
                  <w:pPr>
                    <w:jc w:val="left"/>
                    <w:jc w:val="center"/>
                  </w:pPr>
                  <w:r>
                    <w:rPr>
                      <w:i/>
                      <w:iCs/>
                    </w:rPr>
                    <w:t xml:space="preserve">Verwandt</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Literal</w:t>
                  </w:r>
                </w:p>
              </w:tc>
              <w:tc>
                <w:tcPr/>
                <w:p>
                  <w:pPr>
                    <w:jc w:val="left"/>
                    <w:jc w:val="center"/>
                  </w:pPr>
                  <w:r>
                    <w:t xml:space="preserve">Ein konkreter Wert in RDF, etwa eine Zeichenkette, eine Zahl</w:t>
                  </w:r>
                  <w:r>
                    <w:t xml:space="preserve"> </w:t>
                  </w:r>
                  <w:r>
                    <w:t xml:space="preserve">oder ein Datum, optional mit Datentyp oder Sprachangabe.</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Namensraum</w:t>
                  </w:r>
                  <w:r>
                    <w:t xml:space="preserve"> </w:t>
                  </w:r>
                  <w:r>
                    <w:t xml:space="preserve">(Präfix)</w:t>
                  </w:r>
                </w:p>
              </w:tc>
              <w:tc>
                <w:tcPr/>
                <w:p>
                  <w:pPr>
                    <w:jc w:val="left"/>
                    <w:jc w:val="center"/>
                  </w:pPr>
                  <w:r>
                    <w:t xml:space="preserve">Gemeinsamer Anfang einer Gruppe von IRIs. In Turtle und SPARQL</w:t>
                  </w:r>
                  <w:r>
                    <w:t xml:space="preserve"> </w:t>
                  </w:r>
                  <w:r>
                    <w:t xml:space="preserve">wird ein Namensraum durch ein Präfix abgekürzt, zum Beispiel</w:t>
                  </w:r>
                  <w:r>
                    <w:t xml:space="preserve"> </w:t>
                  </w:r>
                  <w:r>
                    <w:rPr>
                      <w:rStyle w:val="VerbatimChar"/>
                    </w:rPr>
                    <w:t xml:space="preserve">schema:</w:t>
                  </w:r>
                  <w:r>
                    <w:t xml:space="preserve"> </w:t>
                  </w:r>
                  <w:r>
                    <w:t xml:space="preserve">für</w:t>
                  </w:r>
                  <w:r>
                    <w:t xml:space="preserve"> </w:t>
                  </w:r>
                  <w:r>
                    <w:rPr>
                      <w:rStyle w:val="VerbatimChar"/>
                    </w:rPr>
                    <w:t xml:space="preserve">http://schema.org/</w:t>
                  </w:r>
                  <w:r>
                    <w:t xml:space="preserve">.</w:t>
                  </w:r>
                </w:p>
                <w:p>
                  <w:pPr>
                    <w:jc w:val="left"/>
                    <w:jc w:val="center"/>
                  </w:pPr>
                  <w:r>
                    <w:rPr>
                      <w:i/>
                      <w:iCs/>
                    </w:rPr>
                    <w:t xml:space="preserve">Verwandt</w:t>
                  </w:r>
                  <w:r>
                    <w:t xml:space="preserve">: Internationalized Resource Identifier</w:t>
                  </w:r>
                </w:p>
              </w:tc>
            </w:tr>
            <w:tr>
              <w:tc>
                <w:tcPr/>
                <w:p>
                  <w:pPr>
                    <w:pStyle w:val="Compact"/>
                    <w:jc w:val="left"/>
                    <w:jc w:val="center"/>
                  </w:pPr>
                  <w:r>
                    <w:rPr>
                      <w:b/>
                      <w:bCs/>
                    </w:rPr>
                    <w:t xml:space="preserve">Ontologie</w:t>
                  </w:r>
                </w:p>
              </w:tc>
              <w:tc>
                <w:tcPr/>
                <w:p>
                  <w:pPr>
                    <w:jc w:val="left"/>
                    <w:jc w:val="center"/>
                  </w:pPr>
                  <w:r>
                    <w:t xml:space="preserve">Ein formales Modell eines Fachgebiets, das Klassen,</w:t>
                  </w:r>
                  <w:r>
                    <w:t xml:space="preserve"> </w:t>
                  </w:r>
                  <w:r>
                    <w:t xml:space="preserve">Eigenschaften und deren logische Beziehungen so beschreibt,</w:t>
                  </w:r>
                  <w:r>
                    <w:t xml:space="preserve"> </w:t>
                  </w:r>
                  <w:r>
                    <w:t xml:space="preserve">dass Maschinen daraus Schlüsse ziehen können.</w:t>
                  </w:r>
                </w:p>
                <w:p>
                  <w:pPr>
                    <w:jc w:val="left"/>
                    <w:jc w:val="center"/>
                  </w:pPr>
                  <w:r>
                    <w:rPr>
                      <w:i/>
                      <w:iCs/>
                    </w:rPr>
                    <w:t xml:space="preserve">Oberbegriff</w:t>
                  </w:r>
                  <w:r>
                    <w:t xml:space="preserve">: Vokabular</w:t>
                  </w:r>
                </w:p>
                <w:p>
                  <w:pPr>
                    <w:jc w:val="left"/>
                    <w:jc w:val="center"/>
                  </w:pPr>
                  <w:r>
                    <w:rPr>
                      <w:i/>
                      <w:iCs/>
                    </w:rPr>
                    <w:t xml:space="preserve">Verwandt</w:t>
                  </w:r>
                  <w:r>
                    <w:t xml:space="preserve">: Web Ontology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Serialisierung</w:t>
                  </w:r>
                </w:p>
              </w:tc>
              <w:tc>
                <w:tcPr/>
                <w:p>
                  <w:pPr>
                    <w:jc w:val="left"/>
                    <w:jc w:val="center"/>
                  </w:pPr>
                  <w:r>
                    <w:t xml:space="preserve">Textuelle Darstellung eines RDF-Graphen in einem definierten</w:t>
                  </w:r>
                  <w:r>
                    <w:t xml:space="preserve"> </w:t>
                  </w:r>
                  <w:r>
                    <w:t xml:space="preserve">Format, um ihn zu speichern oder auszutauschen.</w:t>
                  </w:r>
                </w:p>
                <w:p>
                  <w:pPr>
                    <w:jc w:val="left"/>
                    <w:jc w:val="center"/>
                  </w:pPr>
                  <w:r>
                    <w:rPr>
                      <w:i/>
                      <w:iCs/>
                    </w:rPr>
                    <w:t xml:space="preserve">Unterbegriff</w:t>
                  </w:r>
                  <w:r>
                    <w:t xml:space="preserve">: JSON for Linking Data, Terse RDF Triple</w:t>
                  </w:r>
                  <w:r>
                    <w:t xml:space="preserve"> </w:t>
                  </w:r>
                  <w:r>
                    <w:t xml:space="preserve">Language</w:t>
                  </w:r>
                </w:p>
              </w:tc>
            </w:tr>
            <w:tr>
              <w:tc>
                <w:tcPr/>
                <w:p>
                  <w:pPr>
                    <w:pStyle w:val="Compact"/>
                    <w:jc w:val="left"/>
                    <w:jc w:val="center"/>
                  </w:pPr>
                  <w:r>
                    <w:rPr>
                      <w:b/>
                      <w:bCs/>
                    </w:rPr>
                    <w:t xml:space="preserve">Shape</w:t>
                  </w:r>
                </w:p>
              </w:tc>
              <w:tc>
                <w:tcPr/>
                <w:p>
                  <w:pPr>
                    <w:jc w:val="left"/>
                    <w:jc w:val="center"/>
                  </w:pPr>
                  <w:r>
                    <w:t xml:space="preserve">Eine Menge von Bedingungen, die eine Klasse von Ressourcen oder</w:t>
                  </w:r>
                  <w:r>
                    <w:t xml:space="preserve"> </w:t>
                  </w:r>
                  <w:r>
                    <w:t xml:space="preserve">eine Eigenschaft erfüllen muss, etwa Pflichtfelder, Datentypen</w:t>
                  </w:r>
                  <w:r>
                    <w:t xml:space="preserve"> </w:t>
                  </w:r>
                  <w:r>
                    <w:t xml:space="preserve">und Kardinalitäten.</w:t>
                  </w:r>
                </w:p>
                <w:p>
                  <w:pPr>
                    <w:jc w:val="left"/>
                    <w:jc w:val="center"/>
                  </w:pPr>
                  <w:r>
                    <w:rPr>
                      <w:i/>
                      <w:iCs/>
                    </w:rPr>
                    <w:t xml:space="preserve">Oberbegriff</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Die Sprache des W3C zur Beschreibung und Prüfung der Struktur</w:t>
                  </w:r>
                  <w:r>
                    <w:t xml:space="preserve"> </w:t>
                  </w:r>
                  <w:r>
                    <w:t xml:space="preserve">von RDF-Daten. Das Datenmodell dieses Standards ist in SHACL</w:t>
                  </w:r>
                  <w:r>
                    <w:t xml:space="preserve"> </w:t>
                  </w:r>
                  <w:r>
                    <w:t xml:space="preserve">formuliert.</w:t>
                  </w:r>
                </w:p>
                <w:p>
                  <w:pPr>
                    <w:jc w:val="left"/>
                    <w:jc w:val="center"/>
                  </w:pPr>
                  <w:r>
                    <w:rPr>
                      <w:i/>
                      <w:iCs/>
                    </w:rPr>
                    <w:t xml:space="preserve">Unterbegriff</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Ein Vokabular des W3C für Thesauri, Klassifikationen und</w:t>
                  </w:r>
                  <w:r>
                    <w:t xml:space="preserve"> </w:t>
                  </w:r>
                  <w:r>
                    <w:t xml:space="preserve">Glossare. Dieses Glossar ist selbst in SKOS erfasst.</w:t>
                  </w:r>
                </w:p>
                <w:p>
                  <w:pPr>
                    <w:jc w:val="left"/>
                    <w:jc w:val="center"/>
                  </w:pPr>
                  <w:r>
                    <w:rPr>
                      <w:i/>
                      <w:iCs/>
                    </w:rPr>
                    <w:t xml:space="preserve">Verwandt</w:t>
                  </w:r>
                  <w:r>
                    <w:t xml:space="preserve">: Vokabular</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Die Abfragesprache des W3C für RDF-Daten. Mit SPARQL werden</w:t>
                  </w:r>
                  <w:r>
                    <w:t xml:space="preserve"> </w:t>
                  </w:r>
                  <w:r>
                    <w:t xml:space="preserve">Daten aus Graphen gelesen, verändert und zwischen Systemen</w:t>
                  </w:r>
                  <w:r>
                    <w:t xml:space="preserve"> </w:t>
                  </w:r>
                  <w:r>
                    <w:t xml:space="preserve">ausgetauscht.</w:t>
                  </w:r>
                </w:p>
                <w:p>
                  <w:pPr>
                    <w:jc w:val="left"/>
                    <w:jc w:val="center"/>
                  </w:pPr>
                  <w:r>
                    <w:rPr>
                      <w:i/>
                      <w:iCs/>
                    </w:rPr>
                    <w:t xml:space="preserve">Verwandt</w:t>
                  </w:r>
                  <w:r>
                    <w:t xml:space="preserve">: Resource Description Framework</w:t>
                  </w:r>
                </w:p>
              </w:tc>
            </w:tr>
            <w:tr>
              <w:tc>
                <w:tcPr/>
                <w:p>
                  <w:pPr>
                    <w:pStyle w:val="Compact"/>
                    <w:jc w:val="left"/>
                    <w:jc w:val="center"/>
                  </w:pPr>
                  <w:r>
                    <w:rPr>
                      <w:b/>
                      <w:bCs/>
                    </w:rPr>
                    <w:t xml:space="preserve">SPARQL-Endpunkt</w:t>
                  </w:r>
                </w:p>
              </w:tc>
              <w:tc>
                <w:tcPr/>
                <w:p>
                  <w:pPr>
                    <w:jc w:val="left"/>
                    <w:jc w:val="center"/>
                  </w:pPr>
                  <w:r>
                    <w:t xml:space="preserve">Eine Web-Schnittstelle, über die SPARQL-Abfragen an einen</w:t>
                  </w:r>
                  <w:r>
                    <w:t xml:space="preserve"> </w:t>
                  </w:r>
                  <w:r>
                    <w:t xml:space="preserve">Triple Store gesendet werden können.</w:t>
                  </w:r>
                </w:p>
                <w:p>
                  <w:pPr>
                    <w:jc w:val="left"/>
                    <w:jc w:val="center"/>
                  </w:pPr>
                  <w:r>
                    <w:rPr>
                      <w:i/>
                      <w:iCs/>
                    </w:rPr>
                    <w:t xml:space="preserve">Oberbegriff</w:t>
                  </w:r>
                  <w:r>
                    <w:t xml:space="preserve">: SPARQL Protocol and RDF Query 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Eine kompakte, gut lesbare Serialisierung für RDF. Alle</w:t>
                  </w:r>
                  <w:r>
                    <w:t xml:space="preserve"> </w:t>
                  </w:r>
                  <w:r>
                    <w:t xml:space="preserve">RDF-Dateien dieses Standards sind in Turtle verfasst.</w:t>
                  </w:r>
                </w:p>
                <w:p>
                  <w:pPr>
                    <w:jc w:val="left"/>
                    <w:jc w:val="center"/>
                  </w:pPr>
                  <w:r>
                    <w:rPr>
                      <w:i/>
                      <w:iCs/>
                    </w:rPr>
                    <w:t xml:space="preserve">Oberbegriff</w:t>
                  </w:r>
                  <w:r>
                    <w:t xml:space="preserve">: Serialisierung</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Triple Store</w:t>
                  </w:r>
                  <w:r>
                    <w:t xml:space="preserve"> </w:t>
                  </w:r>
                  <w:r>
                    <w:t xml:space="preserve">(Graphdatenbank)</w:t>
                  </w:r>
                </w:p>
              </w:tc>
              <w:tc>
                <w:tcPr/>
                <w:p>
                  <w:pPr>
                    <w:jc w:val="left"/>
                    <w:jc w:val="center"/>
                  </w:pPr>
                  <w:r>
                    <w:t xml:space="preserve">Eine Datenbank, die auf das Speichern und Abfragen von</w:t>
                  </w:r>
                  <w:r>
                    <w:t xml:space="preserve"> </w:t>
                  </w:r>
                  <w:r>
                    <w:t xml:space="preserve">RDF-Tripeln spezialisiert ist.</w:t>
                  </w:r>
                </w:p>
                <w:p>
                  <w:pPr>
                    <w:jc w:val="left"/>
                    <w:jc w:val="center"/>
                  </w:pPr>
                  <w:r>
                    <w:rPr>
                      <w:i/>
                      <w:iCs/>
                    </w:rPr>
                    <w:t xml:space="preserve">Verwandt</w:t>
                  </w:r>
                  <w:r>
                    <w:t xml:space="preserve">: Linked Data Service</w:t>
                  </w:r>
                </w:p>
              </w:tc>
            </w:tr>
            <w:tr>
              <w:tc>
                <w:tcPr/>
                <w:p>
                  <w:pPr>
                    <w:pStyle w:val="Compact"/>
                    <w:jc w:val="left"/>
                    <w:jc w:val="center"/>
                  </w:pPr>
                  <w:r>
                    <w:rPr>
                      <w:b/>
                      <w:bCs/>
                    </w:rPr>
                    <w:t xml:space="preserve">Vokabular</w:t>
                  </w:r>
                </w:p>
              </w:tc>
              <w:tc>
                <w:tcPr/>
                <w:p>
                  <w:pPr>
                    <w:jc w:val="left"/>
                    <w:jc w:val="center"/>
                  </w:pPr>
                  <w:r>
                    <w:t xml:space="preserve">Eine Sammlung von Klassen und Eigenschaften mit festgelegter</w:t>
                  </w:r>
                  <w:r>
                    <w:t xml:space="preserve"> </w:t>
                  </w:r>
                  <w:r>
                    <w:t xml:space="preserve">Bedeutung, die zur Beschreibung von Daten wiederverwendet wird,</w:t>
                  </w:r>
                  <w:r>
                    <w:t xml:space="preserve"> </w:t>
                  </w:r>
                  <w:r>
                    <w:t xml:space="preserve">zum Beispiel schema.org.</w:t>
                  </w:r>
                </w:p>
                <w:p>
                  <w:pPr>
                    <w:jc w:val="left"/>
                    <w:jc w:val="center"/>
                  </w:pPr>
                  <w:r>
                    <w:rPr>
                      <w:i/>
                      <w:iCs/>
                    </w:rPr>
                    <w:t xml:space="preserve">Unterbegriff</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Die Sprache des W3C zur Formulierung von Ontologien. Sie</w:t>
                  </w:r>
                  <w:r>
                    <w:t xml:space="preserve"> </w:t>
                  </w:r>
                  <w:r>
                    <w:t xml:space="preserve">erlaubt es, Klassen und Eigenschaften mit logischen Axiomen zu</w:t>
                  </w:r>
                  <w:r>
                    <w:t xml:space="preserve"> </w:t>
                  </w:r>
                  <w:r>
                    <w:t xml:space="preserve">definieren.</w:t>
                  </w:r>
                </w:p>
                <w:p>
                  <w:pPr>
                    <w:jc w:val="left"/>
                    <w:jc w:val="center"/>
                  </w:pPr>
                  <w:r>
                    <w:rPr>
                      <w:i/>
                      <w:iCs/>
                    </w:rPr>
                    <w:t xml:space="preserve">Verwandt</w:t>
                  </w:r>
                  <w:r>
                    <w:t xml:space="preserve">: Inferenz</w:t>
                  </w:r>
                </w:p>
              </w:tc>
            </w:tr>
          </w:tbl>
          <w:bookmarkEnd w:id="194"/>
          <w:p/>
        </w:tc>
      </w:tr>
    </w:tbl>
    <w:bookmarkEnd w:id="195"/>
    <w:bookmarkStart w:id="197" w:name="sec-appendix-d"/>
    <w:p>
      <w:pPr>
        <w:pStyle w:val="berschrift1"/>
      </w:pPr>
      <w:r>
        <w:t xml:space="preserve">Anhang D – Änderungen gegenüber der Vorversion</w:t>
      </w:r>
    </w:p>
    <w:p>
      <w:pPr>
        <w:pStyle w:val="FirstParagraph"/>
      </w:pPr>
      <w:r>
        <w:t xml:space="preserve">Die wichtigsten Änderungen der Version 2.0.0 gegenüber der Vorversion 1.4.6:</w:t>
      </w:r>
    </w:p>
    <w:p>
      <w:pPr>
        <w:pStyle w:val="Compact"/>
        <w:numPr>
          <w:ilvl w:val="0"/>
          <w:numId w:val="1034"/>
        </w:numPr>
      </w:pPr>
      <w:r>
        <w:rPr>
          <w:b/>
          <w:bCs/>
        </w:rPr>
        <w:t xml:space="preserve">Dokumentvorlage:</w:t>
      </w:r>
      <w:r>
        <w:t xml:space="preserve"> </w:t>
      </w:r>
      <w:r>
        <w:t xml:space="preserve">Die PDF-Ausgabe folgt neu der eCH-Dokumentvorlage (Titelseite mit Metadatentabelle, Kopf- und Fusszeile, Inhaltsverzeichnis, Anhänge); die Website übernimmt denselben Stil in einer hellen und einer dunklen Variante.</w:t>
      </w:r>
    </w:p>
    <w:p>
      <w:pPr>
        <w:pStyle w:val="Compact"/>
        <w:numPr>
          <w:ilvl w:val="0"/>
          <w:numId w:val="1034"/>
        </w:numPr>
      </w:pPr>
      <w:r>
        <w:rPr>
          <w:b/>
          <w:bCs/>
        </w:rPr>
        <w:t xml:space="preserve">Metadaten:</w:t>
      </w:r>
      <w:r>
        <w:t xml:space="preserve"> </w:t>
      </w:r>
      <w:r>
        <w:t xml:space="preserve">Nummer, Kategorie, Reifegrad, Version, Status und weitere Angaben des Standards werden einmal zentral erfasst und automatisch in alle Sprachversionen, in die Titelseite, in die Fusszeile und in</w:t>
      </w:r>
      <w:r>
        <w:t xml:space="preserve"> </w:t>
      </w:r>
      <w:hyperlink w:anchor="sec-status">
        <w:r>
          <w:rPr>
            <w:rStyle w:val="Hyperlink"/>
          </w:rPr>
          <w:t xml:space="preserve">Kapitel 1.1</w:t>
        </w:r>
      </w:hyperlink>
      <w:r>
        <w:t xml:space="preserve"> </w:t>
      </w:r>
      <w:r>
        <w:t xml:space="preserve">übernommen.</w:t>
      </w:r>
    </w:p>
    <w:p>
      <w:pPr>
        <w:pStyle w:val="Compact"/>
        <w:numPr>
          <w:ilvl w:val="0"/>
          <w:numId w:val="1034"/>
        </w:numPr>
      </w:pPr>
      <w:r>
        <w:rPr>
          <w:b/>
          <w:bCs/>
        </w:rPr>
        <w:t xml:space="preserve">Verzeichnisse:</w:t>
      </w:r>
      <w:r>
        <w:t xml:space="preserve"> </w:t>
      </w:r>
      <w:r>
        <w:t xml:space="preserve">Abbildungs- und Tabellenverzeichnis (Anhang E und F) werden automatisch erzeugt und sind mit den Abbildungen und Tabellen verlinkt.</w:t>
      </w:r>
    </w:p>
    <w:p>
      <w:pPr>
        <w:pStyle w:val="Compact"/>
        <w:numPr>
          <w:ilvl w:val="0"/>
          <w:numId w:val="1034"/>
        </w:numPr>
      </w:pPr>
      <w:r>
        <w:rPr>
          <w:b/>
          <w:bCs/>
        </w:rPr>
        <w:t xml:space="preserve">Darstellung:</w:t>
      </w:r>
      <w:r>
        <w:t xml:space="preserve"> </w:t>
      </w:r>
      <w:r>
        <w:t xml:space="preserve">Einheitliche Gestaltung von Tabellen, Beschriftungen und Code in PDF und Website.</w:t>
      </w:r>
    </w:p>
    <w:p>
      <w:pPr>
        <w:pStyle w:val="FirstParagraph"/>
      </w:pPr>
      <w:r>
        <w:t xml:space="preserve">Eine vollständige Liste aller Änderungen je Version findet sich in den</w:t>
      </w:r>
      <w:r>
        <w:t xml:space="preserve"> </w:t>
      </w:r>
      <w:hyperlink r:id="rId196">
        <w:r>
          <w:rPr>
            <w:rStyle w:val="Hyperlink"/>
          </w:rPr>
          <w:t xml:space="preserve">Releases auf GitHub</w:t>
        </w:r>
      </w:hyperlink>
      <w:r>
        <w:t xml:space="preserve">.</w:t>
      </w:r>
    </w:p>
    <w:bookmarkEnd w:id="197"/>
    <w:bookmarkStart w:id="198" w:name="sec-appendix-e"/>
    <w:p>
      <w:pPr>
        <w:pStyle w:val="berschrift1"/>
      </w:pPr>
      <w:r>
        <w:t xml:space="preserve">Anhang E – Abbildungsverzeichnis</w:t>
      </w:r>
    </w:p>
    <w:bookmarkEnd w:id="198"/>
    <w:bookmarkStart w:id="199" w:name="sec-appendix-f"/>
    <w:p>
      <w:pPr>
        <w:pStyle w:val="berschrift1"/>
      </w:pPr>
      <w:r>
        <w:t xml:space="preserve">Anhang F – Tabellenverzeichnis</w:t>
      </w:r>
    </w:p>
    <w:bookmarkEnd w:id="199"/>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Fussnoten erscheinen auf der Website am rechten Rand, im PDF am Seitenende.</w:t>
      </w:r>
    </w:p>
  </w:footnote>
  <w:footnote w:id="35">
    <w:p>
      <w:pPr>
        <w:pStyle w:val="Funotentext"/>
      </w:pPr>
      <w:r>
        <w:rPr>
          <w:rStyle w:val="FootnoteReference"/>
        </w:rPr>
        <w:footnoteRef/>
      </w:r>
      <w:r>
        <w:t xml:space="preserve"> </w:t>
      </w:r>
      <w:r>
        <w:t xml:space="preserve">Eine zweite Fussnote mit einem Link auf</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38" Target="http://qudt.org/vocab/unit/BYTE" TargetMode="External" /><Relationship Type="http://schemas.openxmlformats.org/officeDocument/2006/relationships/hyperlink" Id="rId137" Target="http://qudt.org/vocab/unit/EA" TargetMode="External" /><Relationship Type="http://schemas.openxmlformats.org/officeDocument/2006/relationships/hyperlink" Id="rId139" Target="http://qudt.org/vocab/unit/MilliSEC" TargetMode="External" /><Relationship Type="http://schemas.openxmlformats.org/officeDocument/2006/relationships/hyperlink" Id="rId136" Target="http://qudt.org/vocab/unit/USD" TargetMode="External" /><Relationship Type="http://schemas.openxmlformats.org/officeDocument/2006/relationships/hyperlink" Id="rId143"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49" Target="http://schema.org/OrderItem" TargetMode="External" /><Relationship Type="http://schemas.openxmlformats.org/officeDocument/2006/relationships/hyperlink" Id="rId92" Target="http://schema.org/Organisation" TargetMode="External" /><Relationship Type="http://schemas.openxmlformats.org/officeDocument/2006/relationships/hyperlink" Id="rId107" Target="http://schema.org/Organization" TargetMode="External" /><Relationship Type="http://schemas.openxmlformats.org/officeDocument/2006/relationships/hyperlink" Id="rId97" Target="http://schema.org/Person" TargetMode="External" /><Relationship Type="http://schemas.openxmlformats.org/officeDocument/2006/relationships/hyperlink" Id="rId115" Target="http://schema.org/PostalAddress" TargetMode="External" /><Relationship Type="http://schemas.openxmlformats.org/officeDocument/2006/relationships/hyperlink" Id="rId129" Target="http://schema.org/QuantitativeValue" TargetMode="External" /><Relationship Type="http://schemas.openxmlformats.org/officeDocument/2006/relationships/hyperlink" Id="rId105" Target="http://schema.org/address" TargetMode="External" /><Relationship Type="http://schemas.openxmlformats.org/officeDocument/2006/relationships/hyperlink" Id="rId122" Target="http://schema.org/addressCountry" TargetMode="External" /><Relationship Type="http://schemas.openxmlformats.org/officeDocument/2006/relationships/hyperlink" Id="rId120" Target="http://schema.org/addressLocality" TargetMode="External" /><Relationship Type="http://schemas.openxmlformats.org/officeDocument/2006/relationships/hyperlink" Id="rId121"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03"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88" Target="http://schema.org/contentSize" TargetMode="External" /><Relationship Type="http://schemas.openxmlformats.org/officeDocument/2006/relationships/hyperlink" Id="rId146" Target="http://schema.org/customer" TargetMode="External" /><Relationship Type="http://schemas.openxmlformats.org/officeDocument/2006/relationships/hyperlink" Id="rId150" Target="http://schema.org/dateCreated" TargetMode="External" /><Relationship Type="http://schemas.openxmlformats.org/officeDocument/2006/relationships/hyperlink" Id="rId87" Target="http://schema.org/duration" TargetMode="External" /><Relationship Type="http://schemas.openxmlformats.org/officeDocument/2006/relationships/hyperlink" Id="rId102" Target="http://schema.org/email" TargetMode="External" /><Relationship Type="http://schemas.openxmlformats.org/officeDocument/2006/relationships/hyperlink" Id="rId101"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00" Target="http://schema.org/givenName" TargetMode="External" /><Relationship Type="http://schemas.openxmlformats.org/officeDocument/2006/relationships/hyperlink" Id="rId148" Target="http://schema.org/hasPart" TargetMode="External" /><Relationship Type="http://schemas.openxmlformats.org/officeDocument/2006/relationships/hyperlink" Id="rId84" Target="http://schema.org/inAlbum" TargetMode="External" /><Relationship Type="http://schemas.openxmlformats.org/officeDocument/2006/relationships/hyperlink" Id="rId108" Target="http://schema.org/jobTitle" TargetMode="External" /><Relationship Type="http://schemas.openxmlformats.org/officeDocument/2006/relationships/hyperlink" Id="rId109"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19" Target="http://schema.org/postalCode" TargetMode="External" /><Relationship Type="http://schemas.openxmlformats.org/officeDocument/2006/relationships/hyperlink" Id="rId118" Target="http://schema.org/streetAddress" TargetMode="External" /><Relationship Type="http://schemas.openxmlformats.org/officeDocument/2006/relationships/hyperlink" Id="rId147" Target="http://schema.org/totalPaymentDue" TargetMode="External" /><Relationship Type="http://schemas.openxmlformats.org/officeDocument/2006/relationships/hyperlink" Id="rId135" Target="http://schema.org/unitCode" TargetMode="External" /><Relationship Type="http://schemas.openxmlformats.org/officeDocument/2006/relationships/hyperlink" Id="rId132" Target="http://schema.org/value" TargetMode="External" /><Relationship Type="http://schemas.openxmlformats.org/officeDocument/2006/relationships/hyperlink" Id="rId106"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04" Target="http://www.w3.org/2001/XMLSchema#date" TargetMode="External" /><Relationship Type="http://schemas.openxmlformats.org/officeDocument/2006/relationships/hyperlink" Id="rId133" Target="http://www.w3.org/2001/XMLSchema#decimal" TargetMode="External" /><Relationship Type="http://schemas.openxmlformats.org/officeDocument/2006/relationships/hyperlink" Id="rId13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2"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6" Target="https://agriculture.ld.admin.ch/eCH-1234/2/PersonShape" TargetMode="External" /><Relationship Type="http://schemas.openxmlformats.org/officeDocument/2006/relationships/hyperlink" Id="rId114" Target="https://agriculture.ld.admin.ch/eCH-1234/2/PostalAddressShape" TargetMode="External" /><Relationship Type="http://schemas.openxmlformats.org/officeDocument/2006/relationships/hyperlink" Id="rId128"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23" Target="https://ld.admin.ch/country/CHE" TargetMode="External" /><Relationship Type="http://schemas.openxmlformats.org/officeDocument/2006/relationships/hyperlink" Id="rId124" Target="https://ld.admin.ch/country/FRA" TargetMode="External" /><Relationship Type="http://schemas.openxmlformats.org/officeDocument/2006/relationships/hyperlink" Id="rId125"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4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8"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16"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30"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38" Target="http://qudt.org/vocab/unit/BYTE" TargetMode="External" /><Relationship Type="http://schemas.openxmlformats.org/officeDocument/2006/relationships/hyperlink" Id="rId137" Target="http://qudt.org/vocab/unit/EA" TargetMode="External" /><Relationship Type="http://schemas.openxmlformats.org/officeDocument/2006/relationships/hyperlink" Id="rId139" Target="http://qudt.org/vocab/unit/MilliSEC" TargetMode="External" /><Relationship Type="http://schemas.openxmlformats.org/officeDocument/2006/relationships/hyperlink" Id="rId136" Target="http://qudt.org/vocab/unit/USD" TargetMode="External" /><Relationship Type="http://schemas.openxmlformats.org/officeDocument/2006/relationships/hyperlink" Id="rId143"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49" Target="http://schema.org/OrderItem" TargetMode="External" /><Relationship Type="http://schemas.openxmlformats.org/officeDocument/2006/relationships/hyperlink" Id="rId92" Target="http://schema.org/Organisation" TargetMode="External" /><Relationship Type="http://schemas.openxmlformats.org/officeDocument/2006/relationships/hyperlink" Id="rId107" Target="http://schema.org/Organization" TargetMode="External" /><Relationship Type="http://schemas.openxmlformats.org/officeDocument/2006/relationships/hyperlink" Id="rId97" Target="http://schema.org/Person" TargetMode="External" /><Relationship Type="http://schemas.openxmlformats.org/officeDocument/2006/relationships/hyperlink" Id="rId115" Target="http://schema.org/PostalAddress" TargetMode="External" /><Relationship Type="http://schemas.openxmlformats.org/officeDocument/2006/relationships/hyperlink" Id="rId129" Target="http://schema.org/QuantitativeValue" TargetMode="External" /><Relationship Type="http://schemas.openxmlformats.org/officeDocument/2006/relationships/hyperlink" Id="rId105" Target="http://schema.org/address" TargetMode="External" /><Relationship Type="http://schemas.openxmlformats.org/officeDocument/2006/relationships/hyperlink" Id="rId122" Target="http://schema.org/addressCountry" TargetMode="External" /><Relationship Type="http://schemas.openxmlformats.org/officeDocument/2006/relationships/hyperlink" Id="rId120" Target="http://schema.org/addressLocality" TargetMode="External" /><Relationship Type="http://schemas.openxmlformats.org/officeDocument/2006/relationships/hyperlink" Id="rId121"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03"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88" Target="http://schema.org/contentSize" TargetMode="External" /><Relationship Type="http://schemas.openxmlformats.org/officeDocument/2006/relationships/hyperlink" Id="rId146" Target="http://schema.org/customer" TargetMode="External" /><Relationship Type="http://schemas.openxmlformats.org/officeDocument/2006/relationships/hyperlink" Id="rId150" Target="http://schema.org/dateCreated" TargetMode="External" /><Relationship Type="http://schemas.openxmlformats.org/officeDocument/2006/relationships/hyperlink" Id="rId87" Target="http://schema.org/duration" TargetMode="External" /><Relationship Type="http://schemas.openxmlformats.org/officeDocument/2006/relationships/hyperlink" Id="rId102" Target="http://schema.org/email" TargetMode="External" /><Relationship Type="http://schemas.openxmlformats.org/officeDocument/2006/relationships/hyperlink" Id="rId101"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00" Target="http://schema.org/givenName" TargetMode="External" /><Relationship Type="http://schemas.openxmlformats.org/officeDocument/2006/relationships/hyperlink" Id="rId148" Target="http://schema.org/hasPart" TargetMode="External" /><Relationship Type="http://schemas.openxmlformats.org/officeDocument/2006/relationships/hyperlink" Id="rId84" Target="http://schema.org/inAlbum" TargetMode="External" /><Relationship Type="http://schemas.openxmlformats.org/officeDocument/2006/relationships/hyperlink" Id="rId108" Target="http://schema.org/jobTitle" TargetMode="External" /><Relationship Type="http://schemas.openxmlformats.org/officeDocument/2006/relationships/hyperlink" Id="rId109"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19" Target="http://schema.org/postalCode" TargetMode="External" /><Relationship Type="http://schemas.openxmlformats.org/officeDocument/2006/relationships/hyperlink" Id="rId118" Target="http://schema.org/streetAddress" TargetMode="External" /><Relationship Type="http://schemas.openxmlformats.org/officeDocument/2006/relationships/hyperlink" Id="rId147" Target="http://schema.org/totalPaymentDue" TargetMode="External" /><Relationship Type="http://schemas.openxmlformats.org/officeDocument/2006/relationships/hyperlink" Id="rId135" Target="http://schema.org/unitCode" TargetMode="External" /><Relationship Type="http://schemas.openxmlformats.org/officeDocument/2006/relationships/hyperlink" Id="rId132" Target="http://schema.org/value" TargetMode="External" /><Relationship Type="http://schemas.openxmlformats.org/officeDocument/2006/relationships/hyperlink" Id="rId106"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04" Target="http://www.w3.org/2001/XMLSchema#date" TargetMode="External" /><Relationship Type="http://schemas.openxmlformats.org/officeDocument/2006/relationships/hyperlink" Id="rId133" Target="http://www.w3.org/2001/XMLSchema#decimal" TargetMode="External" /><Relationship Type="http://schemas.openxmlformats.org/officeDocument/2006/relationships/hyperlink" Id="rId13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2"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6" Target="https://agriculture.ld.admin.ch/eCH-1234/2/PersonShape" TargetMode="External" /><Relationship Type="http://schemas.openxmlformats.org/officeDocument/2006/relationships/hyperlink" Id="rId114" Target="https://agriculture.ld.admin.ch/eCH-1234/2/PostalAddressShape" TargetMode="External" /><Relationship Type="http://schemas.openxmlformats.org/officeDocument/2006/relationships/hyperlink" Id="rId128"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23" Target="https://ld.admin.ch/country/CHE" TargetMode="External" /><Relationship Type="http://schemas.openxmlformats.org/officeDocument/2006/relationships/hyperlink" Id="rId124" Target="https://ld.admin.ch/country/FRA" TargetMode="External" /><Relationship Type="http://schemas.openxmlformats.org/officeDocument/2006/relationships/hyperlink" Id="rId125"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4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8"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16"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30"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Quarto-Dokument als Vorlage</dc:title>
  <dc:creator/>
  <dc:language>de</dc:language>
  <cp:keywords/>
  <dcterms:created xsi:type="dcterms:W3CDTF">2026-10-12T12:55:32Z</dcterms:created>
  <dcterms:modified xsi:type="dcterms:W3CDTF">2026-10-12T12:55:32Z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ocite">
    <vt:lpwstr>[@eCH-0003:11.1.0]</vt:lpwstr>
  </property>
  <property fmtid="{D5CDD505-2E9C-101B-9397-08002B2CF9AE}" pid="17" name="toc-title">
    <vt:lpwstr>Inhaltsverzeichnis</vt:lpwstr>
  </property>
</Properties>
</file>