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Indications d’utilisation</w:t>
      </w:r>
    </w:p>
    <w:p>
      <w:pPr>
        <w:pStyle w:val="FirstParagraph"/>
      </w:pPr>
      <w:r>
        <w:t xml:space="preserve">Le paragraphe suivant est volontairement absurde et ne sert qu’à tester le style de citation (dans le texte courant sans crochets avec</w:t>
      </w:r>
      <w:r>
        <w:t xml:space="preserve"> </w:t>
      </w:r>
      <w:r>
        <w:rPr>
          <w:rStyle w:val="VerbatimChar"/>
        </w:rPr>
        <w:t xml:space="preserve">@key</w:t>
      </w:r>
      <w:r>
        <w:t xml:space="preserve">, sinon entre crochets avec</w:t>
      </w:r>
      <w:r>
        <w:t xml:space="preserve"> </w:t>
      </w:r>
      <w:r>
        <w:rPr>
          <w:rStyle w:val="VerbatimChar"/>
        </w:rPr>
        <w:t xml:space="preserve">[@key]</w:t>
      </w:r>
      <w:r>
        <w:t xml:space="preserve">): selon</w:t>
      </w:r>
      <w:r>
        <w:t xml:space="preserve"> </w:t>
      </w:r>
      <w:hyperlink w:anchor="ref-eCH-0003:11.1.0">
        <w:r>
          <w:rPr>
            <w:rStyle w:val="Hyperlink"/>
          </w:rPr>
          <w:t xml:space="preserve">eCH-0003 11.1.0</w:t>
        </w:r>
      </w:hyperlink>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93"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92" w:name="sec-nodeshape-trackshape-properties"/>
    <w:p>
      <w:pPr>
        <w:pStyle w:val="berschrift3"/>
      </w:pPr>
      <w:r>
        <w:t xml:space="preserve">3.3.2 Propriétés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piste doit avoir un nom.</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w:t>
            </w:r>
            <w:r>
              <w:t xml:space="preserve"> </w:t>
            </w:r>
            <w:r>
              <w:t xml:space="preserve">piste ne peut appartenir qu’à un schema:MusicAlbum</w:t>
            </w:r>
            <w:r>
              <w:t xml:space="preserve"> </w:t>
            </w:r>
            <w:r>
              <w:t xml:space="preserve">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0">
              <w:r>
                <w:rPr>
                  <w:rStyle w:val="Hyperlink"/>
                </w:rPr>
                <w:t xml:space="preserve">schema:duration</w:t>
              </w:r>
            </w:hyperlink>
            <w:r>
              <w:t xml:space="preserve">): La</w:t>
            </w:r>
            <w:r>
              <w:t xml:space="preserve"> </w:t>
            </w:r>
            <w:r>
              <w:t xml:space="preserve">durée 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hyperlink r:id="rId91">
              <w:r>
                <w:rPr>
                  <w:rStyle w:val="Hyperlink"/>
                </w:rPr>
                <w:t xml:space="preserve">schema:contentSize</w:t>
              </w:r>
            </w:hyperlink>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92"/>
    <w:bookmarkEnd w:id="93"/>
    <w:bookmarkStart w:id="108"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97" w:name="sec-nodeshape-invoiceshape-overview"/>
    <w:p>
      <w:pPr>
        <w:pStyle w:val="berschrift3"/>
      </w:pPr>
      <w:r>
        <w:t xml:space="preserve">3.4.1 Aperçu</w:t>
      </w:r>
    </w:p>
    <w:p>
      <w:pPr>
        <w:pStyle w:val="DefinitionTerm"/>
      </w:pPr>
      <w:r>
        <w:t xml:space="preserve">Shape</w:t>
      </w:r>
    </w:p>
    <w:p>
      <w:pPr>
        <w:pStyle w:val="Definition"/>
      </w:pPr>
      <w:hyperlink r:id="rId94">
        <w:r>
          <w:rPr>
            <w:rStyle w:val="Hyperlink"/>
          </w:rPr>
          <w:t xml:space="preserve">:InvoiceShape</w:t>
        </w:r>
      </w:hyperlink>
    </w:p>
    <w:p>
      <w:pPr>
        <w:pStyle w:val="DefinitionTerm"/>
      </w:pPr>
      <w:r>
        <w:t xml:space="preserve">Classe cible</w:t>
      </w:r>
    </w:p>
    <w:p>
      <w:pPr>
        <w:pStyle w:val="Definition"/>
      </w:pPr>
      <w:hyperlink r:id="rId95">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96">
        <w:r>
          <w:rPr>
            <w:rStyle w:val="Hyperlink"/>
          </w:rPr>
          <w:t xml:space="preserve">Service SPARQL</w:t>
        </w:r>
      </w:hyperlink>
    </w:p>
    <w:bookmarkEnd w:id="97"/>
    <w:bookmarkStart w:id="104" w:name="sec-nodeshape-invoiceshape-properties"/>
    <w:p>
      <w:pPr>
        <w:pStyle w:val="berschrift3"/>
      </w:pPr>
      <w:r>
        <w:t xml:space="preserve">3.4.2 Propriétés</w:t>
      </w:r>
    </w:p>
    <w:tbl>
      <w:tblPr>
        <w:tblStyle w:val="Table"/>
        <w:tblW w:type="pct" w:w="4963"/>
        <w:tblLayout w:type="fixed"/>
        <w:tblLook w:firstRow="1" w:lastRow="0" w:firstColumn="0" w:lastColumn="0" w:noHBand="0" w:noVBand="0" w:val="0020"/>
      </w:tblPr>
      <w:tblGrid>
        <w:gridCol w:w="3785"/>
        <w:gridCol w:w="3202"/>
        <w:gridCol w:w="87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98">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99">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00">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18"/>
              </w:numPr>
              <w:jc w:val="left"/>
            </w:pPr>
            <w:r>
              <w:t xml:space="preserve">Type:</w:t>
            </w:r>
            <w:r>
              <w:t xml:space="preserve"> </w:t>
            </w:r>
            <w:hyperlink r:id="rId10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02">
              <w:r>
                <w:rPr>
                  <w:rStyle w:val="Hyperlink"/>
                </w:rPr>
                <w:t xml:space="preserve">schema:dateCreated</w:t>
              </w:r>
            </w:hyperlink>
            <w:r>
              <w:t xml:space="preserve">)</w:t>
            </w:r>
          </w:p>
        </w:tc>
        <w:tc>
          <w:tcPr/>
          <w:p>
            <w:pPr>
              <w:pStyle w:val="Compact"/>
              <w:numPr>
                <w:ilvl w:val="0"/>
                <w:numId w:val="1019"/>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104"/>
    <w:bookmarkStart w:id="107" w:name="sec-nodeshape-invoiceshape-rules"/>
    <w:p>
      <w:pPr>
        <w:pStyle w:val="berschrift3"/>
      </w:pPr>
      <w:r>
        <w:t xml:space="preserve">3.4.3 Règles (SPARQL)</w:t>
      </w:r>
    </w:p>
    <w:bookmarkStart w:id="105"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5"/>
    <w:bookmarkStart w:id="106"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6"/>
    <w:bookmarkEnd w:id="107"/>
    <w:bookmarkEnd w:id="108"/>
    <w:bookmarkStart w:id="119" w:name="sec-nodeshape-genreshape"/>
    <w:p>
      <w:pPr>
        <w:pStyle w:val="berschrift2"/>
      </w:pPr>
      <w:r>
        <w:t xml:space="preserve">3.5 Genre</w:t>
      </w:r>
    </w:p>
    <w:p>
      <w:pPr>
        <w:pStyle w:val="FirstParagraph"/>
      </w:pPr>
      <w:r>
        <w:t xml:space="preserve">Une catégorie musicale dans le jeu de données Chinook.</w:t>
      </w:r>
    </w:p>
    <w:bookmarkStart w:id="112" w:name="sec-nodeshape-genreshape-overview"/>
    <w:p>
      <w:pPr>
        <w:pStyle w:val="berschrift3"/>
      </w:pPr>
      <w:r>
        <w:t xml:space="preserve">3.5.1 Aperçu</w:t>
      </w:r>
    </w:p>
    <w:p>
      <w:pPr>
        <w:pStyle w:val="DefinitionTerm"/>
      </w:pPr>
      <w:r>
        <w:t xml:space="preserve">Shape</w:t>
      </w:r>
    </w:p>
    <w:p>
      <w:pPr>
        <w:pStyle w:val="Definition"/>
      </w:pPr>
      <w:hyperlink r:id="rId109">
        <w:r>
          <w:rPr>
            <w:rStyle w:val="Hyperlink"/>
          </w:rPr>
          <w:t xml:space="preserve">:GenreShape</w:t>
        </w:r>
      </w:hyperlink>
    </w:p>
    <w:p>
      <w:pPr>
        <w:pStyle w:val="DefinitionTerm"/>
      </w:pPr>
      <w:r>
        <w:t xml:space="preserve">Classe cible</w:t>
      </w:r>
    </w:p>
    <w:p>
      <w:pPr>
        <w:pStyle w:val="Definition"/>
      </w:pPr>
      <w:hyperlink r:id="rId110">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11">
        <w:r>
          <w:rPr>
            <w:rStyle w:val="Hyperlink"/>
          </w:rPr>
          <w:t xml:space="preserve">Service SPARQL</w:t>
        </w:r>
      </w:hyperlink>
    </w:p>
    <w:bookmarkEnd w:id="112"/>
    <w:bookmarkStart w:id="116" w:name="sec-nodeshape-genreshape-properties"/>
    <w:p>
      <w:pPr>
        <w:pStyle w:val="berschrift3"/>
      </w:pPr>
      <w:r>
        <w:t xml:space="preserve">3.5.2 Propriétés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13">
              <w:r>
                <w:rPr>
                  <w:rStyle w:val="Hyperlink"/>
                </w:rPr>
                <w:t xml:space="preserve">schema:partOf</w:t>
              </w:r>
            </w:hyperlink>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14">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2"/>
              </w:numPr>
              <w:jc w:val="left"/>
            </w:pPr>
            <w:r>
              <w:t xml:space="preserve">Type: Texte avec indication de langue</w:t>
            </w:r>
            <w:r>
              <w:t xml:space="preserve"> </w:t>
            </w:r>
            <w:r>
              <w:t xml:space="preserve">(</w:t>
            </w:r>
            <w:hyperlink r:id="rId115">
              <w:r>
                <w:rPr>
                  <w:rStyle w:val="Hyperlink"/>
                </w:rPr>
                <w:t xml:space="preserve">rdf:langString</w:t>
              </w:r>
            </w:hyperlink>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16"/>
    <w:bookmarkStart w:id="118" w:name="sec-nodeshape-genreshape-rules"/>
    <w:p>
      <w:pPr>
        <w:pStyle w:val="berschrift3"/>
      </w:pPr>
      <w:r>
        <w:t xml:space="preserve">3.5.3 Règles (SPARQL)</w:t>
      </w:r>
    </w:p>
    <w:bookmarkStart w:id="117"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17"/>
    <w:bookmarkEnd w:id="118"/>
    <w:bookmarkEnd w:id="119"/>
    <w:bookmarkStart w:id="124" w:name="sec-nodeshape-organisationshape"/>
    <w:p>
      <w:pPr>
        <w:pStyle w:val="berschrift2"/>
      </w:pPr>
      <w:r>
        <w:t xml:space="preserve">3.6 Organisation</w:t>
      </w:r>
    </w:p>
    <w:p>
      <w:pPr>
        <w:pStyle w:val="FirstParagraph"/>
      </w:pPr>
      <w:r>
        <w:t xml:space="preserve">Une entreprise ou organisation dans le jeu de données Chinook.</w:t>
      </w:r>
    </w:p>
    <w:bookmarkStart w:id="122" w:name="sec-nodeshape-organisationshape-overview"/>
    <w:p>
      <w:pPr>
        <w:pStyle w:val="berschrift3"/>
      </w:pPr>
      <w:r>
        <w:t xml:space="preserve">3.6.1 Aperçu</w:t>
      </w:r>
    </w:p>
    <w:p>
      <w:pPr>
        <w:pStyle w:val="DefinitionTerm"/>
      </w:pPr>
      <w:r>
        <w:t xml:space="preserve">Shape</w:t>
      </w:r>
    </w:p>
    <w:p>
      <w:pPr>
        <w:pStyle w:val="Definition"/>
      </w:pPr>
      <w:hyperlink r:id="rId120">
        <w:r>
          <w:rPr>
            <w:rStyle w:val="Hyperlink"/>
          </w:rPr>
          <w:t xml:space="preserve">:OrganisationShape</w:t>
        </w:r>
      </w:hyperlink>
    </w:p>
    <w:p>
      <w:pPr>
        <w:pStyle w:val="DefinitionTerm"/>
      </w:pPr>
      <w:r>
        <w:t xml:space="preserve">Classe cible</w:t>
      </w:r>
    </w:p>
    <w:p>
      <w:pPr>
        <w:pStyle w:val="Definition"/>
      </w:pPr>
      <w:hyperlink r:id="rId121">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22"/>
    <w:bookmarkStart w:id="123" w:name="X694231572673875c8b98e55f859590bf822fedc"/>
    <w:p>
      <w:pPr>
        <w:pStyle w:val="berschrift3"/>
      </w:pPr>
      <w:r>
        <w:t xml:space="preserve">3.6.2 Propriétés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3"/>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123"/>
    <w:bookmarkEnd w:id="124"/>
    <w:bookmarkStart w:id="14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28" w:name="sec-nodeshape-personshape-overview"/>
    <w:p>
      <w:pPr>
        <w:pStyle w:val="berschrift3"/>
      </w:pPr>
      <w:r>
        <w:t xml:space="preserve">3.7.1 Aperçu</w:t>
      </w:r>
    </w:p>
    <w:p>
      <w:pPr>
        <w:pStyle w:val="DefinitionTerm"/>
      </w:pPr>
      <w:r>
        <w:t xml:space="preserve">Shape</w:t>
      </w:r>
    </w:p>
    <w:p>
      <w:pPr>
        <w:pStyle w:val="Definition"/>
      </w:pPr>
      <w:hyperlink r:id="rId125">
        <w:r>
          <w:rPr>
            <w:rStyle w:val="Hyperlink"/>
          </w:rPr>
          <w:t xml:space="preserve">:PersonShape</w:t>
        </w:r>
      </w:hyperlink>
    </w:p>
    <w:p>
      <w:pPr>
        <w:pStyle w:val="DefinitionTerm"/>
      </w:pPr>
      <w:r>
        <w:t xml:space="preserve">Classe cible</w:t>
      </w:r>
    </w:p>
    <w:p>
      <w:pPr>
        <w:pStyle w:val="Definition"/>
      </w:pPr>
      <w:hyperlink r:id="rId126">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27">
        <w:r>
          <w:rPr>
            <w:rStyle w:val="Hyperlink"/>
          </w:rPr>
          <w:t xml:space="preserve">Service SPARQL</w:t>
        </w:r>
      </w:hyperlink>
    </w:p>
    <w:bookmarkEnd w:id="128"/>
    <w:bookmarkStart w:id="138" w:name="sec-nodeshape-personshape-properties"/>
    <w:p>
      <w:pPr>
        <w:pStyle w:val="berschrift3"/>
      </w:pPr>
      <w:r>
        <w:t xml:space="preserve">3.7.2 Propriétés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29">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4"/>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30">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25"/>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31">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2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32">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27"/>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27"/>
              </w:numPr>
              <w:jc w:val="left"/>
            </w:pPr>
            <w:r>
              <w:t xml:space="preserve">Plage de valeurs: ≥ 1900-01-01, ≤ 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33">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34">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35">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36">
              <w:r>
                <w:rPr>
                  <w:rStyle w:val="Hyperlink"/>
                </w:rPr>
                <w:t xml:space="preserve">schema:jobTitle</w:t>
              </w:r>
            </w:hyperlink>
            <w:r>
              <w:t xml:space="preserve">)</w:t>
            </w:r>
          </w:p>
        </w:tc>
        <w:tc>
          <w:tcPr/>
          <w:p>
            <w:pPr>
              <w:pStyle w:val="Compact"/>
              <w:numPr>
                <w:ilvl w:val="0"/>
                <w:numId w:val="103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37">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38"/>
    <w:bookmarkStart w:id="140" w:name="sec-nodeshape-personshape-rules"/>
    <w:p>
      <w:pPr>
        <w:pStyle w:val="berschrift3"/>
      </w:pPr>
      <w:r>
        <w:t xml:space="preserve">3.7.3 Règles (SPARQL)</w:t>
      </w:r>
    </w:p>
    <w:bookmarkStart w:id="13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9"/>
    <w:bookmarkEnd w:id="140"/>
    <w:bookmarkEnd w:id="141"/>
    <w:bookmarkStart w:id="155"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45" w:name="X78f593afbb200587db35193dab5ef366499966a"/>
    <w:p>
      <w:pPr>
        <w:pStyle w:val="berschrift3"/>
      </w:pPr>
      <w:r>
        <w:t xml:space="preserve">3.8.1 Aperçu</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Classe cible</w:t>
      </w:r>
    </w:p>
    <w:p>
      <w:pPr>
        <w:pStyle w:val="Definition"/>
      </w:pPr>
      <w:hyperlink r:id="rId143">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44">
        <w:r>
          <w:rPr>
            <w:rStyle w:val="Hyperlink"/>
          </w:rPr>
          <w:t xml:space="preserve">Service SPARQL</w:t>
        </w:r>
      </w:hyperlink>
    </w:p>
    <w:bookmarkEnd w:id="145"/>
    <w:bookmarkStart w:id="154"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46">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2"/>
              </w:numPr>
              <w:jc w:val="left"/>
            </w:pPr>
            <w:r>
              <w:t xml:space="preserve">Type: Nombre décimal</w:t>
            </w:r>
            <w:r>
              <w:t xml:space="preserve"> </w:t>
            </w:r>
            <w:r>
              <w:t xml:space="preserve">(</w:t>
            </w:r>
            <w:hyperlink r:id="rId147">
              <w:r>
                <w:rPr>
                  <w:rStyle w:val="Hyperlink"/>
                </w:rPr>
                <w:t xml:space="preserve">xsd:decimal</w:t>
              </w:r>
            </w:hyperlink>
            <w:r>
              <w:t xml:space="preserve">)</w:t>
            </w:r>
            <w:r>
              <w:t xml:space="preserve"> </w:t>
            </w:r>
            <w:r>
              <w:t xml:space="preserve">ou Nombre entier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149">
              <w:r>
                <w:rPr>
                  <w:rStyle w:val="Hyperlink"/>
                </w:rPr>
                <w:t xml:space="preserve">schema:unitCode</w:t>
              </w:r>
            </w:hyperlink>
            <w:r>
              <w:t xml:space="preserve">):</w:t>
            </w:r>
            <w:r>
              <w:t xml:space="preserve"> </w:t>
            </w:r>
            <w:r>
              <w:t xml:space="preserve">Une valeur quantitative doit spécifier son unité</w:t>
            </w:r>
            <w:r>
              <w:t xml:space="preserve"> </w:t>
            </w:r>
            <w:r>
              <w:t xml:space="preserve">via une URI unitCode.</w:t>
            </w:r>
          </w:p>
        </w:tc>
        <w:tc>
          <w:tcPr/>
          <w:p>
            <w:pPr>
              <w:pStyle w:val="Compact"/>
              <w:numPr>
                <w:ilvl w:val="0"/>
                <w:numId w:val="1033"/>
              </w:numPr>
              <w:jc w:val="left"/>
            </w:pPr>
            <w:r>
              <w:t xml:space="preserve">Valeurs: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57">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59"/>
    <w:bookmarkStart w:id="160"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60"/>
    <w:bookmarkStart w:id="161"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61"/>
    <w:bookmarkStart w:id="191" w:name="sec-appendix-a"/>
    <w:p>
      <w:pPr>
        <w:pStyle w:val="berschrift1"/>
      </w:pPr>
      <w:r>
        <w:t xml:space="preserve">Annexe A – Références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92"/>
    <w:bookmarkStart w:id="195"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57">
        <w:r>
          <w:rPr>
            <w:rStyle w:val="Hyperlink"/>
          </w:rPr>
          <w:t xml:space="preserve">LINDAS</w:t>
        </w:r>
      </w:hyperlink>
      <w:r>
        <w:t xml:space="preserve"> </w:t>
      </w:r>
      <w:r>
        <w:t xml:space="preserve">et dans le</w:t>
      </w:r>
      <w:r>
        <w:t xml:space="preserve"> </w:t>
      </w:r>
      <w:hyperlink r:id="rId193">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94"/>
          <w:p/>
        </w:tc>
      </w:tr>
    </w:tbl>
    <w:bookmarkEnd w:id="195"/>
    <w:bookmarkStart w:id="197"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96">
        <w:r>
          <w:rPr>
            <w:rStyle w:val="Hyperlink"/>
          </w:rPr>
          <w:t xml:space="preserve">releases sur GitHub</w:t>
        </w:r>
      </w:hyperlink>
      <w:r>
        <w:t xml:space="preserve">.</w:t>
      </w:r>
    </w:p>
    <w:bookmarkEnd w:id="197"/>
    <w:bookmarkStart w:id="198" w:name="sec-appendix-e"/>
    <w:p>
      <w:pPr>
        <w:pStyle w:val="berschrift1"/>
      </w:pPr>
      <w:r>
        <w:t xml:space="preserve">Annexe E – Table des illustrations</w:t>
      </w:r>
    </w:p>
    <w:bookmarkEnd w:id="198"/>
    <w:bookmarkStart w:id="199" w:name="sec-appendix-f"/>
    <w:p>
      <w:pPr>
        <w:pStyle w:val="berschrift1"/>
      </w:pPr>
      <w:r>
        <w:t xml:space="preserve">Annexe F – Liste des tableaux</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2026-10-12T12:55:46Z</dcterms:created>
  <dcterms:modified xsi:type="dcterms:W3CDTF">2026-10-12T12:55:46Z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des matières</vt:lpwstr>
  </property>
</Properties>
</file>