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</w:pPr>
      <w:r>
        <w:rPr>
          <w:lang w:eastAsia="ko-KR"/>
          <w:rtl w:val="off"/>
        </w:rPr>
        <w:t xml:space="preserve">춘천시 </w:t>
      </w:r>
      <w:r>
        <w:t xml:space="preserve">재활용품 품목별 배출 요령 </w:t>
      </w:r>
    </w:p>
    <w:p>
      <w:pPr/>
      <w:r>
        <w:t>[Category] 종이류</w:t>
      </w:r>
    </w:p>
    <w:p>
      <w:pPr/>
      <w:r>
        <w:t>[Subcategory] 종이팩</w:t>
      </w:r>
    </w:p>
    <w:p>
      <w:pPr/>
      <w:r>
        <w:t>[Disposal]</w:t>
      </w:r>
    </w:p>
    <w:p>
      <w:pPr>
        <w:pStyle w:val="ListBullet"/>
      </w:pPr>
      <w:r>
        <w:t>- 내용물을 비우고 물로 한 번 헹군 후 펼치거나 압착하여 봉투에 넣거나 한데 묶어서 배출</w:t>
      </w:r>
    </w:p>
    <w:p>
      <w:pPr/>
      <w:r>
        <w:t>end</w:t>
      </w:r>
    </w:p>
    <w:p>
      <w:pPr>
        <w:rPr>
          <w:lang/>
          <w:rtl w:val="off"/>
        </w:rPr>
      </w:pPr>
    </w:p>
    <w:p>
      <w:pPr/>
      <w:r>
        <w:t>[Category] 종이류</w:t>
      </w:r>
    </w:p>
    <w:p>
      <w:pPr/>
      <w:r>
        <w:t>[Subcategory] 신문지</w:t>
      </w:r>
    </w:p>
    <w:p>
      <w:pPr/>
      <w:r>
        <w:t>[Disposal]</w:t>
      </w:r>
    </w:p>
    <w:p>
      <w:pPr>
        <w:pStyle w:val="ListBullet"/>
      </w:pPr>
      <w:r>
        <w:t>- 물기에 젖지 않게 반듯하게 펴서 쌓은 후 묶어 배출</w:t>
      </w:r>
    </w:p>
    <w:p>
      <w:pPr>
        <w:pStyle w:val="ListBullet"/>
      </w:pPr>
      <w:r>
        <w:t>- 비닐코팅된 광고지, 비닐류, 기타 오물이 섞이지 않도록 함</w:t>
      </w:r>
    </w:p>
    <w:p>
      <w:pPr/>
      <w:r>
        <w:t>end</w:t>
      </w:r>
    </w:p>
    <w:p/>
    <w:p>
      <w:pPr/>
      <w:r>
        <w:t>[Category] 종이류</w:t>
      </w:r>
    </w:p>
    <w:p>
      <w:pPr/>
      <w:r>
        <w:t>[Subcategory] 책자, 노트 등</w:t>
      </w:r>
    </w:p>
    <w:p>
      <w:pPr/>
      <w:r>
        <w:t>[Disposal]</w:t>
      </w:r>
    </w:p>
    <w:p>
      <w:pPr>
        <w:pStyle w:val="ListBullet"/>
      </w:pPr>
      <w:r>
        <w:t>- 비닐 코팅된 표지, 공책의 스프링 제거</w:t>
      </w:r>
    </w:p>
    <w:p>
      <w:pPr>
        <w:pStyle w:val="ListBullet"/>
      </w:pPr>
      <w:r>
        <w:t>- 비닐 포장지는 제외</w:t>
      </w:r>
    </w:p>
    <w:p>
      <w:pPr/>
      <w:r>
        <w:t>end</w:t>
      </w:r>
    </w:p>
    <w:p/>
    <w:p>
      <w:pPr/>
      <w:r>
        <w:t>[Category] 종이류</w:t>
      </w:r>
    </w:p>
    <w:p>
      <w:pPr/>
      <w:r>
        <w:t>[Subcategory] 종이컵</w:t>
      </w:r>
    </w:p>
    <w:p>
      <w:pPr/>
      <w:r>
        <w:t>[Disposal]</w:t>
      </w:r>
    </w:p>
    <w:p>
      <w:pPr>
        <w:pStyle w:val="ListBullet"/>
      </w:pPr>
      <w:r>
        <w:t>- 내용물을 비우고 물로 헹군 후 압착하여 봉투에 넣거나 한데 묶음</w:t>
      </w:r>
    </w:p>
    <w:p>
      <w:pPr/>
      <w:r>
        <w:t>end</w:t>
      </w:r>
    </w:p>
    <w:p/>
    <w:p>
      <w:pPr/>
      <w:r>
        <w:t>[Category] 종이류</w:t>
      </w:r>
    </w:p>
    <w:p>
      <w:pPr/>
      <w:r>
        <w:t>[Subcategory] 상자류(골판지 상자 등)</w:t>
      </w:r>
    </w:p>
    <w:p>
      <w:pPr/>
      <w:r>
        <w:t>[Disposal]</w:t>
      </w:r>
    </w:p>
    <w:p>
      <w:pPr>
        <w:pStyle w:val="ListBullet"/>
      </w:pPr>
      <w:r>
        <w:t>- 비닐 코팅 부분, 테이프, 철핀 등을 제거한 후 압착</w:t>
      </w:r>
    </w:p>
    <w:p>
      <w:pPr>
        <w:pStyle w:val="ListBullet"/>
      </w:pPr>
      <w:r>
        <w:t>- 운반이 용이하도록 묶어서 배출</w:t>
      </w:r>
    </w:p>
    <w:p>
      <w:pPr>
        <w:rPr>
          <w:lang/>
          <w:rtl w:val="off"/>
        </w:rPr>
      </w:pPr>
      <w:r>
        <w:t>end</w:t>
      </w:r>
    </w:p>
    <w:p>
      <w:pPr/>
    </w:p>
    <w:p>
      <w:pPr/>
      <w:r>
        <w:t>[Category] 유리병류</w:t>
      </w:r>
    </w:p>
    <w:p>
      <w:pPr/>
      <w:r>
        <w:t>[Subcategory] 음료수병, 기타병류</w:t>
      </w:r>
    </w:p>
    <w:p>
      <w:pPr/>
      <w:r>
        <w:t>[Disposal]</w:t>
      </w:r>
    </w:p>
    <w:p>
      <w:pPr>
        <w:pStyle w:val="ListBullet"/>
      </w:pPr>
      <w:r>
        <w:t>- 병뚜껑을 제거한 후 내용물을 비우고 배출</w:t>
      </w:r>
    </w:p>
    <w:p>
      <w:pPr>
        <w:pStyle w:val="ListBullet"/>
      </w:pPr>
      <w:r>
        <w:t>- 내열식기, 도자기편류 등과 분리하여 배출</w:t>
      </w:r>
    </w:p>
    <w:p>
      <w:pPr>
        <w:pStyle w:val="ListBullet"/>
      </w:pPr>
      <w:r>
        <w:t>- 빈용기보증금 대상 유리병은 소매점 등에서 환불</w:t>
      </w:r>
    </w:p>
    <w:p>
      <w:pPr/>
      <w:r>
        <w:t>end</w:t>
      </w:r>
    </w:p>
    <w:p/>
    <w:p>
      <w:pPr/>
      <w:r>
        <w:t>[Category] 금속류</w:t>
      </w:r>
    </w:p>
    <w:p>
      <w:pPr/>
      <w:r>
        <w:t>[Subcategory] 철캔, 알루미늄캔</w:t>
      </w:r>
    </w:p>
    <w:p>
      <w:pPr/>
      <w:r>
        <w:t>[Disposal]</w:t>
      </w:r>
    </w:p>
    <w:p>
      <w:pPr>
        <w:pStyle w:val="ListBullet"/>
      </w:pPr>
      <w:r>
        <w:t>- 내용물을 비우고 가능한 압착</w:t>
      </w:r>
    </w:p>
    <w:p>
      <w:pPr>
        <w:pStyle w:val="ListBullet"/>
      </w:pPr>
      <w:r>
        <w:t>- 겉 또는 속의 플라스틱 뚜껑 등 제거</w:t>
      </w:r>
    </w:p>
    <w:p>
      <w:pPr>
        <w:pStyle w:val="ListBullet"/>
      </w:pPr>
      <w:r>
        <w:t>- 담배꽁초 등 이물질을 넣지 말 것</w:t>
      </w:r>
    </w:p>
    <w:p>
      <w:pPr/>
      <w:r>
        <w:t>end</w:t>
      </w:r>
    </w:p>
    <w:p/>
    <w:p>
      <w:pPr/>
      <w:r>
        <w:t>[Category] 금속류</w:t>
      </w:r>
    </w:p>
    <w:p>
      <w:pPr/>
      <w:r>
        <w:t>[Subcategory] 기타캔류(부탄가스, 살충제용기 등)</w:t>
      </w:r>
    </w:p>
    <w:p>
      <w:pPr/>
      <w:r>
        <w:t>[Disposal]</w:t>
      </w:r>
    </w:p>
    <w:p>
      <w:pPr>
        <w:pStyle w:val="ListBullet"/>
      </w:pPr>
      <w:r>
        <w:t>- 구멍을 뚫어 내용물을 비운 후 배출</w:t>
      </w:r>
    </w:p>
    <w:p>
      <w:pPr/>
      <w:r>
        <w:t>end</w:t>
      </w:r>
    </w:p>
    <w:p/>
    <w:p>
      <w:pPr/>
      <w:r>
        <w:t>[Category] 고철류</w:t>
      </w:r>
    </w:p>
    <w:p>
      <w:pPr/>
      <w:r>
        <w:t>[Subcategory] 공기구, 철사, 못, 알루미늄, 스텐류 등</w:t>
      </w:r>
    </w:p>
    <w:p>
      <w:pPr/>
      <w:r>
        <w:t>[Disposal]</w:t>
      </w:r>
    </w:p>
    <w:p>
      <w:pPr>
        <w:pStyle w:val="ListBullet"/>
      </w:pPr>
      <w:r>
        <w:t>- 이물질이 섞이지 않도록 한 봉투에 넣거나 끈으로 묶어서 배출</w:t>
      </w:r>
    </w:p>
    <w:p>
      <w:pPr>
        <w:rPr>
          <w:lang w:eastAsia="ko-KR"/>
          <w:rFonts w:hint="eastAsia"/>
          <w:rtl w:val="off"/>
        </w:rPr>
      </w:pPr>
      <w:r>
        <w:t>end</w:t>
      </w:r>
    </w:p>
    <w:p>
      <w:pPr/>
    </w:p>
    <w:p>
      <w:pPr/>
      <w:r>
        <w:t xml:space="preserve">[Category] </w:t>
      </w:r>
      <w:r>
        <w:rPr>
          <w:lang w:eastAsia="ko-KR"/>
          <w:rtl w:val="off"/>
        </w:rPr>
        <w:t>플라스틱류</w:t>
      </w:r>
    </w:p>
    <w:p>
      <w:pPr/>
      <w:r>
        <w:t>[Subcategory] 무색투명한 먹는샘물 페트병, 무색투명한 음료 페트병</w:t>
      </w:r>
    </w:p>
    <w:p>
      <w:pPr/>
      <w:r>
        <w:t>[Disposal]</w:t>
      </w:r>
    </w:p>
    <w:p>
      <w:pPr>
        <w:pStyle w:val="ListBullet"/>
      </w:pPr>
      <w:r>
        <w:t>- 내용물을 깨끗이 비우고 부착상표(라벨) 등을 제거한 후 가능한 압착하여 별도배출</w:t>
      </w:r>
    </w:p>
    <w:p>
      <w:pPr>
        <w:pStyle w:val="ListBullet"/>
      </w:pPr>
      <w:r>
        <w:t>- 내용물을 확인할 수 있는 투명 또는 반투명 봉투 등에 담아 다른 플라스틱, 유색페트병과 섞이지 않게 구분하여 배출</w:t>
      </w:r>
    </w:p>
    <w:p>
      <w:pPr/>
      <w:r>
        <w:t>end</w:t>
      </w:r>
    </w:p>
    <w:p>
      <w:pPr>
        <w:rPr>
          <w:lang w:eastAsia="ko-KR"/>
          <w:rFonts w:hint="eastAsia"/>
          <w:rtl w:val="off"/>
        </w:rPr>
      </w:pPr>
    </w:p>
    <w:p>
      <w:pPr/>
      <w:r>
        <w:t>[Category] 플라스틱류</w:t>
      </w:r>
    </w:p>
    <w:p>
      <w:pPr/>
      <w:r>
        <w:t>[Subcategory] 폐필름류 포장재 (라면·과자봉지 등)</w:t>
      </w:r>
    </w:p>
    <w:p>
      <w:pPr/>
      <w:r>
        <w:t>[Disposal]</w:t>
      </w:r>
    </w:p>
    <w:p>
      <w:pPr>
        <w:pStyle w:val="ListBullet"/>
      </w:pPr>
      <w:r>
        <w:t>- 분리배출 마크가 있는 필름류만 따로 모음</w:t>
      </w:r>
    </w:p>
    <w:p>
      <w:pPr>
        <w:pStyle w:val="ListBullet"/>
      </w:pPr>
      <w:r>
        <w:t>- 내용물을 깨끗이 비우고 투명한 비닐봉투에 각각 차곡차곡 넣어 분리수거함 또는 재활용품 수집장소에 배출</w:t>
      </w:r>
    </w:p>
    <w:p>
      <w:pPr>
        <w:rPr>
          <w:lang w:eastAsia="ko-KR"/>
          <w:rFonts w:hint="eastAsia"/>
          <w:rtl w:val="off"/>
        </w:rPr>
      </w:pPr>
      <w:r>
        <w:t>end</w:t>
      </w:r>
    </w:p>
    <w:p/>
    <w:p>
      <w:pPr/>
      <w:r>
        <w:t>[Category] 스티로폼류</w:t>
      </w:r>
    </w:p>
    <w:p>
      <w:pPr/>
      <w:r>
        <w:t>[Subcategory] 전자제품 완충재, 농수축산물용 발포스티렌상자</w:t>
      </w:r>
    </w:p>
    <w:p>
      <w:pPr/>
      <w:r>
        <w:t>[Disposal]</w:t>
      </w:r>
    </w:p>
    <w:p>
      <w:pPr>
        <w:pStyle w:val="ListBullet"/>
      </w:pPr>
      <w:r>
        <w:t>- 제품구입처로 반납</w:t>
      </w:r>
    </w:p>
    <w:p>
      <w:pPr>
        <w:pStyle w:val="ListBullet"/>
      </w:pPr>
      <w:r>
        <w:t>- 내용물을 완전히 비우고 부착상표 등을 제거</w:t>
      </w:r>
    </w:p>
    <w:p>
      <w:pPr>
        <w:pStyle w:val="ListBullet"/>
      </w:pPr>
      <w:r>
        <w:t>- 이물질 묻은 경우 깨끗이 씻어서 배출</w:t>
      </w:r>
    </w:p>
    <w:p>
      <w:pPr>
        <w:pStyle w:val="ListBullet"/>
      </w:pPr>
      <w:r>
        <w:t>- 오염되었거나 코팅된 발포스티렌은 제외</w:t>
      </w:r>
    </w:p>
    <w:p>
      <w:pPr>
        <w:rPr>
          <w:lang w:eastAsia="ko-KR"/>
          <w:rFonts w:hint="eastAsia"/>
          <w:rtl w:val="off"/>
        </w:rPr>
      </w:pPr>
      <w:r>
        <w:t>end</w:t>
      </w:r>
    </w:p>
    <w:p/>
    <w:p>
      <w:pPr/>
      <w:r>
        <w:t>[Category] 스티로폼류</w:t>
      </w:r>
    </w:p>
    <w:p>
      <w:pPr/>
      <w:r>
        <w:t>[Subcategory] 폐스티로폼</w:t>
      </w:r>
    </w:p>
    <w:p>
      <w:pPr/>
      <w:r>
        <w:t>[Disposal]</w:t>
      </w:r>
    </w:p>
    <w:p>
      <w:pPr>
        <w:pStyle w:val="ListBullet"/>
      </w:pPr>
      <w:r>
        <w:t>- 오염되지 않은 깨끗한 것만 재활용 가능</w:t>
      </w:r>
    </w:p>
    <w:p>
      <w:pPr>
        <w:pStyle w:val="ListBullet"/>
      </w:pPr>
      <w:r>
        <w:t>- 오염된 폐스티로폼은 마대자루에 담아 대형폐기물로 배출</w:t>
      </w:r>
    </w:p>
    <w:p>
      <w:pPr>
        <w:rPr>
          <w:lang w:eastAsia="ko-KR"/>
          <w:rFonts w:hint="eastAsia"/>
          <w:rtl w:val="off"/>
        </w:rPr>
      </w:pPr>
      <w:r>
        <w:t>end</w:t>
      </w:r>
    </w:p>
    <w:p/>
    <w:p>
      <w:pPr/>
      <w:r>
        <w:t>[Category] 전지류</w:t>
      </w:r>
    </w:p>
    <w:p>
      <w:pPr/>
      <w:r>
        <w:t>[Subcategory] 망간전지, 알칼리전지, 산화은전지, 니켈카드뮴전지 등</w:t>
      </w:r>
    </w:p>
    <w:p>
      <w:pPr/>
      <w:r>
        <w:t>[Disposal]</w:t>
      </w:r>
    </w:p>
    <w:p>
      <w:pPr>
        <w:pStyle w:val="ListBullet"/>
      </w:pPr>
      <w:r>
        <w:t>- 전자제품 대리점 및 시계점 등 역회수 루트를 통하여 배출</w:t>
      </w:r>
    </w:p>
    <w:p>
      <w:pPr>
        <w:pStyle w:val="ListBullet"/>
      </w:pPr>
      <w:r>
        <w:t>- 주요 거점에 비치된 폐건전지 수거함에 배출</w:t>
      </w:r>
    </w:p>
    <w:p>
      <w:pPr/>
      <w:r>
        <w:t>end</w:t>
      </w:r>
    </w:p>
    <w:p/>
    <w:p>
      <w:pPr/>
      <w:r>
        <w:t>[Category] 타이어</w:t>
      </w:r>
    </w:p>
    <w:p>
      <w:pPr/>
      <w:r>
        <w:t>[Subcategory] 소형, 중형, 대형</w:t>
      </w:r>
    </w:p>
    <w:p>
      <w:pPr/>
      <w:r>
        <w:t>[Disposal]</w:t>
      </w:r>
    </w:p>
    <w:p>
      <w:pPr>
        <w:pStyle w:val="ListBullet"/>
      </w:pPr>
      <w:r>
        <w:t>- 정비업소, 타이어 판매소 등 역회수 루트를 통하여 배출</w:t>
      </w:r>
    </w:p>
    <w:p>
      <w:pPr/>
      <w:r>
        <w:t>end</w:t>
      </w:r>
    </w:p>
    <w:p/>
    <w:p>
      <w:pPr/>
      <w:r>
        <w:t>[Category] 윤활류</w:t>
      </w:r>
    </w:p>
    <w:p>
      <w:pPr/>
      <w:r>
        <w:t>[Subcategory] 윤활유</w:t>
      </w:r>
    </w:p>
    <w:p>
      <w:pPr/>
      <w:r>
        <w:t>[Disposal]</w:t>
      </w:r>
    </w:p>
    <w:p>
      <w:pPr>
        <w:pStyle w:val="ListBullet"/>
      </w:pPr>
      <w:r>
        <w:t>- 정비업소 등 역회수 루트를 통하여 배출</w:t>
      </w:r>
    </w:p>
    <w:p>
      <w:pPr/>
      <w:r>
        <w:t>end</w:t>
      </w:r>
    </w:p>
    <w:p/>
    <w:p>
      <w:pPr/>
      <w:r>
        <w:t>[Category] 전자제품류</w:t>
      </w:r>
    </w:p>
    <w:p>
      <w:pPr/>
      <w:r>
        <w:t>[Subcategory] TV, 냉장고, 세탁기, 에어컨, 컴퓨터, 오디오, 휴대폰</w:t>
      </w:r>
    </w:p>
    <w:p>
      <w:pPr/>
      <w:r>
        <w:t>[Disposal]</w:t>
      </w:r>
    </w:p>
    <w:p>
      <w:pPr>
        <w:pStyle w:val="ListBullet"/>
      </w:pPr>
      <w:r>
        <w:t>- 신제품 판매시 무상으로 역회수</w:t>
      </w:r>
    </w:p>
    <w:p>
      <w:pPr>
        <w:pStyle w:val="ListBullet"/>
      </w:pPr>
      <w:r>
        <w:t>- 대형폐기물로 배출 또는 무상 방문 수거 서비스 이용 (1599-0903)</w:t>
      </w:r>
    </w:p>
    <w:p>
      <w:pPr>
        <w:pStyle w:val="ListBullet"/>
      </w:pPr>
      <w:r>
        <w:t>- 휴대폰은 전지를 분리하지 말고 본체, 충전기와 함께 대리점을 통해 배출 또는 소형가전으로 분리배출</w:t>
      </w:r>
    </w:p>
    <w:p>
      <w:pPr/>
      <w:r>
        <w:t>end</w:t>
      </w:r>
    </w:p>
    <w:p>
      <w:pPr>
        <w:rPr>
          <w:lang w:eastAsia="ko-KR"/>
          <w:rFonts w:hint="eastAsia"/>
          <w:rtl w:val="off"/>
        </w:rPr>
      </w:pPr>
    </w:p>
    <w:p>
      <w:pPr/>
      <w:r>
        <w:t>[Category] 소형가전류</w:t>
      </w:r>
    </w:p>
    <w:p>
      <w:pPr/>
      <w:r>
        <w:t>[Subcategory] 음식물처리기, 전기밥솥, 청소기 등</w:t>
      </w:r>
    </w:p>
    <w:p>
      <w:pPr/>
      <w:r>
        <w:t>[Disposal]</w:t>
      </w:r>
    </w:p>
    <w:p>
      <w:pPr>
        <w:pStyle w:val="ListBullet"/>
      </w:pPr>
      <w:r>
        <w:t>- 행정복지센터 소형폐가전 수거함 이용</w:t>
      </w:r>
    </w:p>
    <w:p>
      <w:pPr>
        <w:pStyle w:val="ListBullet"/>
      </w:pPr>
      <w:r>
        <w:t>- 5개 이상일 경우 무상 방문 수거 서비스 이용 (1599-0903)</w:t>
      </w:r>
    </w:p>
    <w:p>
      <w:pPr/>
      <w:r>
        <w:t>end</w:t>
      </w:r>
    </w:p>
    <w:p/>
    <w:p>
      <w:pPr/>
      <w:r>
        <w:t>[Category] 형광등류</w:t>
      </w:r>
    </w:p>
    <w:p>
      <w:pPr/>
      <w:r>
        <w:t>[Subcategory] 형광등</w:t>
      </w:r>
    </w:p>
    <w:p>
      <w:pPr/>
      <w:r>
        <w:t>[Disposal]</w:t>
      </w:r>
    </w:p>
    <w:p>
      <w:pPr>
        <w:pStyle w:val="ListBullet"/>
      </w:pPr>
      <w:r>
        <w:t>- 포장지를 벗겨내고 전용 분리 수거함에 배출</w:t>
      </w:r>
    </w:p>
    <w:p>
      <w:pPr>
        <w:pStyle w:val="ListBullet"/>
      </w:pPr>
      <w:r>
        <w:t>- 깨진 형광등, 전구는 종량제 봉투에 배출</w:t>
      </w:r>
    </w:p>
    <w:p>
      <w:pPr>
        <w:rPr>
          <w:lang w:eastAsia="ko-KR"/>
          <w:rFonts w:hint="eastAsia"/>
          <w:rtl w:val="off"/>
        </w:rPr>
      </w:pPr>
      <w:r>
        <w:t>end</w:t>
      </w:r>
    </w:p>
    <w:p>
      <w:pPr/>
    </w:p>
    <w:p>
      <w:pPr/>
      <w:r>
        <w:t>[Category] 의류류</w:t>
      </w:r>
    </w:p>
    <w:p>
      <w:pPr/>
      <w:r>
        <w:t>[Subcategory] 면섬유류, 기타 의류</w:t>
      </w:r>
    </w:p>
    <w:p>
      <w:pPr/>
      <w:r>
        <w:t>[Disposal]</w:t>
      </w:r>
    </w:p>
    <w:p>
      <w:pPr>
        <w:pStyle w:val="ListBullet"/>
      </w:pPr>
      <w:r>
        <w:t>- 의류 수거함 이용</w:t>
      </w:r>
    </w:p>
    <w:p>
      <w:pPr>
        <w:pStyle w:val="ListBullet"/>
      </w:pPr>
      <w:r>
        <w:t>- 베개, 이불, 인형 등은 재활용 불가</w:t>
      </w:r>
    </w:p>
    <w:p>
      <w:pPr/>
      <w:r>
        <w:t>end</w:t>
      </w:r>
    </w:p>
    <w:p/>
    <w:p>
      <w:pPr/>
      <w:r>
        <w:t>[Category] 보상제도</w:t>
      </w:r>
    </w:p>
    <w:p>
      <w:pPr/>
      <w:r>
        <w:t>[Subcategory] 종이팩</w:t>
      </w:r>
    </w:p>
    <w:p>
      <w:pPr/>
      <w:r>
        <w:t>[Disposal]</w:t>
      </w:r>
    </w:p>
    <w:p>
      <w:pPr>
        <w:pStyle w:val="ListBullet"/>
      </w:pPr>
      <w:r>
        <w:t>- 종이팩은 일반 폐지와 분리하여 배출</w:t>
      </w:r>
    </w:p>
    <w:p>
      <w:pPr>
        <w:pStyle w:val="ListBullet"/>
      </w:pPr>
      <w:r>
        <w:t>- 읍·면·동 행정복지센터 민원실에 제출 시 보상 가능</w:t>
      </w:r>
    </w:p>
    <w:p>
      <w:pPr>
        <w:pStyle w:val="ListBullet"/>
      </w:pPr>
      <w:r>
        <w:t>- 800ml 이상 (30매) ⇒ 휴지 2롤</w:t>
      </w:r>
    </w:p>
    <w:p>
      <w:pPr>
        <w:pStyle w:val="ListBullet"/>
      </w:pPr>
      <w:r>
        <w:t>- 300ml 이상 ~ 800ml 미만 (50매)</w:t>
      </w:r>
    </w:p>
    <w:p>
      <w:pPr>
        <w:pStyle w:val="ListBullet"/>
      </w:pPr>
      <w:r>
        <w:t>- 300ml 미만 (100매)</w:t>
      </w:r>
    </w:p>
    <w:p>
      <w:pPr/>
      <w:r>
        <w:t>end</w:t>
      </w:r>
    </w:p>
    <w:p/>
    <w:p>
      <w:pPr/>
      <w:r>
        <w:t>[Category] 보상제도</w:t>
      </w:r>
    </w:p>
    <w:p>
      <w:pPr/>
      <w:r>
        <w:t>[Subcategory] 폐건전지</w:t>
      </w:r>
    </w:p>
    <w:p>
      <w:pPr/>
      <w:r>
        <w:t>[Disposal]</w:t>
      </w:r>
    </w:p>
    <w:p>
      <w:pPr>
        <w:pStyle w:val="ListBullet"/>
      </w:pPr>
      <w:r>
        <w:t>- 폐건전지를 모아 읍·면·동 행정복지센터에 제출하면 재생화장지로 교환 가능</w:t>
      </w:r>
    </w:p>
    <w:p>
      <w:pPr/>
      <w:r>
        <w:t>end</w:t>
      </w:r>
    </w:p>
    <w:p>
      <w:pPr/>
    </w:p>
    <w:p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1</cp:revision>
  <dcterms:created xsi:type="dcterms:W3CDTF">2013-12-23T23:15:00Z</dcterms:created>
  <dcterms:modified xsi:type="dcterms:W3CDTF">2025-05-25T14:56:59Z</dcterms:modified>
  <cp:version>1200.0100.01</cp:version>
</cp:coreProperties>
</file>