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5372" w14:textId="77777777" w:rsidR="00CE7130" w:rsidRPr="00FA5066" w:rsidRDefault="00CE7130" w:rsidP="005B4926">
      <w:pPr>
        <w:spacing w:line="360" w:lineRule="auto"/>
        <w:rPr>
          <w:rFonts w:ascii="Times New Roman" w:hAnsi="Times New Roman" w:cs="Times New Roman"/>
          <w:b/>
          <w:bCs/>
        </w:rPr>
      </w:pPr>
    </w:p>
    <w:p w14:paraId="665E75DD" w14:textId="77777777" w:rsidR="005B4926" w:rsidRPr="00FA5066" w:rsidRDefault="005B4926" w:rsidP="005B4926">
      <w:pPr>
        <w:spacing w:line="360" w:lineRule="auto"/>
        <w:rPr>
          <w:rFonts w:ascii="Times New Roman" w:hAnsi="Times New Roman" w:cs="Times New Roman"/>
          <w:b/>
          <w:bCs/>
        </w:rPr>
      </w:pPr>
    </w:p>
    <w:p w14:paraId="3575CE6B" w14:textId="77777777" w:rsidR="005B4926" w:rsidRPr="00FA5066" w:rsidRDefault="005B4926" w:rsidP="005B4926">
      <w:pPr>
        <w:spacing w:line="360" w:lineRule="auto"/>
        <w:rPr>
          <w:rFonts w:ascii="Times New Roman" w:hAnsi="Times New Roman" w:cs="Times New Roman"/>
          <w:b/>
          <w:bCs/>
        </w:rPr>
      </w:pPr>
    </w:p>
    <w:p w14:paraId="616DFF4E" w14:textId="77777777" w:rsidR="005B4926" w:rsidRPr="00FA5066" w:rsidRDefault="005B4926" w:rsidP="005B4926">
      <w:pPr>
        <w:spacing w:line="360" w:lineRule="auto"/>
        <w:rPr>
          <w:rFonts w:ascii="Times New Roman" w:hAnsi="Times New Roman" w:cs="Times New Roman"/>
          <w:b/>
          <w:bCs/>
        </w:rPr>
      </w:pPr>
    </w:p>
    <w:p w14:paraId="247DC0A9" w14:textId="77777777" w:rsidR="00CE7130" w:rsidRPr="00FA5066" w:rsidRDefault="00CE7130" w:rsidP="00CE7130">
      <w:pPr>
        <w:spacing w:line="360" w:lineRule="auto"/>
        <w:jc w:val="center"/>
        <w:rPr>
          <w:rFonts w:ascii="Times New Roman" w:hAnsi="Times New Roman" w:cs="Times New Roman"/>
          <w:b/>
          <w:bCs/>
        </w:rPr>
      </w:pPr>
    </w:p>
    <w:p w14:paraId="3613047E" w14:textId="77777777" w:rsidR="00CE7130" w:rsidRPr="00FA5066" w:rsidRDefault="00CE7130" w:rsidP="00CE7130">
      <w:pPr>
        <w:spacing w:line="360" w:lineRule="auto"/>
        <w:jc w:val="center"/>
        <w:rPr>
          <w:rFonts w:ascii="Times New Roman" w:hAnsi="Times New Roman" w:cs="Times New Roman"/>
          <w:b/>
          <w:bCs/>
        </w:rPr>
      </w:pPr>
    </w:p>
    <w:p w14:paraId="1C3D618A" w14:textId="44DF5422" w:rsidR="00CE7130" w:rsidRPr="00FA5066" w:rsidRDefault="00CE7130" w:rsidP="00CE7130">
      <w:pPr>
        <w:spacing w:line="360" w:lineRule="auto"/>
        <w:jc w:val="center"/>
        <w:rPr>
          <w:rFonts w:ascii="Times New Roman" w:hAnsi="Times New Roman" w:cs="Times New Roman"/>
          <w:b/>
          <w:bCs/>
        </w:rPr>
      </w:pPr>
      <w:r>
        <w:rPr>
          <w:rFonts w:ascii="Times New Roman" w:hAnsi="Times New Roman" w:cs="Times New Roman"/>
          <w:b/>
          <w:bCs/>
        </w:rPr>
        <w:t>RemitTrend PH:</w:t>
      </w:r>
    </w:p>
    <w:p w14:paraId="46DD30DD" w14:textId="2EF586B4" w:rsidR="00965E55" w:rsidRPr="00FA5066" w:rsidRDefault="00CE7130" w:rsidP="00CE7130">
      <w:pPr>
        <w:spacing w:line="360" w:lineRule="auto"/>
        <w:jc w:val="center"/>
        <w:rPr>
          <w:rFonts w:ascii="Times New Roman" w:hAnsi="Times New Roman" w:cs="Times New Roman"/>
          <w:b/>
          <w:bCs/>
        </w:rPr>
      </w:pPr>
      <w:r>
        <w:rPr>
          <w:rFonts w:ascii="Times New Roman" w:hAnsi="Times New Roman" w:cs="Times New Roman"/>
          <w:b/>
          <w:bCs/>
        </w:rPr>
        <w:t>Overseas Filipino Cash Remittance Forecasting and Trend Analytics System</w:t>
      </w:r>
    </w:p>
    <w:p w14:paraId="5DEED722" w14:textId="77777777" w:rsidR="00CE7130" w:rsidRPr="00FA5066" w:rsidRDefault="00CE7130" w:rsidP="00CE7130">
      <w:pPr>
        <w:spacing w:line="360" w:lineRule="auto"/>
        <w:jc w:val="center"/>
        <w:rPr>
          <w:rFonts w:ascii="Times New Roman" w:hAnsi="Times New Roman" w:cs="Times New Roman"/>
        </w:rPr>
      </w:pPr>
    </w:p>
    <w:p w14:paraId="1C5DA982" w14:textId="77777777"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A Research Paper Presented to the Faculty of</w:t>
      </w:r>
    </w:p>
    <w:p w14:paraId="503CABD4" w14:textId="77777777"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BSIT 4ADA — Major in Data Analytics</w:t>
      </w:r>
    </w:p>
    <w:p w14:paraId="182029FA" w14:textId="4298C86B"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Dr. Caren A. Pacol, DIT</w:t>
      </w:r>
    </w:p>
    <w:p w14:paraId="0E199F69" w14:textId="77777777" w:rsidR="00CE7130" w:rsidRPr="00FA5066" w:rsidRDefault="00CE7130" w:rsidP="00CE7130">
      <w:pPr>
        <w:spacing w:line="360" w:lineRule="auto"/>
        <w:jc w:val="center"/>
        <w:rPr>
          <w:rFonts w:ascii="Times New Roman" w:hAnsi="Times New Roman" w:cs="Times New Roman"/>
        </w:rPr>
      </w:pPr>
    </w:p>
    <w:p w14:paraId="4AE6CA43" w14:textId="2A27F482"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Proponents:</w:t>
      </w:r>
    </w:p>
    <w:p w14:paraId="6262A739" w14:textId="4E076E51"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Brian P. Macalino (Leader)</w:t>
      </w:r>
    </w:p>
    <w:p w14:paraId="7D64EB1C" w14:textId="3BF068F1"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Ashley N. Gapasin</w:t>
      </w:r>
    </w:p>
    <w:p w14:paraId="5296F8BB" w14:textId="1F396476"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Priencethom A. Guyo</w:t>
      </w:r>
    </w:p>
    <w:p w14:paraId="1488FA06" w14:textId="77777777" w:rsidR="00CE7130" w:rsidRPr="00FA5066" w:rsidRDefault="00CE7130" w:rsidP="00CE7130">
      <w:pPr>
        <w:spacing w:line="360" w:lineRule="auto"/>
        <w:jc w:val="center"/>
        <w:rPr>
          <w:rFonts w:ascii="Times New Roman" w:hAnsi="Times New Roman" w:cs="Times New Roman"/>
        </w:rPr>
      </w:pPr>
    </w:p>
    <w:p w14:paraId="3A2CFABB" w14:textId="77777777" w:rsidR="00CE7130" w:rsidRPr="00FA5066" w:rsidRDefault="00CE7130" w:rsidP="00CE7130">
      <w:pPr>
        <w:spacing w:line="360" w:lineRule="auto"/>
        <w:jc w:val="center"/>
        <w:rPr>
          <w:rFonts w:ascii="Times New Roman" w:hAnsi="Times New Roman" w:cs="Times New Roman"/>
        </w:rPr>
      </w:pPr>
    </w:p>
    <w:p w14:paraId="6F39CA8B" w14:textId="77777777" w:rsidR="00CE7130" w:rsidRPr="00FA5066" w:rsidRDefault="00CE7130" w:rsidP="00CE7130">
      <w:pPr>
        <w:spacing w:line="360" w:lineRule="auto"/>
        <w:jc w:val="center"/>
        <w:rPr>
          <w:rFonts w:ascii="Times New Roman" w:hAnsi="Times New Roman" w:cs="Times New Roman"/>
        </w:rPr>
      </w:pPr>
    </w:p>
    <w:p w14:paraId="2DAB0289" w14:textId="77777777" w:rsidR="00CE7130" w:rsidRPr="00FA5066" w:rsidRDefault="00CE7130" w:rsidP="00CE7130">
      <w:pPr>
        <w:spacing w:line="360" w:lineRule="auto"/>
        <w:jc w:val="center"/>
        <w:rPr>
          <w:rFonts w:ascii="Times New Roman" w:hAnsi="Times New Roman" w:cs="Times New Roman"/>
        </w:rPr>
      </w:pPr>
    </w:p>
    <w:p w14:paraId="02833734" w14:textId="77777777" w:rsidR="00CE7130" w:rsidRPr="00FA5066" w:rsidRDefault="00CE7130" w:rsidP="00CE7130">
      <w:pPr>
        <w:spacing w:line="360" w:lineRule="auto"/>
        <w:jc w:val="center"/>
        <w:rPr>
          <w:rFonts w:ascii="Times New Roman" w:hAnsi="Times New Roman" w:cs="Times New Roman"/>
        </w:rPr>
      </w:pPr>
    </w:p>
    <w:p w14:paraId="5EB3B361" w14:textId="77777777" w:rsidR="00CE7130" w:rsidRPr="00FA5066" w:rsidRDefault="00CE7130" w:rsidP="00CE7130">
      <w:pPr>
        <w:spacing w:line="360" w:lineRule="auto"/>
        <w:jc w:val="center"/>
        <w:rPr>
          <w:rFonts w:ascii="Times New Roman" w:hAnsi="Times New Roman" w:cs="Times New Roman"/>
        </w:rPr>
      </w:pPr>
    </w:p>
    <w:p w14:paraId="76CC9D0D" w14:textId="77777777" w:rsidR="00CE7130" w:rsidRPr="00FA5066" w:rsidRDefault="00CE7130" w:rsidP="00CE7130">
      <w:pPr>
        <w:spacing w:line="360" w:lineRule="auto"/>
        <w:jc w:val="center"/>
        <w:rPr>
          <w:rFonts w:ascii="Times New Roman" w:hAnsi="Times New Roman" w:cs="Times New Roman"/>
        </w:rPr>
      </w:pPr>
    </w:p>
    <w:p w14:paraId="20348F31" w14:textId="7FE62A44" w:rsidR="00CE7130" w:rsidRPr="00FA5066" w:rsidRDefault="00CE7130" w:rsidP="00CE7130">
      <w:pPr>
        <w:spacing w:line="360" w:lineRule="auto"/>
        <w:jc w:val="center"/>
        <w:rPr>
          <w:rFonts w:ascii="Times New Roman" w:hAnsi="Times New Roman" w:cs="Times New Roman"/>
        </w:rPr>
      </w:pPr>
      <w:r>
        <w:rPr>
          <w:rFonts w:ascii="Times New Roman" w:hAnsi="Times New Roman" w:cs="Times New Roman"/>
        </w:rPr>
        <w:t>2026</w:t>
      </w:r>
    </w:p>
    <w:sdt>
      <w:sdtPr>
        <w:rPr>
          <w:rFonts w:ascii="Times New Roman" w:hAnsi="Times New Roman" w:cs="Times New Roman"/>
          <w:sz w:val="24"/>
          <w:szCs w:val="24"/>
        </w:rPr>
        <w:id w:val="-31428185"/>
        <w:docPartObj>
          <w:docPartGallery w:val="Table of Contents"/>
          <w:docPartUnique/>
        </w:docPartObj>
      </w:sdtPr>
      <w:sdtEndPr>
        <w:rPr>
          <w:rFonts w:eastAsia="NSimSun"/>
          <w:b/>
          <w:bCs/>
          <w:noProof/>
          <w:color w:val="auto"/>
          <w:kern w:val="1"/>
          <w:lang w:val="en-PH" w:eastAsia="hi-IN" w:bidi="hi-IN"/>
        </w:rPr>
      </w:sdtEndPr>
      <w:sdtContent>
        <w:p w14:paraId="3D4BC868" w14:textId="3867BED4" w:rsidR="00FA5066" w:rsidRDefault="00FA5066" w:rsidP="00FA5066">
          <w:pPr>
            <w:pStyle w:val="TOCHeading"/>
            <w:pageBreakBefore/>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Table of Contents</w:t>
          </w:r>
        </w:p>
        <w:p w14:paraId="17C02033" w14:textId="77777777" w:rsidR="00FA5066" w:rsidRPr="00260DF7" w:rsidRDefault="00FA5066" w:rsidP="00FA5066">
          <w:pPr>
            <w:rPr>
              <w:lang w:val="en-US" w:eastAsia="en-US" w:bidi="ar-SA"/>
            </w:rPr>
          </w:pPr>
        </w:p>
        <w:p w:rsidR="00260DF7" w:rsidRPr="00260DF7" w:rsidRDefault="00FA5066">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r>
            <w:rPr>
              <w:rFonts w:ascii="Times New Roman" w:hAnsi="Times New Roman" w:cs="Times New Roman"/>
              <w:szCs w:val="24"/>
            </w:rPr>
            <w:fldChar w:fldCharType="begin"/>
            <w:instrText xml:space="preserve"> TOC \o "1-3" \h \z \u </w:instrText>
            <w:fldChar w:fldCharType="separate"/>
          </w:r>
          <w:hyperlink w:anchor="_Toc91000001" w:history="1">
            <w:r>
              <w:rPr>
                <w:rStyle w:val="Hyperlink"/>
                <w:rFonts w:ascii="Times New Roman" w:hAnsi="Times New Roman" w:cs="Times New Roman"/>
                <w:noProof/>
              </w:rPr>
              <w:t>Problem Background</w:t>
            </w:r>
            <w:r>
              <w:rPr>
                <w:noProof/>
                <w:webHidden/>
              </w:rPr>
              <w:tab/>
              <w:fldChar w:fldCharType="begin"/>
              <w:instrText xml:space="preserve"> PAGEREF _Toc91000001 \h </w:instrText>
              <w:fldChar w:fldCharType="separate"/>
              <w:t>3</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2" w:history="1">
            <w:r>
              <w:rPr>
                <w:rStyle w:val="Hyperlink"/>
                <w:rFonts w:ascii="Times New Roman" w:hAnsi="Times New Roman" w:cs="Times New Roman"/>
                <w:noProof/>
              </w:rPr>
              <w:t>Problem Statement</w:t>
            </w:r>
            <w:r>
              <w:rPr>
                <w:noProof/>
                <w:webHidden/>
              </w:rPr>
              <w:tab/>
              <w:fldChar w:fldCharType="begin"/>
              <w:instrText xml:space="preserve"> PAGEREF _Toc91000002 \h </w:instrText>
              <w:fldChar w:fldCharType="separate"/>
              <w:t>5</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3" w:history="1">
            <w:r>
              <w:rPr>
                <w:rStyle w:val="Hyperlink"/>
                <w:rFonts w:ascii="Times New Roman" w:hAnsi="Times New Roman" w:cs="Times New Roman"/>
                <w:noProof/>
              </w:rPr>
              <w:t>Objectives</w:t>
            </w:r>
            <w:r>
              <w:rPr>
                <w:noProof/>
                <w:webHidden/>
              </w:rPr>
              <w:tab/>
              <w:fldChar w:fldCharType="begin"/>
              <w:instrText xml:space="preserve"> PAGEREF _Toc91000003 \h </w:instrText>
              <w:fldChar w:fldCharType="separate"/>
              <w:t>6</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4" w:history="1">
            <w:r>
              <w:rPr>
                <w:rStyle w:val="Hyperlink"/>
                <w:rFonts w:ascii="Times New Roman" w:hAnsi="Times New Roman" w:cs="Times New Roman"/>
                <w:noProof/>
              </w:rPr>
              <w:t>General Objective</w:t>
            </w:r>
            <w:r>
              <w:rPr>
                <w:noProof/>
                <w:webHidden/>
              </w:rPr>
              <w:tab/>
              <w:fldChar w:fldCharType="begin"/>
              <w:instrText xml:space="preserve"> PAGEREF _Toc91000004 \h </w:instrText>
              <w:fldChar w:fldCharType="separate"/>
              <w:t>6</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5" w:history="1">
            <w:r>
              <w:rPr>
                <w:rStyle w:val="Hyperlink"/>
                <w:rFonts w:ascii="Times New Roman" w:hAnsi="Times New Roman" w:cs="Times New Roman"/>
                <w:noProof/>
              </w:rPr>
              <w:t>Specific Objectives</w:t>
            </w:r>
            <w:r>
              <w:rPr>
                <w:noProof/>
                <w:webHidden/>
              </w:rPr>
              <w:tab/>
              <w:fldChar w:fldCharType="begin"/>
              <w:instrText xml:space="preserve"> PAGEREF _Toc91000005 \h </w:instrText>
              <w:fldChar w:fldCharType="separate"/>
              <w:t>6</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6" w:history="1">
            <w:r>
              <w:rPr>
                <w:rStyle w:val="Hyperlink"/>
                <w:rFonts w:ascii="Times New Roman" w:hAnsi="Times New Roman" w:cs="Times New Roman"/>
                <w:noProof/>
              </w:rPr>
              <w:t>Dataset and Source</w:t>
            </w:r>
            <w:r>
              <w:rPr>
                <w:noProof/>
                <w:webHidden/>
              </w:rPr>
              <w:tab/>
              <w:fldChar w:fldCharType="begin"/>
              <w:instrText xml:space="preserve"> PAGEREF _Toc91000006 \h </w:instrText>
              <w:fldChar w:fldCharType="separate"/>
              <w:t>7</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7" w:history="1">
            <w:r>
              <w:rPr>
                <w:rStyle w:val="Hyperlink"/>
                <w:rFonts w:ascii="Times New Roman" w:hAnsi="Times New Roman" w:cs="Times New Roman"/>
                <w:noProof/>
              </w:rPr>
              <w:t>Analytics Techniques and Justification</w:t>
            </w:r>
            <w:r>
              <w:rPr>
                <w:noProof/>
                <w:webHidden/>
              </w:rPr>
              <w:tab/>
              <w:fldChar w:fldCharType="begin"/>
              <w:instrText xml:space="preserve"> PAGEREF _Toc91000007 \h </w:instrText>
              <w:fldChar w:fldCharType="separate"/>
              <w:t>9</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8" w:history="1">
            <w:r>
              <w:rPr>
                <w:rStyle w:val="Hyperlink"/>
                <w:rFonts w:ascii="Times New Roman" w:hAnsi="Times New Roman" w:cs="Times New Roman"/>
                <w:noProof/>
              </w:rPr>
              <w:t>Trend and Seasonal Analysis</w:t>
            </w:r>
            <w:r>
              <w:rPr>
                <w:noProof/>
                <w:webHidden/>
              </w:rPr>
              <w:tab/>
              <w:fldChar w:fldCharType="begin"/>
              <w:instrText xml:space="preserve"> PAGEREF _Toc91000008 \h </w:instrText>
              <w:fldChar w:fldCharType="separate"/>
              <w:t>9</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09" w:history="1">
            <w:r>
              <w:rPr>
                <w:rStyle w:val="Hyperlink"/>
                <w:rFonts w:ascii="Times New Roman" w:hAnsi="Times New Roman" w:cs="Times New Roman"/>
                <w:noProof/>
              </w:rPr>
              <w:t>Relationship Analysis</w:t>
            </w:r>
            <w:r>
              <w:rPr>
                <w:noProof/>
                <w:webHidden/>
              </w:rPr>
              <w:tab/>
              <w:fldChar w:fldCharType="begin"/>
              <w:instrText xml:space="preserve"> PAGEREF _Toc91000009 \h </w:instrText>
              <w:fldChar w:fldCharType="separate"/>
              <w:t>9</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0" w:history="1">
            <w:r>
              <w:rPr>
                <w:rStyle w:val="Hyperlink"/>
                <w:rFonts w:ascii="Times New Roman" w:hAnsi="Times New Roman" w:cs="Times New Roman"/>
                <w:noProof/>
              </w:rPr>
              <w:t>Time-Series Forecasting: ARIMA and SARIMA</w:t>
            </w:r>
            <w:r>
              <w:rPr>
                <w:noProof/>
                <w:webHidden/>
              </w:rPr>
              <w:tab/>
              <w:fldChar w:fldCharType="begin"/>
              <w:instrText xml:space="preserve"> PAGEREF _Toc91000010 \h </w:instrText>
              <w:fldChar w:fldCharType="separate"/>
              <w:t>10</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1" w:history="1">
            <w:r>
              <w:rPr>
                <w:rStyle w:val="Hyperlink"/>
                <w:rFonts w:ascii="Times New Roman" w:hAnsi="Times New Roman" w:cs="Times New Roman"/>
                <w:noProof/>
              </w:rPr>
              <w:t>Machine Learning: Random Forest and XGBoost</w:t>
            </w:r>
            <w:r>
              <w:rPr>
                <w:noProof/>
                <w:webHidden/>
              </w:rPr>
              <w:tab/>
              <w:fldChar w:fldCharType="begin"/>
              <w:instrText xml:space="preserve"> PAGEREF _Toc91000011 \h </w:instrText>
              <w:fldChar w:fldCharType="separate"/>
              <w:t>10</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2" w:history="1">
            <w:r>
              <w:rPr>
                <w:rStyle w:val="Hyperlink"/>
                <w:rFonts w:ascii="Times New Roman" w:hAnsi="Times New Roman" w:cs="Times New Roman"/>
                <w:noProof/>
              </w:rPr>
              <w:t>Model Comparison and Future Inputs</w:t>
            </w:r>
            <w:r>
              <w:rPr>
                <w:noProof/>
                <w:webHidden/>
              </w:rPr>
              <w:tab/>
              <w:fldChar w:fldCharType="begin"/>
              <w:instrText xml:space="preserve"> PAGEREF _Toc91000012 \h </w:instrText>
              <w:fldChar w:fldCharType="separate"/>
              <w:t>11</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3" w:history="1">
            <w:r>
              <w:rPr>
                <w:rStyle w:val="Hyperlink"/>
                <w:rFonts w:ascii="Times New Roman" w:hAnsi="Times New Roman" w:cs="Times New Roman"/>
                <w:noProof/>
              </w:rPr>
              <w:t>Why These Techniques</w:t>
            </w:r>
            <w:r>
              <w:rPr>
                <w:noProof/>
                <w:webHidden/>
              </w:rPr>
              <w:tab/>
              <w:fldChar w:fldCharType="begin"/>
              <w:instrText xml:space="preserve"> PAGEREF _Toc91000013 \h </w:instrText>
              <w:fldChar w:fldCharType="separate"/>
              <w:t>11</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4" w:history="1">
            <w:r>
              <w:rPr>
                <w:rStyle w:val="Hyperlink"/>
                <w:rFonts w:ascii="Times New Roman" w:hAnsi="Times New Roman" w:cs="Times New Roman"/>
                <w:noProof/>
              </w:rPr>
              <w:t>Expected Output of the Techniques</w:t>
            </w:r>
            <w:r>
              <w:rPr>
                <w:noProof/>
                <w:webHidden/>
              </w:rPr>
              <w:tab/>
              <w:fldChar w:fldCharType="begin"/>
              <w:instrText xml:space="preserve"> PAGEREF _Toc91000014 \h </w:instrText>
              <w:fldChar w:fldCharType="separate"/>
              <w:t>12</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5" w:history="1">
            <w:r>
              <w:rPr>
                <w:rStyle w:val="Hyperlink"/>
                <w:rFonts w:ascii="Times New Roman" w:hAnsi="Times New Roman" w:cs="Times New Roman"/>
                <w:noProof/>
              </w:rPr>
              <w:t>Conceptual Framework</w:t>
            </w:r>
            <w:r>
              <w:rPr>
                <w:noProof/>
                <w:webHidden/>
              </w:rPr>
              <w:tab/>
              <w:fldChar w:fldCharType="begin"/>
              <w:instrText xml:space="preserve"> PAGEREF _Toc91000015 \h </w:instrText>
              <w:fldChar w:fldCharType="separate"/>
              <w:t>12</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6" w:history="1">
            <w:r>
              <w:rPr>
                <w:rStyle w:val="Hyperlink"/>
                <w:rFonts w:ascii="Times New Roman" w:hAnsi="Times New Roman" w:cs="Times New Roman"/>
                <w:noProof/>
              </w:rPr>
              <w:t>Proposed System Features</w:t>
            </w:r>
            <w:r>
              <w:rPr>
                <w:noProof/>
                <w:webHidden/>
              </w:rPr>
              <w:tab/>
              <w:fldChar w:fldCharType="begin"/>
              <w:instrText xml:space="preserve"> PAGEREF _Toc91000016 \h </w:instrText>
              <w:fldChar w:fldCharType="separate"/>
              <w:t>13</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7" w:history="1">
            <w:r>
              <w:rPr>
                <w:rStyle w:val="Hyperlink"/>
                <w:rFonts w:ascii="Times New Roman" w:hAnsi="Times New Roman" w:cs="Times New Roman"/>
                <w:noProof/>
              </w:rPr>
              <w:t>Tools and Technologies</w:t>
            </w:r>
            <w:r>
              <w:rPr>
                <w:noProof/>
                <w:webHidden/>
              </w:rPr>
              <w:tab/>
              <w:fldChar w:fldCharType="begin"/>
              <w:instrText xml:space="preserve"> PAGEREF _Toc91000017 \h </w:instrText>
              <w:fldChar w:fldCharType="separate"/>
              <w:t>15</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8" w:history="1">
            <w:r>
              <w:rPr>
                <w:rStyle w:val="Hyperlink"/>
                <w:rFonts w:ascii="Times New Roman" w:hAnsi="Times New Roman" w:cs="Times New Roman"/>
                <w:noProof/>
              </w:rPr>
              <w:t>Evaluation Plan</w:t>
            </w:r>
            <w:r>
              <w:rPr>
                <w:noProof/>
                <w:webHidden/>
              </w:rPr>
              <w:tab/>
              <w:fldChar w:fldCharType="begin"/>
              <w:instrText xml:space="preserve"> PAGEREF _Toc91000018 \h </w:instrText>
              <w:fldChar w:fldCharType="separate"/>
              <w:t>16</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19" w:history="1">
            <w:r>
              <w:rPr>
                <w:rStyle w:val="Hyperlink"/>
                <w:rFonts w:ascii="Times New Roman" w:hAnsi="Times New Roman" w:cs="Times New Roman"/>
                <w:noProof/>
              </w:rPr>
              <w:t>Scope and Limitations</w:t>
            </w:r>
            <w:r>
              <w:rPr>
                <w:noProof/>
                <w:webHidden/>
              </w:rPr>
              <w:tab/>
              <w:fldChar w:fldCharType="begin"/>
              <w:instrText xml:space="preserve"> PAGEREF _Toc91000019 \h </w:instrText>
              <w:fldChar w:fldCharType="separate"/>
              <w:t>17</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20" w:history="1">
            <w:r>
              <w:rPr>
                <w:rStyle w:val="Hyperlink"/>
                <w:rFonts w:ascii="Times New Roman" w:hAnsi="Times New Roman" w:cs="Times New Roman"/>
                <w:noProof/>
              </w:rPr>
              <w:t>Scope</w:t>
            </w:r>
            <w:r>
              <w:rPr>
                <w:noProof/>
                <w:webHidden/>
              </w:rPr>
              <w:tab/>
              <w:fldChar w:fldCharType="begin"/>
              <w:instrText xml:space="preserve"> PAGEREF _Toc91000020 \h </w:instrText>
              <w:fldChar w:fldCharType="separate"/>
              <w:t>17</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21" w:history="1">
            <w:r>
              <w:rPr>
                <w:rStyle w:val="Hyperlink"/>
                <w:rFonts w:ascii="Times New Roman" w:hAnsi="Times New Roman" w:cs="Times New Roman"/>
                <w:noProof/>
              </w:rPr>
              <w:t>Limitations</w:t>
            </w:r>
            <w:r>
              <w:rPr>
                <w:noProof/>
                <w:webHidden/>
              </w:rPr>
              <w:tab/>
              <w:fldChar w:fldCharType="begin"/>
              <w:instrText xml:space="preserve"> PAGEREF _Toc91000021 \h </w:instrText>
              <w:fldChar w:fldCharType="separate"/>
              <w:t>18</w:t>
              <w:fldChar w:fldCharType="end"/>
            </w:r>
          </w:hyperlink>
        </w:p>
        <w:p w:rsidR="00260DF7" w:rsidRPr="00260DF7" w:rsidRDefault="00260DF7">
          <w:pPr>
            <w:pStyle w:val="TOC2"/>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22" w:history="1">
            <w:r>
              <w:rPr>
                <w:rStyle w:val="Hyperlink"/>
                <w:rFonts w:ascii="Times New Roman" w:hAnsi="Times New Roman" w:cs="Times New Roman"/>
                <w:noProof/>
              </w:rPr>
              <w:t>Feasibility</w:t>
            </w:r>
            <w:r>
              <w:rPr>
                <w:noProof/>
                <w:webHidden/>
              </w:rPr>
              <w:tab/>
              <w:fldChar w:fldCharType="begin"/>
              <w:instrText xml:space="preserve"> PAGEREF _Toc91000022 \h </w:instrText>
              <w:fldChar w:fldCharType="separate"/>
              <w:t>19</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23" w:history="1">
            <w:r>
              <w:rPr>
                <w:rStyle w:val="Hyperlink"/>
                <w:rFonts w:ascii="Times New Roman" w:hAnsi="Times New Roman" w:cs="Times New Roman"/>
                <w:noProof/>
              </w:rPr>
              <w:t>Expected Outputs</w:t>
            </w:r>
            <w:r>
              <w:rPr>
                <w:noProof/>
                <w:webHidden/>
              </w:rPr>
              <w:tab/>
              <w:fldChar w:fldCharType="begin"/>
              <w:instrText xml:space="preserve"> PAGEREF _Toc91000023 \h </w:instrText>
              <w:fldChar w:fldCharType="separate"/>
              <w:t>19</w:t>
              <w:fldChar w:fldCharType="end"/>
            </w:r>
          </w:hyperlink>
        </w:p>
        <w:p w:rsidR="00260DF7" w:rsidRPr="00260DF7" w:rsidRDefault="00260DF7">
          <w:pPr>
            <w:pStyle w:val="TOC1"/>
            <w:tabs>
              <w:tab w:val="right" w:leader="dot" w:pos="9350"/>
            </w:tabs>
            <w:rPr>
              <w:rFonts w:asciiTheme="minorHAnsi" w:eastAsiaTheme="minorEastAsia" w:hAnsiTheme="minorHAnsi" w:cstheme="minorBidi"/>
              <w:noProof/>
              <w:kern w:val="2"/>
              <w:szCs w:val="24"/>
              <w:lang w:eastAsia="en-PH" w:bidi="ar-SA"/>
              <w14:ligatures w14:val="standardContextual"/>
            </w:rPr>
          </w:pPr>
          <w:hyperlink w:anchor="_Toc91000024" w:history="1">
            <w:r>
              <w:rPr>
                <w:rStyle w:val="Hyperlink"/>
                <w:rFonts w:ascii="Times New Roman" w:hAnsi="Times New Roman" w:cs="Times New Roman"/>
                <w:noProof/>
              </w:rPr>
              <w:t>References</w:t>
            </w:r>
            <w:r>
              <w:rPr>
                <w:noProof/>
                <w:webHidden/>
              </w:rPr>
              <w:tab/>
              <w:fldChar w:fldCharType="begin"/>
              <w:instrText xml:space="preserve"> PAGEREF _Toc91000024 \h </w:instrText>
              <w:fldChar w:fldCharType="separate"/>
              <w:t>21</w:t>
              <w:fldChar w:fldCharType="end"/>
            </w:r>
          </w:hyperlink>
        </w:p>
        <w:p w14:paraId="1F5416E0" w14:textId="72FEC303" w:rsidR="00FA5066" w:rsidRPr="00FA5066" w:rsidRDefault="00FA5066">
          <w:pPr>
            <w:rPr>
              <w:rFonts w:ascii="Times New Roman" w:hAnsi="Times New Roman" w:cs="Times New Roman"/>
            </w:rPr>
          </w:pPr>
          <w:r>
            <w:rPr>
              <w:rFonts w:ascii="Times New Roman" w:hAnsi="Times New Roman" w:cs="Times New Roman"/>
              <w:noProof/>
            </w:rPr>
            <w:fldChar w:fldCharType="end"/>
          </w:r>
        </w:p>
      </w:sdtContent>
    </w:sdt>
    <w:p xmlns:a="http://schemas.openxmlformats.org/drawingml/2006/main" xmlns:pic="http://schemas.openxmlformats.org/drawingml/2006/picture">
      <w:pPr>
        <w:pStyle w:val="Heading1"/>
        <w:pageBreakBefore/>
        <w:spacing w:line="360" w:lineRule="auto"/>
        <w:rPr>
          <w:rFonts w:ascii="Times New Roman" w:hAnsi="Times New Roman" w:cs="Times New Roman"/>
          <w:b/>
          <w:bCs/>
          <w:color w:val="auto"/>
          <w:sz w:val="24"/>
          <w:szCs w:val="24"/>
        </w:rPr>
      </w:pPr>
      <w:bookmarkStart w:id="101" w:name="_Toc91000001"/>
      <w:r>
        <w:rPr>
          <w:rFonts w:ascii="Times New Roman" w:hAnsi="Times New Roman" w:cs="Times New Roman"/>
          <w:b/>
          <w:bCs/>
          <w:color w:val="auto"/>
          <w:sz w:val="24"/>
          <w:szCs w:val="24"/>
        </w:rPr>
        <w:t xml:space="preserve">Problem Background</w:t>
      </w:r>
      <w:bookmarkEnd w:id="101"/>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Overseas Filipino (OF) remittances continue to play an important role in the Philippine economy and provide financial support to millions of Filipino households. The Philippine Statistics Authority (PSA) estimated that approximately 2.19 million Overseas Filipino Workers (OFWs) worked abroad in 2024, representing a 1.5% increase from the estimated 2.16 million OFWs in 2023 (Philippine Statistics Authority, 2025). The same survey reported that OFWs sent approximately ₱262.20 billion in total remittances during the survey period, consisting of cash sent, cash brought home, and remittances in kind.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continued importance of overseas remittances can also be seen in data published by the Bangko Sentral ng Pilipinas (BSP). In 2025, cash remittances coursed through the banking system reached approximately US$35.63 billion, increasing by 3.3% from US$34.49 billion in 2024. Personal remittances, which have a broader coverage than cash remittances, reached approximately US$39.62 billion in the same year. These figures demonstrate the large and continuing flow of funds from overseas Filipinos into the country.</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Remittance inflows also vary according to the location and type of overseas employment. BSP data provide cash-remittance figures according to country and source, including separate figures for land-based and sea-based workers (Bangko Sentral ng Pilipinas, 2026a). In 2025, approximately US$28.49 billion of the US$35.63 billion in cash remittances came from land-based workers, while around US$7.14 billion came from sea-based workers. Asia accounted for approximately US$14.57 billion of the total. In the same BSP data, the United States was the largest source of remittances in 2025, accounting for 39.7% of the total, followed by Singapore at 7.3% and Saudi Arabia at 6.6% (shares computed by the proponents from Bangko Sentral ng Pilipinas, 2026a; see also Ta-Asan, 2026). This distribution shows that changes in major host countries may influence the overall movement of remittance inflows into the Philippines.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Although remittances generally show continued growth, their monthly values are not constant. For example, BSP data show that cash remittances reached US$3.38 billion in December 2024, compared with US$2.81 billion in November, demonstrating noticeable changes between monthly periods. Monthly remittance levels may be influenced by recurring patterns as well as changes in economic and employment conditions. Such recurring patterns suggest that remittances may follow a seasonal cycle, so identifying the months in which remittances usually increase is as important as estimating their level. Because of these variations, examining only annual totals may not provide enough information to understand how remittances change over time.</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Remittance movements may also be related to economic conditions in the Philippines. Remittances are earned abroad in foreign currencies, mostly the US dollar, and received in pesos, so the peso–dollar exchange rate affects how much each dollar sent is worth to recipient households. BSP data show that the annual average rate moved from about ₱54.48 per US dollar in 2022 to about ₱57.51 in 2025 (Bangko Sentral ng Pilipinas, 2026b). Inflation also changes the cost of living of recipient households. PSA data show that headline inflation peaked at 8.7 percent in January 2023, fell to 0.9 percent in July 2025, and rose again to 7.2 percent in April 2026 (Philippine Statistics Authority, 2026). Whether such movements are associated with higher or lower remittances, and after how many months, cannot be seen from annual totals alone. This motivates examining monthly remittances together with the exchange rate and inflation.</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BSP provides historical remittance statistics at monthly, quarterly, and annual frequencies, including information on cash remittances according to country and source. However, users who want to examine patterns, relationships with economic indicators, or estimate future remittance levels still need to analyze these historical records and interpret changes across periods. This creates an opportunity to develop a system that transforms historical remittance data into more understandable and forward-looking information through data analytics.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To address this need, the proposed RemitTrend PH: Overseas Filipino Cash Remittance Forecasting and Trend Analytics System will use historical remittance data, together with the peso–dollar exchange rate and the inflation rate, to analyze trends and seasonal patterns, examine the relationship of these indicators with cash remittances, and estimate future monthly remittance amounts. Several forecasting models will be developed and compared: the statistical models ARIMA and SARIMA (including their versions with exogenous variables) and the machine learning models Random Forest and XGBoost. The system will provide an interactive dashboard with key performance indicator (KPI) cards, remittance trends, historical data, seasonal patterns, forecasts, and model comparison.</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use of data analytics is appropriate because remittance records consist of observations arranged over time, allowing historical movements to be examined through time-series methods, and because the exchange rate and inflation are also recorded monthly, allowing them to be analyzed alongside remittances. Instead of relying only on descriptive historical figures, RemitTrend PH is intended to provide forward-looking information that can support users in understanding the possible direction of future remittance inflows. The system will therefore support the insight of whether remittance inflows are likely to increase or decrease in upcoming periods, in which months remittances usually rise, whether the exchange rate and inflation are associated with remittance changes, and which forecasting model performs best on the available data.</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02" w:name="_Toc91000002"/>
      <w:r>
        <w:rPr>
          <w:rFonts w:ascii="Times New Roman" w:hAnsi="Times New Roman" w:cs="Times New Roman"/>
          <w:b/>
          <w:bCs/>
          <w:color w:val="auto"/>
          <w:sz w:val="24"/>
          <w:szCs w:val="24"/>
        </w:rPr>
        <w:t xml:space="preserve">Problem Statement</w:t>
      </w:r>
      <w:bookmarkEnd w:id="102"/>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Despite the availability of historical Overseas Filipino cash remittance statistics from the BSP, interpreting large amounts of time-based remittance data and determining possible future movements can be difficult when relying mainly on historical tables and reports. Existing data provide valuable information about past remittance levels, but historical figures alone do not directly provide users with forecasts of future monthly remittance amounts. In addition, historical tables do not show the months in which remittances usually rise, and they do not show whether economic conditions such as the exchange rate and inflation are related to remittance changes.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This creates a need for an analytics system that can organize historical remittance data, identify trends and seasonal patterns, examine their relationship with the exchange rate and inflation, and generate forecasts that are easier for users to understand. Without such a system, users interested in remittance trends may need to manually compare different periods and perform separate analyses to determine whether remittances are increasing or decreasing and how future values may behave.</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problem is relevant to several potential users and stakeholders. Researchers and analysts may require organized historical trends and forecasts when studying overseas employment and remittance behavior. Government and economic institutions may use remittance trends as additional information when monitoring economic conditions. Banks and remittance-related institutions may also benefit from understanding changes in overall remittance flows. OFWs and Filipino households may likewise benefit from a clearer understanding of general remittance trends, although the system is intended for aggregate analysis rather than predicting the remittance of an individual household.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Therefore, this study proposes the development of RemitTrend PH, a forecasting and trend analytics system that applies time-series and machine learning models to historical Overseas Filipino cash remittance data, together with exchange rate and inflation data. The system will provide an interactive dashboard for viewing KPI cards, remittance trends, historical data, seasonal patterns, the relationship of remittances with the exchange rate and inflation, and forecasted monthly remittance values.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Specifically, the study seeks to address the difficulty of transforming historical remittance records into accessible and forward-looking information. The study aims to answer the following analytical questions:</w:t>
      </w:r>
    </w:p>
    <w:p xmlns:a="http://schemas.openxmlformats.org/drawingml/2006/main" xmlns:pic="http://schemas.openxmlformats.org/drawingml/2006/picture">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 xml:space="preserve">Based on historical Overseas Filipino cash remittance data, what trends and seasonal patterns can be identified, and in which months do remittances usually increase?</w:t>
      </w:r>
    </w:p>
    <w:p xmlns:a="http://schemas.openxmlformats.org/drawingml/2006/main" xmlns:pic="http://schemas.openxmlformats.org/drawingml/2006/picture">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 xml:space="preserve">Are the peso–dollar exchange rate and the inflation rate related to monthly cash remittances, and after how many months does the relationship appear?</w:t>
      </w:r>
    </w:p>
    <w:p xmlns:a="http://schemas.openxmlformats.org/drawingml/2006/main" xmlns:pic="http://schemas.openxmlformats.org/drawingml/2006/picture">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 xml:space="preserve">Which forecasting model among ARIMA/ARIMAX, SARIMA/SARIMAX, Random Forest, and XGBoost produces the most accurate estimates of monthly cash remittances?</w:t>
      </w:r>
    </w:p>
    <w:p xmlns:a="http://schemas.openxmlformats.org/drawingml/2006/main" xmlns:pic="http://schemas.openxmlformats.org/drawingml/2006/picture">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 xml:space="preserve">What are the estimated remittance amounts for future monthly periods?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By answering these questions, RemitTrend PH can provide users with data-driven insights that may support analysis, monitoring, and planning related to the movement of Overseas Filipino remittances.</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03" w:name="_Toc91000003"/>
      <w:r>
        <w:rPr>
          <w:rFonts w:ascii="Times New Roman" w:hAnsi="Times New Roman" w:cs="Times New Roman"/>
          <w:b/>
          <w:bCs/>
          <w:color w:val="auto"/>
          <w:sz w:val="24"/>
          <w:szCs w:val="24"/>
        </w:rPr>
        <w:t xml:space="preserve">Objectives</w:t>
      </w:r>
      <w:bookmarkEnd w:id="103"/>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04" w:name="_Toc91000004"/>
      <w:r>
        <w:rPr>
          <w:rFonts w:ascii="Times New Roman" w:hAnsi="Times New Roman" w:cs="Times New Roman"/>
          <w:b/>
          <w:bCs/>
          <w:color w:val="auto"/>
          <w:sz w:val="24"/>
          <w:szCs w:val="24"/>
        </w:rPr>
        <w:t xml:space="preserve">General Objective</w:t>
      </w:r>
      <w:bookmarkEnd w:id="104"/>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main objective of this study is to develop RemitTrend PH, a web-based remittance analytics and forecasting system that utilizes Overseas Filipino cash remittance, exchange rate, and inflation data to support trend analysis, remittance forecasting, and data-driven monitoring and planning.</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05" w:name="_Toc91000005"/>
      <w:r>
        <w:rPr>
          <w:rFonts w:ascii="Times New Roman" w:hAnsi="Times New Roman" w:cs="Times New Roman"/>
          <w:b/>
          <w:bCs/>
          <w:color w:val="auto"/>
          <w:sz w:val="24"/>
          <w:szCs w:val="24"/>
        </w:rPr>
        <w:t xml:space="preserve">Specific Objectives</w:t>
      </w:r>
      <w:bookmarkEnd w:id="105"/>
    </w:p>
    <w:p xmlns:a="http://schemas.openxmlformats.org/drawingml/2006/main" xmlns:pic="http://schemas.openxmlformats.org/drawingml/2006/pictur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To collect and preprocess historical monthly data from the Bangko Sentral ng Pilipinas (BSP) and the Philippine Statistics Authority (PSA) for remittance analysis, such as:</w:t>
      </w:r>
    </w:p>
    <w:p>
      <w:pPr>
        <w:pStyle w:val="ListParagraph"/>
        <w:spacing w:line="360" w:lineRule="auto"/>
        <w:ind w:left="1080" w:hanging="360"/>
        <w:jc w:val="both"/>
      </w:pPr>
      <w:r>
        <w:rPr>
          <w:rFonts w:ascii="Times New Roman" w:hAnsi="Times New Roman" w:cs="Times New Roman"/>
        </w:rPr>
        <w:t xml:space="preserve">a.	monthly Overseas Filipino cash remittances,</w:t>
      </w:r>
    </w:p>
    <w:p>
      <w:pPr>
        <w:pStyle w:val="ListParagraph"/>
        <w:spacing w:line="360" w:lineRule="auto"/>
        <w:ind w:left="1080" w:hanging="360"/>
        <w:jc w:val="both"/>
      </w:pPr>
      <w:r>
        <w:rPr>
          <w:rFonts w:ascii="Times New Roman" w:hAnsi="Times New Roman" w:cs="Times New Roman"/>
        </w:rPr>
        <w:t xml:space="preserve">b.	peso–dollar exchange rate and its year-on-year change, and</w:t>
      </w:r>
    </w:p>
    <w:p>
      <w:pPr>
        <w:pStyle w:val="ListParagraph"/>
        <w:spacing w:line="360" w:lineRule="auto"/>
        <w:ind w:left="1080" w:hanging="360"/>
        <w:jc w:val="both"/>
      </w:pPr>
      <w:r>
        <w:rPr>
          <w:rFonts w:ascii="Times New Roman" w:hAnsi="Times New Roman" w:cs="Times New Roman"/>
        </w:rPr>
        <w:t xml:space="preserve">c.	inflation rate;</w:t>
      </w:r>
    </w:p>
    <w:p xmlns:a="http://schemas.openxmlformats.org/drawingml/2006/main" xmlns:pic="http://schemas.openxmlformats.org/drawingml/2006/pictur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To analyze remittance trends and seasonal patterns and to determine whether the peso–dollar exchange rate and the inflation rate are related to monthly cash remittances;</w:t>
      </w:r>
    </w:p>
    <w:p xmlns:a="http://schemas.openxmlformats.org/drawingml/2006/main" xmlns:pic="http://schemas.openxmlformats.org/drawingml/2006/pictur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To develop multiple forecasting models, namely ARIMA, SARIMA, Random Forest, and XGBoost, and to evaluate them using Mean Absolute Error (MAE), Root Mean Squared Error (RMSE), and Mean Absolute Percentage Error (MAPE) in order to adopt the best-performing model as the main model of RemitTrend PH;</w:t>
      </w:r>
    </w:p>
    <w:p xmlns:a="http://schemas.openxmlformats.org/drawingml/2006/main" xmlns:pic="http://schemas.openxmlformats.org/drawingml/2006/pictur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To develop an interactive analytics dashboard that integrates the main model and presents KPI cards, remittance trends, seasonal patterns, the relationship of remittances with the exchange rate and inflation, and historical and forecasted remittance values in a clear and understandable format; and,</w:t>
      </w:r>
    </w:p>
    <w:p xmlns:a="http://schemas.openxmlformats.org/drawingml/2006/main" xmlns:pic="http://schemas.openxmlformats.org/drawingml/2006/pictur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To evaluate the functionality and usability of RemitTrend PH through functional testing and user acceptance testing.</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06" w:name="_Toc91000006"/>
      <w:r>
        <w:rPr>
          <w:rFonts w:ascii="Times New Roman" w:hAnsi="Times New Roman" w:cs="Times New Roman"/>
          <w:b/>
          <w:bCs/>
          <w:color w:val="auto"/>
          <w:sz w:val="24"/>
          <w:szCs w:val="24"/>
        </w:rPr>
        <w:t xml:space="preserve">Dataset and Source</w:t>
      </w:r>
      <w:bookmarkEnd w:id="106"/>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datasets used in the development of RemitTrend PH will be obtained from two publicly available sources: the Bangko Sentral ng Pilipinas (BSP) and the Philippine Statistics Authority (PSA). The table below summarizes the datasets.</w:t>
      </w:r>
    </w:p>
    <w:p w:rsidR="00EA4A0F" w:rsidRPr="00FA5066" w:rsidRDefault="00EA4A0F" w:rsidP="00EA4A0F">
      <w:pPr>
        <w:pStyle w:val="Caption"/>
        <w:keepNext/>
        <w:rPr>
          <w:rFonts w:cs="Times New Roman"/>
          <w:color w:val="auto"/>
          <w:szCs w:val="24"/>
        </w:rPr>
      </w:pPr>
      <w:r>
        <w:rPr>
          <w:rFonts w:cs="Times New Roman"/>
          <w:color w:val="auto"/>
          <w:szCs w:val="24"/>
        </w:rPr>
        <w:t xml:space="preserve">Table </w:t>
        <w:fldChar w:fldCharType="begin"/>
        <w:instrText xml:space="preserve"> SEQ Table \* ARABIC </w:instrText>
        <w:fldChar w:fldCharType="separate"/>
      </w:r>
      <w:r>
        <w:rPr>
          <w:rFonts w:cs="Times New Roman"/>
          <w:noProof/>
          <w:color w:val="auto"/>
          <w:szCs w:val="24"/>
        </w:rPr>
        <w:t>1</w:t>
        <w:fldChar w:fldCharType="end"/>
      </w:r>
      <w:r>
        <w:rPr>
          <w:rFonts w:cs="Times New Roman"/>
          <w:color w:val="auto"/>
          <w:szCs w:val="24"/>
        </w:rPr>
        <w:t>. Datasets Used in the Study</w:t>
      </w:r>
    </w:p>
    <w:tbl xmlns:a="http://schemas.openxmlformats.org/drawingml/2006/main" xmlns:pic="http://schemas.openxmlformats.org/drawingml/2006/picture">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Pr>
      <w:tblGrid>
        <w:gridCol w:w="1500"/>
        <w:gridCol w:w="3300"/>
        <w:gridCol w:w="800"/>
        <w:gridCol w:w="1700"/>
        <w:gridCol w:w="2060"/>
      </w:tblGrid>
      <w:tr>
        <w:trPr>
          <w:cantSplit/>
          <w:tblHeader/>
        </w:trPr>
        <w:tc>
          <w:tcPr>
            <w:tcW w:w="1500" w:type="dxa"/>
            <w:shd w:val="clear" w:color="auto" w:fill="D9D9D9"/>
          </w:tcPr>
          <w:p>
            <w:pPr>
              <w:keepNext/>
              <w:spacing w:after="0" w:line="240" w:lineRule="auto"/>
              <w:rPr>
                <w:rFonts w:ascii="Times New Roman" w:hAnsi="Times New Roman" w:cs="Times New Roman"/>
              </w:rPr>
            </w:pPr>
            <w:r>
              <w:rPr>
                <w:rFonts w:ascii="Times New Roman" w:hAnsi="Times New Roman" w:cs="Times New Roman"/>
                <w:b/>
                <w:bCs/>
                <w:sz w:val="20"/>
                <w:szCs w:val="20"/>
              </w:rPr>
              <w:t xml:space="preserve">Dataset</w:t>
            </w:r>
          </w:p>
        </w:tc>
        <w:tc>
          <w:tcPr>
            <w:tcW w:w="3300" w:type="dxa"/>
            <w:shd w:val="clear" w:color="auto" w:fill="D9D9D9"/>
          </w:tcPr>
          <w:p>
            <w:pPr>
              <w:keepNext/>
              <w:spacing w:after="0" w:line="240" w:lineRule="auto"/>
              <w:rPr>
                <w:rFonts w:ascii="Times New Roman" w:hAnsi="Times New Roman" w:cs="Times New Roman"/>
              </w:rPr>
            </w:pPr>
            <w:r>
              <w:rPr>
                <w:rFonts w:ascii="Times New Roman" w:hAnsi="Times New Roman" w:cs="Times New Roman"/>
                <w:b/>
                <w:bCs/>
                <w:sz w:val="20"/>
                <w:szCs w:val="20"/>
              </w:rPr>
              <w:t xml:space="preserve">Series used</w:t>
            </w:r>
          </w:p>
        </w:tc>
        <w:tc>
          <w:tcPr>
            <w:tcW w:w="800" w:type="dxa"/>
            <w:shd w:val="clear" w:color="auto" w:fill="D9D9D9"/>
          </w:tcPr>
          <w:p>
            <w:pPr>
              <w:keepNext/>
              <w:spacing w:after="0" w:line="240" w:lineRule="auto"/>
              <w:rPr>
                <w:rFonts w:ascii="Times New Roman" w:hAnsi="Times New Roman" w:cs="Times New Roman"/>
              </w:rPr>
            </w:pPr>
            <w:r>
              <w:rPr>
                <w:rFonts w:ascii="Times New Roman" w:hAnsi="Times New Roman" w:cs="Times New Roman"/>
                <w:b/>
                <w:bCs/>
                <w:sz w:val="20"/>
                <w:szCs w:val="20"/>
              </w:rPr>
              <w:t xml:space="preserve">Source</w:t>
            </w:r>
          </w:p>
        </w:tc>
        <w:tc>
          <w:tcPr>
            <w:tcW w:w="1700" w:type="dxa"/>
            <w:shd w:val="clear" w:color="auto" w:fill="D9D9D9"/>
          </w:tcPr>
          <w:p>
            <w:pPr>
              <w:keepNext/>
              <w:spacing w:after="0" w:line="240" w:lineRule="auto"/>
              <w:rPr>
                <w:rFonts w:ascii="Times New Roman" w:hAnsi="Times New Roman" w:cs="Times New Roman"/>
              </w:rPr>
            </w:pPr>
            <w:r>
              <w:rPr>
                <w:rFonts w:ascii="Times New Roman" w:hAnsi="Times New Roman" w:cs="Times New Roman"/>
                <w:b/>
                <w:bCs/>
                <w:sz w:val="20"/>
                <w:szCs w:val="20"/>
              </w:rPr>
              <w:t xml:space="preserve">Frequency and unit</w:t>
            </w:r>
          </w:p>
        </w:tc>
        <w:tc>
          <w:tcPr>
            <w:tcW w:w="2060" w:type="dxa"/>
            <w:shd w:val="clear" w:color="auto" w:fill="D9D9D9"/>
          </w:tcPr>
          <w:p>
            <w:pPr>
              <w:keepNext/>
              <w:spacing w:after="0" w:line="240" w:lineRule="auto"/>
              <w:rPr>
                <w:rFonts w:ascii="Times New Roman" w:hAnsi="Times New Roman" w:cs="Times New Roman"/>
              </w:rPr>
            </w:pPr>
            <w:r>
              <w:rPr>
                <w:rFonts w:ascii="Times New Roman" w:hAnsi="Times New Roman" w:cs="Times New Roman"/>
                <w:b/>
                <w:bCs/>
                <w:sz w:val="20"/>
                <w:szCs w:val="20"/>
              </w:rPr>
              <w:t xml:space="preserve">Role in the study</w:t>
            </w:r>
          </w:p>
        </w:tc>
      </w:tr>
      <w:tr>
        <w:trPr>
          <w:cantSplit/>
        </w:trPr>
        <w:tc>
          <w:tcPr>
            <w:tcW w:w="15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Cash remittances</w:t>
            </w:r>
          </w:p>
        </w:tc>
        <w:tc>
          <w:tcPr>
            <w:tcW w:w="33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ofw.xls (by country and source) and ofwp.xls (monthly personal and cash remittances)</w:t>
            </w:r>
          </w:p>
        </w:tc>
        <w:tc>
          <w:tcPr>
            <w:tcW w:w="8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BSP</w:t>
            </w:r>
          </w:p>
        </w:tc>
        <w:tc>
          <w:tcPr>
            <w:tcW w:w="17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Monthly, US$</w:t>
            </w:r>
          </w:p>
        </w:tc>
        <w:tc>
          <w:tcPr>
            <w:tcW w:w="206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Variable to analyze and forecast</w:t>
            </w:r>
          </w:p>
        </w:tc>
      </w:tr>
      <w:tr>
        <w:trPr>
          <w:cantSplit/>
        </w:trPr>
        <w:tc>
          <w:tcPr>
            <w:tcW w:w="15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Peso–dollar exchange rate</w:t>
            </w:r>
          </w:p>
        </w:tc>
        <w:tc>
          <w:tcPr>
            <w:tcW w:w="33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Philippine Peso per US Dollar Exchange Rate, Monthly Average (monthly sheet of the BSP file on daily, monthly, and annual rates), and its year-on-year change computed from that series</w:t>
            </w:r>
          </w:p>
        </w:tc>
        <w:tc>
          <w:tcPr>
            <w:tcW w:w="8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BSP</w:t>
            </w:r>
          </w:p>
        </w:tc>
        <w:tc>
          <w:tcPr>
            <w:tcW w:w="170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Monthly, ₱ per US$1 and percent</w:t>
            </w:r>
          </w:p>
        </w:tc>
        <w:tc>
          <w:tcPr>
            <w:tcW w:w="2060" w:type="dxa"/>
          </w:tcPr>
          <w:p>
            <w:pPr>
              <w:keepNext/>
              <w:spacing w:after="0" w:line="240" w:lineRule="auto"/>
              <w:rPr>
                <w:rFonts w:ascii="Times New Roman" w:hAnsi="Times New Roman" w:cs="Times New Roman"/>
              </w:rPr>
            </w:pPr>
            <w:r>
              <w:rPr>
                <w:rFonts w:ascii="Times New Roman" w:hAnsi="Times New Roman" w:cs="Times New Roman"/>
                <w:sz w:val="20"/>
                <w:szCs w:val="20"/>
              </w:rPr>
              <w:t xml:space="preserve">Exogenous variable</w:t>
            </w:r>
          </w:p>
        </w:tc>
      </w:tr>
      <w:tr>
        <w:trPr>
          <w:cantSplit/>
        </w:trPr>
        <w:tc>
          <w:tcPr>
            <w:tcW w:w="1500" w:type="dxa"/>
          </w:tcPr>
          <w:p>
            <w:pPr>
              <w:spacing w:after="0" w:line="240" w:lineRule="auto"/>
              <w:rPr>
                <w:rFonts w:ascii="Times New Roman" w:hAnsi="Times New Roman" w:cs="Times New Roman"/>
              </w:rPr>
            </w:pPr>
            <w:r>
              <w:rPr>
                <w:rFonts w:ascii="Times New Roman" w:hAnsi="Times New Roman" w:cs="Times New Roman"/>
                <w:sz w:val="20"/>
                <w:szCs w:val="20"/>
              </w:rPr>
              <w:t xml:space="preserve">Inflation rate</w:t>
            </w:r>
          </w:p>
        </w:tc>
        <w:tc>
          <w:tcPr>
            <w:tcW w:w="3300" w:type="dxa"/>
          </w:tcPr>
          <w:p>
            <w:pPr>
              <w:spacing w:after="0" w:line="240" w:lineRule="auto"/>
              <w:rPr>
                <w:rFonts w:ascii="Times New Roman" w:hAnsi="Times New Roman" w:cs="Times New Roman"/>
              </w:rPr>
            </w:pPr>
            <w:r>
              <w:rPr>
                <w:rFonts w:ascii="Times New Roman" w:hAnsi="Times New Roman" w:cs="Times New Roman"/>
                <w:sz w:val="20"/>
                <w:szCs w:val="20"/>
              </w:rPr>
              <w:t xml:space="preserve">Year-on-Year Changes of the Consumer Price Index in Percent, All Items, Philippines (2018=100), OpenSTAT</w:t>
            </w:r>
          </w:p>
        </w:tc>
        <w:tc>
          <w:tcPr>
            <w:tcW w:w="800" w:type="dxa"/>
          </w:tcPr>
          <w:p>
            <w:pPr>
              <w:spacing w:after="0" w:line="240" w:lineRule="auto"/>
              <w:rPr>
                <w:rFonts w:ascii="Times New Roman" w:hAnsi="Times New Roman" w:cs="Times New Roman"/>
              </w:rPr>
            </w:pPr>
            <w:r>
              <w:rPr>
                <w:rFonts w:ascii="Times New Roman" w:hAnsi="Times New Roman" w:cs="Times New Roman"/>
                <w:sz w:val="20"/>
                <w:szCs w:val="20"/>
              </w:rPr>
              <w:t xml:space="preserve">PSA</w:t>
            </w:r>
          </w:p>
        </w:tc>
        <w:tc>
          <w:tcPr>
            <w:tcW w:w="1700" w:type="dxa"/>
          </w:tcPr>
          <w:p>
            <w:pPr>
              <w:spacing w:after="0" w:line="240" w:lineRule="auto"/>
              <w:rPr>
                <w:rFonts w:ascii="Times New Roman" w:hAnsi="Times New Roman" w:cs="Times New Roman"/>
              </w:rPr>
            </w:pPr>
            <w:r>
              <w:rPr>
                <w:rFonts w:ascii="Times New Roman" w:hAnsi="Times New Roman" w:cs="Times New Roman"/>
                <w:sz w:val="20"/>
                <w:szCs w:val="20"/>
              </w:rPr>
              <w:t xml:space="preserve">Monthly, percent</w:t>
            </w:r>
          </w:p>
        </w:tc>
        <w:tc>
          <w:tcPr>
            <w:tcW w:w="2060" w:type="dxa"/>
          </w:tcPr>
          <w:p>
            <w:pPr>
              <w:spacing w:after="0" w:line="240" w:lineRule="auto"/>
              <w:rPr>
                <w:rFonts w:ascii="Times New Roman" w:hAnsi="Times New Roman" w:cs="Times New Roman"/>
              </w:rPr>
            </w:pPr>
            <w:r>
              <w:rPr>
                <w:rFonts w:ascii="Times New Roman" w:hAnsi="Times New Roman" w:cs="Times New Roman"/>
                <w:sz w:val="20"/>
                <w:szCs w:val="20"/>
              </w:rPr>
              <w:t xml:space="preserve">Exogenous variable</w:t>
            </w:r>
          </w:p>
        </w:tc>
      </w:tr>
    </w:tbl>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study will primarily use the remittance datasets contained in ofw.xls and ofwp.xls. The ofw.xls dataset contains cash remittance data classified by country and source, while the ofwp.xls dataset contains historical monthly totals for personal and cash remittances. These datasets are relevant to the study because they directly provide the historical remittance values needed for trend analysis, seasonal analysis, and forecasting.</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exchange rate is the BSP monthly average of the Philippine peso per US dollar. The monthly average is used instead of the end-of-period rate because it represents the whole month and therefore matches the monthly total of remittances (Bangko Sentral ng Pilipinas, 2026b). The year-on-year change in the exchange rate is computed by the proponents as (rate in the month ÷ rate in the same month a year earlier − 1) × 100, using the 2018 values from the same BSP file for the 2019 months. A positive value means more pesos per US dollar, that is, a weaker peso. It is a computed variable, not a figure published by the BSP, and it is on the same year-on-year basis as the inflation rate.</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inflation rate is the year-on-year change of the all-items Consumer Price Index (2018=100) for the Philippines, taken from the PSA OpenSTAT database (Philippine Statistics Authority, 2026). The national level is used because the remittance totals are also national. Because the year-on-year series of the 2018-based index starts in January 2019, the study period will begin in January 2019 and end in the most recent month for which all three series are available. The monthly cash remittance series (ofwp.xls) runs through June 2026, so the study period is January 2019 to June 2026, or 90 monthly observations. The inflation and exchange rate series extend to August 2026 and will be trimmed to the same period.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datasets contain structured and time-series numerical data, with values recorded over monthly periods. The data cover more than seven years, providing a workable number of monthly observations for identifying historical patterns and for developing and comparing the proposed forecasting models. The available monthly observations will also allow the dataset to be divided into training and testing periods, where earlier observations are used to develop the models and more recent observations are used to evaluate their forecasting performance.</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dataset is considered suitable for the proposed system because cash remittance amounts are the primary variable that RemitTrend PH aims to analyze and forecast, while the exchange rate and inflation are the economic indicators whose relationship with remittances will be examined. Before the data are used for modeling, they will undergo preprocessing to identify and address missing values, inconsistent formats, and other data quality issues. The dates and values of the three series, together with the computed year-on-year change in the exchange rate, will be aligned into a consistent monthly time series. For the statistical models, stationarity will be checked and differencing applied when necessary. For the machine learning models, lagged values of remittances, the exchange rate, and inflation, the calendar month, and moving averages will be created as input features.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In terms of data availability and feasibility, the required historical data are already publicly available from the BSP and the PSA and therefore do not require the proponents to conduct primary data collection. The availability of multi-year monthly records also makes the datasets appropriate for the selected analytics techniques and achievable within the project's development period.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use of the datasets presents minimal privacy and ethical concerns because the BSP and PSA statistics are publicly available and reported as aggregated data. The datasets do not contain personally identifiable information about individual OFWs or remittance recipients. The study will use the data only for academic analysis, forecasting, and visualization purposes.</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07" w:name="_Toc91000007"/>
      <w:r>
        <w:rPr>
          <w:rFonts w:ascii="Times New Roman" w:hAnsi="Times New Roman" w:cs="Times New Roman"/>
          <w:b/>
          <w:bCs/>
          <w:color w:val="auto"/>
          <w:sz w:val="24"/>
          <w:szCs w:val="24"/>
        </w:rPr>
        <w:t xml:space="preserve">Analytics Techniques and Justification</w:t>
      </w:r>
      <w:bookmarkEnd w:id="107"/>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RemitTrend PH will combine four analytics techniques: trend and seasonal analysis, relationship analysis, time-series forecasting, and machine learning regression. Together they show what happened (trends and seasons), what moves together with remittances (the exchange rate and inflation), and what may happen next (forecasts).</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08" w:name="_Toc91000008"/>
      <w:r>
        <w:rPr>
          <w:rFonts w:ascii="Times New Roman" w:hAnsi="Times New Roman" w:cs="Times New Roman"/>
          <w:b/>
          <w:bCs/>
          <w:color w:val="auto"/>
          <w:sz w:val="24"/>
          <w:szCs w:val="24"/>
        </w:rPr>
        <w:t xml:space="preserve">Trend and Seasonal Analysis</w:t>
      </w:r>
      <w:bookmarkEnd w:id="108"/>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trend analysis will use percentage changes and moving averages to show whether remittances are rising, falling, or stable over selected periods. The seasonal analysis will use seasonal decomposition (STL) to separate the series into trend, seasonal, and residual components, and will compute the average remittance for each calendar month together with a seasonal index. These results identify the months and seasons in which remittances usually increase, such as whether the year-end months are consistently higher, as suggested by the December and November 2024 figures cited in the Problem Background.</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09" w:name="_Toc91000009"/>
      <w:r>
        <w:rPr>
          <w:rFonts w:ascii="Times New Roman" w:hAnsi="Times New Roman" w:cs="Times New Roman"/>
          <w:b/>
          <w:bCs/>
          <w:color w:val="auto"/>
          <w:sz w:val="24"/>
          <w:szCs w:val="24"/>
        </w:rPr>
        <w:t xml:space="preserve">Relationship Analysis</w:t>
      </w:r>
      <w:bookmarkEnd w:id="109"/>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To determine whether the exchange rate and inflation have a relationship with cash remittances, the study will first test the stationarity of each series using the Augmented Dickey-Fuller test and apply differencing when necessary. It will then compute correlations and lagged correlations between remittances and each indicator to find the lag, in months, at which the relationship is strongest. Granger causality tests will check whether past values of the exchange rate or inflation help predict remittances beyond what past remittances already explain. These results will be supported by the coefficients of the exogenous variables in the ARIMAX and SARIMAX models and by the feature importance of the Random Forest and XGBoost models. Both the monthly average exchange rate and its year-on-year change will be examined. The change is on the same basis as inflation and is expected to be less affected by the long-run upward trend of the rate. In the dataset, the year-on-year change in the exchange rate and inflation have a correlation of about 0.69, so their overlap will be checked before both are used in the same model. These tests describe statistical association and predictive value. They do not prove that one variable causes another.</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10" w:name="_Toc91000010"/>
      <w:r>
        <w:rPr>
          <w:rFonts w:ascii="Times New Roman" w:hAnsi="Times New Roman" w:cs="Times New Roman"/>
          <w:b/>
          <w:bCs/>
          <w:color w:val="auto"/>
          <w:sz w:val="24"/>
          <w:szCs w:val="24"/>
        </w:rPr>
        <w:t xml:space="preserve">Time-Series Forecasting: ARIMA and SARIMA</w:t>
      </w:r>
      <w:bookmarkEnd w:id="110"/>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ARIMA consists of three main components: AutoRegressive (AR), Integrated (I), and Moving Average (MA). The autoregressive component uses previous observations in the time series to help estimate future values. The integrated component applies differencing when necessary to make the data stationary, while the moving average component considers previous forecasting errors when generating estimates. Together, these components allow the model to identify patterns within historical data and generate forecasts for future periods.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ARIMA will serve as the baseline model because it is interpretable and can be applied to multi-year monthly data. Because monthly remittances show recurring patterns, Seasonal ARIMA (SARIMA) will also be developed. SARIMA adds seasonal autoregressive, differencing, and moving average terms with a seasonal period of 12 months, allowing the model to capture patterns that repeat every year. Both models will be developed in two versions: without exogenous variables (ARIMA and SARIMA) and with the exchange rate and inflation as exogenous variables (ARIMAX and SARIMAX). Comparing the two versions shows whether adding the exchange rate and inflation improves the forecasts. Model orders will be selected using autocorrelation analysis and information criteria, with automatic parameter search as support (Hyndman &amp; Athanasopoulos, 2021; Seabold &amp; Perktold, 2010).</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11" w:name="_Toc91000011"/>
      <w:r>
        <w:rPr>
          <w:rFonts w:ascii="Times New Roman" w:hAnsi="Times New Roman" w:cs="Times New Roman"/>
          <w:b/>
          <w:bCs/>
          <w:color w:val="auto"/>
          <w:sz w:val="24"/>
          <w:szCs w:val="24"/>
        </w:rPr>
        <w:t xml:space="preserve">Machine Learning: Random Forest and XGBoost</w:t>
      </w:r>
      <w:bookmarkEnd w:id="111"/>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Random Forest builds many decision trees on different samples of the data and averages their predictions, which makes the predictions more stable (Breiman, 2001). XGBoost builds decision trees one after another, with each new tree correcting the errors of the previous ones (Chen &amp; Guestrin, 2016). Both models can capture non-linear relationships and rank the importance of their input features, which helps show whether the exchange rate and inflation contribute to the forecasts. The input features will include lagged remittance values, lagged exchange rate and inflation values, the calendar month, and moving averages.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Because the data are ordered in time, the training and testing sets will be split chronologically instead of randomly. Hyperparameters will be tuned using time-series cross-validation on the training period only, and multi-month forecasts will be produced step by step, using each predicted month as an input for the next.</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12" w:name="_Toc91000012"/>
      <w:r>
        <w:rPr>
          <w:rFonts w:ascii="Times New Roman" w:hAnsi="Times New Roman" w:cs="Times New Roman"/>
          <w:b/>
          <w:bCs/>
          <w:color w:val="auto"/>
          <w:sz w:val="24"/>
          <w:szCs w:val="24"/>
        </w:rPr>
        <w:t xml:space="preserve">Model Comparison and Future Inputs</w:t>
      </w:r>
      <w:bookmarkEnd w:id="112"/>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All models will be trained on the same training period, tested on the same testing period, and compared using MAE, RMSE, and MAPE. Hyperparameters will be tuned on the training period only, and the main model will be selected using the testing period. RMSE will be the deciding metric, with MAE and MAPE used as supporting metrics. The model with the lowest RMSE on the testing period will be adopted as the main model of RemitTrend PH and used for the default dashboard forecasts, and users will be able to view the other models for comparison.</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Models that use the exchange rate and inflation need future values of these variables in order to forecast. RemitTrend PH will use lagged values, so that forecasts a few months ahead rely on data that are already observed, and will let dashboard users enter assumed values for the exchange rate and inflation to see how the forecast changes.</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13" w:name="_Toc91000013"/>
      <w:r>
        <w:rPr>
          <w:rFonts w:ascii="Times New Roman" w:hAnsi="Times New Roman" w:cs="Times New Roman"/>
          <w:b/>
          <w:bCs/>
          <w:color w:val="auto"/>
          <w:sz w:val="24"/>
          <w:szCs w:val="24"/>
        </w:rPr>
        <w:t xml:space="preserve">Why These Techniques</w:t>
      </w:r>
      <w:bookmarkEnd w:id="113"/>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project focuses on predicting continuous numerical values over time rather than assigning data into categories or groups. Techniques such as classification are designed to predict predefined classes, while clustering is mainly used to group similar observations. These techniques would therefore not directly address the main objective of the study, which is to estimate future monthly remittance amounts.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Exponential Smoothing methods are generally less flexible for datasets with more complex autocorrelation patterns and cannot easily include the exchange rate and inflation as explanatory variables. LSTM and other deep-learning models typically require larger datasets and greater computational resources to train reliably, along with more complex tuning that may not be practical within a one-semester timeline, so they are not included. In contrast, ARIMA and SARIMA are interpretable, and Random Forest and XGBoost can be trained on modest amounts of tabular data with lagged features. This allows the proponents to explain how historical patterns, seasonality, and the economic indicators contribute to the forecasts. All of the selected techniques can run on standard computing resources, which makes them practical and achievable within one semester.</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14" w:name="_Toc91000014"/>
      <w:r>
        <w:rPr>
          <w:rFonts w:ascii="Times New Roman" w:hAnsi="Times New Roman" w:cs="Times New Roman"/>
          <w:b/>
          <w:bCs/>
          <w:color w:val="auto"/>
          <w:sz w:val="24"/>
          <w:szCs w:val="24"/>
        </w:rPr>
        <w:t xml:space="preserve">Expected Output of the Techniques</w:t>
      </w:r>
      <w:bookmarkEnd w:id="114"/>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expected outputs of the analytics techniques are the trend and seasonal findings, the relationship findings for the exchange rate and inflation, and the forecasted monthly Overseas Filipino cash remittance values from each model together with their error metrics. These results will be integrated into the RemitTrend PH dashboard together with historical values, percentage changes, and growth or decline trends. This will allow users to compare past and predicted remittance movements and gain data-driven insights into the possible direction of future remittance inflows.</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15" w:name="_Toc91000015"/>
      <w:r>
        <w:rPr>
          <w:rFonts w:ascii="Times New Roman" w:hAnsi="Times New Roman" w:cs="Times New Roman"/>
          <w:b/>
          <w:bCs/>
          <w:color w:val="auto"/>
          <w:sz w:val="24"/>
          <w:szCs w:val="24"/>
        </w:rPr>
        <w:t xml:space="preserve">Conceptual Framework</w:t>
      </w:r>
      <w:bookmarkEnd w:id="115"/>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conceptual framework of the proposed RemitTrend PH: Overseas Filipino Cash Remittance Forecasting and Trend Analytics System follows the Input-Process-Output (IPO) Model, illustrating the flow of historical remittance, exchange rate, and inflation data from data collection and preparation, through trend and seasonal analysis, relationship analysis, forecasting, and evaluation, to the final analytics dashboard, as shown in the figure.</w:t>
      </w:r>
    </w:p>
    <w:p xmlns:a="http://schemas.openxmlformats.org/drawingml/2006/main" xmlns:pic="http://schemas.openxmlformats.org/drawingml/2006/picture">
      <w:pPr>
        <w:keepNext/>
        <w:spacing w:before="120" w:line="240" w:lineRule="auto"/>
        <w:jc w:val="center"/>
      </w:pPr>
      <w:r>
        <w:rPr>
          <w:noProof/>
        </w:rPr>
        <w:drawing>
          <wp:inline distT="0" distB="0" distL="0" distR="0">
            <wp:extent cx="5486400" cy="3028950"/>
            <wp:effectExtent l="0" t="0" r="0" b="0"/>
            <wp:docPr id="9001" name="Figure 1" descr="Conceptual framework: three monthly datasets as input, analysis and model steps as process, and the RemitTrend PH dashboard as output, with a feedback loop"/>
            <wp:cNvGraphicFramePr>
              <a:graphicFrameLocks noChangeAspect="1"/>
            </wp:cNvGraphicFramePr>
            <a:graphic>
              <a:graphicData uri="http://schemas.openxmlformats.org/drawingml/2006/picture">
                <pic:pic>
                  <pic:nvPicPr>
                    <pic:cNvPr id="0" name="figure1.png"/>
                    <pic:cNvPicPr/>
                  </pic:nvPicPr>
                  <pic:blipFill>
                    <a:blip r:embed="rId8"/>
                    <a:stretch>
                      <a:fillRect/>
                    </a:stretch>
                  </pic:blipFill>
                  <pic:spPr>
                    <a:xfrm>
                      <a:off x="0" y="0"/>
                      <a:ext cx="5486400" cy="3028950"/>
                    </a:xfrm>
                    <a:prstGeom prst="rect">
                      <a:avLst/>
                    </a:prstGeom>
                  </pic:spPr>
                </pic:pic>
              </a:graphicData>
            </a:graphic>
          </wp:inline>
        </w:drawing>
      </w:r>
    </w:p>
    <w:p w:rsidR="00EA4A0F" w:rsidRPr="00FA5066" w:rsidRDefault="00EA4A0F" w:rsidP="00EA4A0F">
      <w:pPr>
        <w:pStyle w:val="Caption"/>
        <w:rPr>
          <w:rFonts w:cs="Times New Roman"/>
          <w:color w:val="auto"/>
          <w:szCs w:val="24"/>
        </w:rPr>
      </w:pPr>
      <w:r>
        <w:rPr>
          <w:rFonts w:cs="Times New Roman"/>
          <w:color w:val="auto"/>
          <w:szCs w:val="24"/>
        </w:rPr>
        <w:t xml:space="preserve">Figure </w:t>
        <w:fldChar w:fldCharType="begin"/>
        <w:instrText xml:space="preserve"> SEQ Figure \* ARABIC </w:instrText>
        <w:fldChar w:fldCharType="separate"/>
      </w:r>
      <w:r>
        <w:rPr>
          <w:rFonts w:cs="Times New Roman"/>
          <w:noProof/>
          <w:color w:val="auto"/>
          <w:szCs w:val="24"/>
        </w:rPr>
        <w:t>1</w:t>
        <w:fldChar w:fldCharType="end"/>
      </w:r>
      <w:r>
        <w:rPr>
          <w:rFonts w:cs="Times New Roman"/>
          <w:color w:val="auto"/>
          <w:szCs w:val="24"/>
        </w:rPr>
        <w:t>. Conceptual Framework of the Project</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As shown in this framework, the input consists of the historical monthly Overseas Filipino cash remittance and exchange rate data obtained from the BSP, the inflation data obtained from the PSA, and the activities required to prepare the data for analysis. The data then pass through the process stage, where they are cleaned, organized into a monthly series, analyzed for trends, seasonal patterns, and relationships, used to train the ARIMA, SARIMA, Random Forest, and XGBoost models, and evaluated using MAE, RMSE, and MAPE. The results are then integrated into the dashboard, which is the output of the system. The feedback loop represents the use of evaluation results and user feedback to improve the earlier stages.</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16" w:name="_Toc91000016"/>
      <w:r>
        <w:rPr>
          <w:rFonts w:ascii="Times New Roman" w:hAnsi="Times New Roman" w:cs="Times New Roman"/>
          <w:b/>
          <w:bCs/>
          <w:color w:val="auto"/>
          <w:sz w:val="24"/>
          <w:szCs w:val="24"/>
        </w:rPr>
        <w:t xml:space="preserve">Proposed System Features</w:t>
      </w:r>
      <w:bookmarkEnd w:id="116"/>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proposed RemitTrend PH: Overseas Filipino Cash Remittance Forecasting and Trend Analytics System will provide an interactive analytics platform for analyzing historical Overseas Filipino cash remittance data, together with the peso–dollar exchange rate and the inflation rate, and for forecasting future monthly remittance amounts. The system will combine time-series forecasting, machine learning, trend and seasonal analysis, and data visualization to transform historical remittance records into clear and useful information for users.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system will include the following core features:</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KPI Cards.</w:t>
      </w:r>
      <w:r>
        <w:rPr>
          <w:rFonts w:ascii="Times New Roman" w:hAnsi="Times New Roman" w:cs="Times New Roman"/>
        </w:rPr>
        <w:t xml:space="preserve"> Summary cards at the top of the dashboard show the latest monthly cash remittance, the month-on-month and year-on-year percentage change, the year-to-date total, the forecast for the next month, the latest peso–dollar exchange rate, and the latest inflation rate. Each card carries an up or down indicator so that users can see the direction of change at a glance.</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Historical Data.</w:t>
      </w:r>
      <w:r>
        <w:rPr>
          <w:rFonts w:ascii="Times New Roman" w:hAnsi="Times New Roman" w:cs="Times New Roman"/>
        </w:rPr>
        <w:t xml:space="preserve"> Presents the historical monthly cash remittance, exchange rate (with its year-on-year change), and inflation data through charts and a data table with date-range filtering and download, allowing users to observe changes and patterns over time and to check the underlying values.</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Remittance Trends and Percentage Change.</w:t>
      </w:r>
      <w:r>
        <w:rPr>
          <w:rFonts w:ascii="Times New Roman" w:hAnsi="Times New Roman" w:cs="Times New Roman"/>
        </w:rPr>
        <w:t xml:space="preserve"> Shows remittance trends with moving averages, identifies increasing, decreasing, or stable movements over selected periods, and calculates the percentage increase or decrease in remittance amounts between periods.</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Seasonality Analysis.</w:t>
      </w:r>
      <w:r>
        <w:rPr>
          <w:rFonts w:ascii="Times New Roman" w:hAnsi="Times New Roman" w:cs="Times New Roman"/>
        </w:rPr>
        <w:t xml:space="preserve"> Shows the average remittance for each calendar month, a seasonal index, and a month-by-year heat map, and highlights the months and seasons in which remittances usually increase.</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Relationship Analysis.</w:t>
      </w:r>
      <w:r>
        <w:rPr>
          <w:rFonts w:ascii="Times New Roman" w:hAnsi="Times New Roman" w:cs="Times New Roman"/>
        </w:rPr>
        <w:t xml:space="preserve"> Compares remittances with the exchange rate and inflation using side-by-side charts, correlation and lagged correlation results, Granger causality results, and the feature importance from the machine learning models, to show whether the two indicators are related to remittances and at what lag.</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Remittance Forecasting.</w:t>
      </w:r>
      <w:r>
        <w:rPr>
          <w:rFonts w:ascii="Times New Roman" w:hAnsi="Times New Roman" w:cs="Times New Roman"/>
        </w:rPr>
        <w:t xml:space="preserve"> Generates estimates of future monthly cash remittance amounts using ARIMA/ARIMAX, SARIMA/SARIMAX, Random Forest, and XGBoost. Users select the model and the forecast horizon, and may enter assumed exchange rate and inflation values to see how the forecast changes. Prediction intervals are shown for the statistical models.</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Model Comparison.</w:t>
      </w:r>
      <w:r>
        <w:rPr>
          <w:rFonts w:ascii="Times New Roman" w:hAnsi="Times New Roman" w:cs="Times New Roman"/>
        </w:rPr>
        <w:t xml:space="preserve"> Displays the MAE, RMSE, and MAPE of every model on the testing period, an actual-versus-predicted chart, and the best-performing model.</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Historical and Forecast Comparison.</w:t>
      </w:r>
      <w:r>
        <w:rPr>
          <w:rFonts w:ascii="Times New Roman" w:hAnsi="Times New Roman" w:cs="Times New Roman"/>
        </w:rPr>
        <w:t xml:space="preserve"> Provides visual comparisons between historical remittance values and the values generated by the selected forecasting model.</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Source and Country Comparison.</w:t>
      </w:r>
      <w:r>
        <w:rPr>
          <w:rFonts w:ascii="Times New Roman" w:hAnsi="Times New Roman" w:cs="Times New Roman"/>
        </w:rPr>
        <w:t xml:space="preserve"> Provides a descriptive view of remittances by source (land-based and sea-based) and by the main countries of origin, so that users can see where remittances come from. The relationship and forecasting views use total cash remittances, because the exchange rate and inflation are national indicators.</w:t>
      </w:r>
    </w:p>
    <w:p xmlns:a="http://schemas.openxmlformats.org/drawingml/2006/main" xmlns:pic="http://schemas.openxmlformats.org/drawingml/2006/pictur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b/>
          <w:bCs/>
        </w:rPr>
        <w:t xml:space="preserve">Interactive Analytics Dashboard.</w:t>
      </w:r>
      <w:r>
        <w:rPr>
          <w:rFonts w:ascii="Times New Roman" w:hAnsi="Times New Roman" w:cs="Times New Roman"/>
        </w:rPr>
        <w:t xml:space="preserve"> Combines KPI cards, historical data, trends, seasonal patterns, relationship results, forecasts, model comparison, filters, and visualizations into a single interface for easier analysis.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proposed system is intended for students, researchers, financial analysts, and other users interested in analyzing Overseas Filipino remittance trends. The dashboard will provide users with key indicators, historical trends, seasonal patterns, forecasted monthly remittance values, percentage changes, growth and decline indicators, and available remittance comparisons.</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17" w:name="_Toc91000017"/>
      <w:r>
        <w:rPr>
          <w:rFonts w:ascii="Times New Roman" w:hAnsi="Times New Roman" w:cs="Times New Roman"/>
          <w:b/>
          <w:bCs/>
          <w:color w:val="auto"/>
          <w:sz w:val="24"/>
          <w:szCs w:val="24"/>
        </w:rPr>
        <w:t xml:space="preserve">Tools and Technologies</w:t>
      </w:r>
      <w:bookmarkEnd w:id="117"/>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development of RemitTrend PH: Overseas Filipino Cash Remittance Forecasting and Trend Analytics System will use tools and technologies that support data preprocessing, time-series forecasting, machine learning, model evaluation, data storage, and interactive visualization. The selected technologies are suitable for the requirements of the proposed system and can be implemented within the project's development period.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Python will serve as the primary programming language because of its wide range of libraries for data analytics, statistical modeling, machine learning, and time-series forecasting. It also allows the forecasting models and analytics dashboard to be developed within a single programming environment.</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Pandas and NumPy will be used for data preparation and processing. Pandas will support the cleaning, organization, and transformation of historical monthly remittance records, the alignment of the remittance, exchange rate, and inflation series into one monthly dataset, and the creation of lagged features. NumPy will assist with numerical operations required during data analysis.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Statsmodels will be used to develop and train the ARIMA and SARIMA models, including their versions with exogenous variables (ARIMAX and SARIMAX), and to perform the stationarity tests, Granger causality tests, and seasonal decomposition (Seabold &amp; Perktold, 2010). pmdarima may also be used to assist in selecting suitable ARIMA parameters during model development.</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Scikit-learn will be used to develop the Random Forest model, to perform time-series cross-validation, and to calculate performance metrics such as Mean Absolute Error (MAE) and Root Mean Squared Error (RMSE) (Pedregosa et al., 2011). Other appropriate forecasting metrics, such as Mean Absolute Percentage Error (MAPE), will also be used to assess model performance. XGBoost will be used to develop the gradient boosting model (Chen &amp; Guestrin, 2016).</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Flask will be used as the web application framework for developing the RemitTrend PH interactive analytics dashboard. It will connect the Python-based data processing, analytics, and forecasting models with the web-based user interface. HTML, CSS, and JavaScript will be used to design and develop the dashboard interface, while Bootstrap will support a responsive and organized layout for KPI cards, navigation, filters, tables, and other interface components. Plotly and Plotly.js will be used to create interactive charts for historical remittance data, trends, seasonal patterns, relationship results, forecasted values, and model comparison results.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For data storage, CSV or Excel files will initially be used to manage the historical remittance, exchange rate, and inflation datasets obtained from the Bangko Sentral ng Pilipinas and the Philippine Statistics Authority. SQLite may be used if database-based storage and retrieval are required as the system develops.</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18" w:name="_Toc91000018"/>
      <w:r>
        <w:rPr>
          <w:rFonts w:ascii="Times New Roman" w:hAnsi="Times New Roman" w:cs="Times New Roman"/>
          <w:b/>
          <w:bCs/>
          <w:color w:val="auto"/>
          <w:sz w:val="24"/>
          <w:szCs w:val="24"/>
        </w:rPr>
        <w:t xml:space="preserve">Evaluation Plan</w:t>
      </w:r>
      <w:bookmarkEnd w:id="118"/>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effectiveness of RemitTrend PH: Overseas Filipino Cash Remittance Forecasting and Trend Analytics System will be evaluated based on the performance of the forecasting models and the functionality and usability of the developed system.</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forecasting models will be evaluated by dividing the historical monthly data into training and testing sets in chronological order. The earlier observations will be used to develop the models, while the most recent observations (for example, the latest 12 months) will be used to compare the forecasted remittance values with the actual values. All models (ARIMA, ARIMAX, SARIMA, SARIMAX, Random Forest, and XGBoost) will use the same training and testing periods so that the results can be compared fairly. For the machine learning models, hyperparameters will be tuned using time-series cross-validation within the training period only. Where time allows, the comparison will also be repeated on rolling test windows (forecast 12 months, then move the window forward) to check that the results do not depend on a single test period.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Model performance will be measured using Mean Absolute Error (MAE), Root Mean Squared Error (RMSE), and Mean Absolute Percentage Error (MAPE). These metrics will determine the difference between the actual and forecasted values and assess the overall forecasting performance of each model. The model with the lowest RMSE on the testing period will be adopted as the main model and used for the default dashboard forecasts, with MAE and MAPE as supporting metrics.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To determine whether the exchange rate and inflation improve the forecasts, the models that use these variables (ARIMAX, SARIMAX, and the Random Forest and XGBoost models with exchange rate and inflation features) will be compared with the same models without them. If the error metrics do not improve, this will be reported as a finding. These results will be interpreted together with the relationship tests described under Analytics Techniques and Justification.</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system will also undergo functional testing to verify that its core features operate correctly, including data processing, forecast generation for each model, KPI card values, trend visualization, seasonality analysis, relationship analysis, percentage change calculations, model comparison, the source and country view, and dashboard functions. In addition, User Acceptance Testing (UAT) will be conducted with selected users to assess the usability of the system and determine whether the KPI cards, seasonal patterns, relationship results, forecasting results, and trend information are clear and understandable.</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RemitTrend PH will be considered effective if at least one forecasting model demonstrates acceptable forecasting performance based on the selected evaluation metrics, the seasonal and relationship analyses produce interpretable results, the system's core features function as intended, and users are able to understand and use the analytics dashboard successfully.</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19" w:name="_Toc91000019"/>
      <w:r>
        <w:rPr>
          <w:rFonts w:ascii="Times New Roman" w:hAnsi="Times New Roman" w:cs="Times New Roman"/>
          <w:b/>
          <w:bCs/>
          <w:color w:val="auto"/>
          <w:sz w:val="24"/>
          <w:szCs w:val="24"/>
        </w:rPr>
        <w:t xml:space="preserve">Scope and Limitations</w:t>
      </w:r>
      <w:bookmarkEnd w:id="119"/>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20" w:name="_Toc91000020"/>
      <w:r>
        <w:rPr>
          <w:rFonts w:ascii="Times New Roman" w:hAnsi="Times New Roman" w:cs="Times New Roman"/>
          <w:b/>
          <w:bCs/>
          <w:color w:val="auto"/>
          <w:sz w:val="24"/>
          <w:szCs w:val="24"/>
        </w:rPr>
        <w:t xml:space="preserve">Scope</w:t>
      </w:r>
      <w:bookmarkEnd w:id="120"/>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scope of RemitTrend PH: Overseas Filipino Cash Remittance Forecasting and Trend Analytics System will focus on the analysis and forecasting of historical monthly Overseas Filipino cash remittances using publicly available data from the Bangko Sentral ng Pilipinas (BSP), together with the BSP peso–dollar exchange rate and the PSA inflation rate. The system will analyze historical remittance trends and seasonal patterns, examine the relationship of remittances with the exchange rate and inflation, and apply the ARIMA, SARIMA, Random Forest, and XGBoost models to estimate future monthly remittance amounts.</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system will cover KPI cards, historical remittance trend analysis, seasonal analysis, relationship analysis, forecasting with the four models, model comparison, percentage change analysis, growth and decline trends, and visualization of historical and forecasted remittance values. It will also provide a descriptive comparison of remittances by source (land-based and sea-based) and by the main countries of origin. These results will be presented through an interactive analytics dashboard.</w:t>
      </w:r>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project will be limited to aggregated historical data and will not process individual remittance transactions or real-time money transfers. It will not directly connect to banks, remittance companies, or live financial systems. The system is intended only for data analysis, forecasting, and visualization and will not provide individual financial or investment recommendations.</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21" w:name="_Toc91000021"/>
      <w:r>
        <w:rPr>
          <w:rFonts w:ascii="Times New Roman" w:hAnsi="Times New Roman" w:cs="Times New Roman"/>
          <w:b/>
          <w:bCs/>
          <w:color w:val="auto"/>
          <w:sz w:val="24"/>
          <w:szCs w:val="24"/>
        </w:rPr>
        <w:t xml:space="preserve">Limitations</w:t>
      </w:r>
      <w:bookmarkEnd w:id="121"/>
    </w:p>
    <w:p xmlns:a="http://schemas.openxmlformats.org/drawingml/2006/main" xmlns:pic="http://schemas.openxmlformats.org/drawingml/2006/pictur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The relationship analysis describes statistical association and predictive value only. It does not prove that the exchange rate or inflation causes changes in remittances, and other factors, such as economic and employment conditions in host countries, are not included in the models.</w:t>
      </w:r>
    </w:p>
    <w:p xmlns:a="http://schemas.openxmlformats.org/drawingml/2006/main" xmlns:pic="http://schemas.openxmlformats.org/drawingml/2006/pictur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The exchange rate and inflation are national indicators, so the relationship analysis and the forecasting models use total cash remittances. Remittances by country or source are shown in the descriptive dashboard views only. The year-on-year change in the exchange rate is computed by the proponents from BSP data and is not an official published statistic.</w:t>
      </w:r>
    </w:p>
    <w:p xmlns:a="http://schemas.openxmlformats.org/drawingml/2006/main" xmlns:pic="http://schemas.openxmlformats.org/drawingml/2006/pictur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Forecasts that use the exchange rate and inflation depend on their future values, which are unknown. These are handled through lagged values and user-entered assumptions, so forecasts further ahead are less certain.</w:t>
      </w:r>
    </w:p>
    <w:p xmlns:a="http://schemas.openxmlformats.org/drawingml/2006/main" xmlns:pic="http://schemas.openxmlformats.org/drawingml/2006/pictur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The study period covers more than seven years of monthly data, which limits how reliably the seasonal patterns and the machine learning models can be estimated. The remittance figures for 2025 and 2026 are also preliminary and may be revised by the BSP.</w:t>
      </w:r>
    </w:p>
    <w:p xmlns:a="http://schemas.openxmlformats.org/drawingml/2006/main" xmlns:pic="http://schemas.openxmlformats.org/drawingml/2006/pictur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Inflation rose sharply in early 2026, from 2.4 percent in February to 7.2 percent in April. Such unusual movement may affect model estimates and test results, so results for this period will be interpreted with caution.</w:t>
      </w:r>
    </w:p>
    <w:p xmlns:a="http://schemas.openxmlformats.org/drawingml/2006/main" xmlns:pic="http://schemas.openxmlformats.org/drawingml/2006/pictur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Only ARIMA, SARIMA, Random Forest, and XGBoost are compared. Other methods, such as deep learning, are not included.</w:t>
      </w:r>
    </w:p>
    <w:p xmlns:a="http://schemas.openxmlformats.org/drawingml/2006/main" xmlns:pic="http://schemas.openxmlformats.org/drawingml/2006/picture">
      <w:pPr>
        <w:pStyle w:val="Heading2"/>
        <w:spacing w:line="360" w:lineRule="auto"/>
        <w:rPr>
          <w:rFonts w:ascii="Times New Roman" w:hAnsi="Times New Roman" w:cs="Times New Roman"/>
          <w:b/>
          <w:bCs/>
          <w:color w:val="auto"/>
          <w:sz w:val="24"/>
          <w:szCs w:val="24"/>
        </w:rPr>
      </w:pPr>
      <w:bookmarkStart w:id="122" w:name="_Toc91000022"/>
      <w:r>
        <w:rPr>
          <w:rFonts w:ascii="Times New Roman" w:hAnsi="Times New Roman" w:cs="Times New Roman"/>
          <w:b/>
          <w:bCs/>
          <w:color w:val="auto"/>
          <w:sz w:val="24"/>
          <w:szCs w:val="24"/>
        </w:rPr>
        <w:t xml:space="preserve">Feasibility</w:t>
      </w:r>
      <w:bookmarkEnd w:id="122"/>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The proposed project is considered feasible to develop within one semester because the required historical data are publicly available and the selected technologies, including Python, Flask, HTML, CSS, JavaScript, Bootstrap, Plotly, statsmodels, scikit-learn, and XGBoost, are accessible and suitable for the project's requirements. Flask provides a lightweight framework for connecting the Python-based analytics and forecasting components to the web interface, while HTML, CSS, JavaScript, Bootstrap, and Plotly support the development of an interactive and responsive dashboard. The forecasting models and web-based analytics dashboard can be developed and evaluated using standard computer resources without requiring specialized or high-performance computing equipment.</w:t>
      </w:r>
    </w:p>
    <w:p xmlns:a="http://schemas.openxmlformats.org/drawingml/2006/main" xmlns:pic="http://schemas.openxmlformats.org/drawingml/2006/picture">
      <w:pPr>
        <w:pStyle w:val="Heading1"/>
        <w:spacing w:line="360" w:lineRule="auto"/>
        <w:rPr>
          <w:rFonts w:ascii="Times New Roman" w:hAnsi="Times New Roman" w:cs="Times New Roman"/>
          <w:b/>
          <w:bCs/>
          <w:color w:val="auto"/>
          <w:sz w:val="24"/>
          <w:szCs w:val="24"/>
        </w:rPr>
      </w:pPr>
      <w:bookmarkStart w:id="123" w:name="_Toc91000023"/>
      <w:r>
        <w:rPr>
          <w:rFonts w:ascii="Times New Roman" w:hAnsi="Times New Roman" w:cs="Times New Roman"/>
          <w:b/>
          <w:bCs/>
          <w:color w:val="auto"/>
          <w:sz w:val="24"/>
          <w:szCs w:val="24"/>
        </w:rPr>
        <w:t xml:space="preserve">Expected Outputs</w:t>
      </w:r>
      <w:bookmarkEnd w:id="123"/>
    </w:p>
    <w:p xmlns:a="http://schemas.openxmlformats.org/drawingml/2006/main" xmlns:pic="http://schemas.openxmlformats.org/drawingml/2006/picture">
      <w:pPr>
        <w:spacing w:line="360" w:lineRule="auto"/>
        <w:ind w:firstLine="720"/>
        <w:jc w:val="both"/>
        <w:rPr>
          <w:rFonts w:ascii="Times New Roman" w:hAnsi="Times New Roman" w:cs="Times New Roman"/>
        </w:rPr>
      </w:pPr>
      <w:r>
        <w:rPr>
          <w:rFonts w:ascii="Times New Roman" w:hAnsi="Times New Roman" w:cs="Times New Roman"/>
        </w:rPr>
        <w:t xml:space="preserve">The development of RemitTrend PH: Overseas Filipino Cash Remittance Forecasting and Trend Analytics System is expected to produce the following outputs:</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A cleaned and organized monthly dataset that combines cash remittances, the peso–dollar exchange rate and its year-on-year change, and the inflation rate, prepared for time-series analysis and forecasting.</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Findings on historical remittance trends and seasonal patterns, including the months in which remittances usually increase.</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Findings on the relationship of the exchange rate and inflation with cash remittances, including the lags at which the relationships appear and whether adding these variables improves the forecasts.</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Trained and evaluated ARIMA/ARIMAX, SARIMA/SARIMAX, Random Forest, and XGBoost models capable of generating future monthly Overseas Filipino cash remittance forecasts, with their performance compared using MAE, RMSE, and MAPE and the best-performing model identified.</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A functional RemitTrend PH interactive analytics dashboard that presents KPI cards, remittance trends, historical data, seasonal patterns, relationship results, historical and forecasted remittance values, percentage changes, growth and decline trends, model comparison, and a descriptive comparison of remittances by source and country.</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Interactive charts and visualizations that allow users to clearly view and compare historical remittance trends and the forecasting results of the models.</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System evaluation results from functional testing and User Acceptance Testing (UAT) to determine the functionality and usability of the developed system.</w:t>
      </w:r>
    </w:p>
    <w:p xmlns:a="http://schemas.openxmlformats.org/drawingml/2006/main" xmlns:pic="http://schemas.openxmlformats.org/drawingml/2006/pictur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 xml:space="preserve">Complete project documentation and presentation describing the problem addressed, datasets, analytics techniques, system development, evaluation process, and results of the study.</w:t>
      </w:r>
    </w:p>
    <w:p xmlns:a="http://schemas.openxmlformats.org/drawingml/2006/main" xmlns:pic="http://schemas.openxmlformats.org/drawingml/2006/picture">
      <w:pPr>
        <w:pStyle w:val="Heading1"/>
        <w:pageBreakBefore/>
        <w:spacing w:line="360" w:lineRule="auto"/>
        <w:jc w:val="center"/>
        <w:rPr>
          <w:rFonts w:ascii="Times New Roman" w:hAnsi="Times New Roman" w:cs="Times New Roman"/>
          <w:b/>
          <w:bCs/>
          <w:color w:val="auto"/>
          <w:sz w:val="24"/>
          <w:szCs w:val="24"/>
        </w:rPr>
      </w:pPr>
      <w:bookmarkStart w:id="124" w:name="_Toc91000024"/>
      <w:r>
        <w:rPr>
          <w:rFonts w:ascii="Times New Roman" w:hAnsi="Times New Roman" w:cs="Times New Roman"/>
          <w:b/>
          <w:bCs/>
          <w:color w:val="auto"/>
          <w:sz w:val="24"/>
          <w:szCs w:val="24"/>
        </w:rPr>
        <w:t xml:space="preserve">References</w:t>
      </w:r>
      <w:bookmarkEnd w:id="124"/>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Bangko Sentral ng Pilipinas. (2026a). </w:t>
      </w:r>
      <w:r>
        <w:rPr>
          <w:rFonts w:ascii="Times New Roman" w:hAnsi="Times New Roman" w:cs="Times New Roman"/>
          <w:i/>
          <w:iCs/>
        </w:rPr>
        <w:t xml:space="preserve">Overseas Filipino cash remittances by country, by source</w:t>
      </w:r>
      <w:r>
        <w:rPr>
          <w:rFonts w:ascii="Times New Roman" w:hAnsi="Times New Roman" w:cs="Times New Roman"/>
        </w:rPr>
        <w:t xml:space="preserve">. https://www.bsp.gov.ph/statistics/external/ofw2.aspx</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Bangko Sentral ng Pilipinas. (2026b). </w:t>
      </w:r>
      <w:r>
        <w:rPr>
          <w:rFonts w:ascii="Times New Roman" w:hAnsi="Times New Roman" w:cs="Times New Roman"/>
          <w:i/>
          <w:iCs/>
        </w:rPr>
        <w:t xml:space="preserve">Philippine peso per US dollar exchange rate</w:t>
      </w:r>
      <w:r>
        <w:rPr>
          <w:rFonts w:ascii="Times New Roman" w:hAnsi="Times New Roman" w:cs="Times New Roman"/>
        </w:rPr>
        <w:t xml:space="preserve"> [Data set]. https://www.bsp.gov.ph/sitepages/statistics/exchangerate.aspx</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Breiman, L. (2001). Random forests. </w:t>
      </w:r>
      <w:r>
        <w:rPr>
          <w:rFonts w:ascii="Times New Roman" w:hAnsi="Times New Roman" w:cs="Times New Roman"/>
          <w:i/>
          <w:iCs/>
        </w:rPr>
        <w:t xml:space="preserve">Machine Learning</w:t>
      </w:r>
      <w:r>
        <w:rPr>
          <w:rFonts w:ascii="Times New Roman" w:hAnsi="Times New Roman" w:cs="Times New Roman"/>
        </w:rPr>
        <w:t xml:space="preserve">, </w:t>
      </w:r>
      <w:r>
        <w:rPr>
          <w:rFonts w:ascii="Times New Roman" w:hAnsi="Times New Roman" w:cs="Times New Roman"/>
          <w:i/>
          <w:iCs/>
        </w:rPr>
        <w:t xml:space="preserve">45</w:t>
      </w:r>
      <w:r>
        <w:rPr>
          <w:rFonts w:ascii="Times New Roman" w:hAnsi="Times New Roman" w:cs="Times New Roman"/>
        </w:rPr>
        <w:t xml:space="preserve">(1), 5–32. https://doi.org/10.1023/A:1010933404324</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Chen, T., &amp; Guestrin, C. (2016). XGBoost: A scalable tree boosting system. In </w:t>
      </w:r>
      <w:r>
        <w:rPr>
          <w:rFonts w:ascii="Times New Roman" w:hAnsi="Times New Roman" w:cs="Times New Roman"/>
          <w:i/>
          <w:iCs/>
        </w:rPr>
        <w:t xml:space="preserve">Proceedings of the 22nd ACM SIGKDD International Conference on Knowledge Discovery and Data Mining</w:t>
      </w:r>
      <w:r>
        <w:rPr>
          <w:rFonts w:ascii="Times New Roman" w:hAnsi="Times New Roman" w:cs="Times New Roman"/>
        </w:rPr>
        <w:t xml:space="preserve"> (pp. 785–794). ACM. https://doi.org/10.1145/2939672.2939785</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Hyndman, R. J., &amp; Athanasopoulos, G. (2021). </w:t>
      </w:r>
      <w:r>
        <w:rPr>
          <w:rFonts w:ascii="Times New Roman" w:hAnsi="Times New Roman" w:cs="Times New Roman"/>
          <w:i/>
          <w:iCs/>
        </w:rPr>
        <w:t xml:space="preserve">Forecasting: Principles and practice</w:t>
      </w:r>
      <w:r>
        <w:rPr>
          <w:rFonts w:ascii="Times New Roman" w:hAnsi="Times New Roman" w:cs="Times New Roman"/>
        </w:rPr>
        <w:t xml:space="preserve"> (3rd ed.). OTexts. https://otexts.com/fpp3/</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i/>
          <w:iCs/>
        </w:rPr>
        <w:t xml:space="preserve">Journal of Machine Learning Research</w:t>
      </w:r>
      <w:r>
        <w:rPr>
          <w:rFonts w:ascii="Times New Roman" w:hAnsi="Times New Roman" w:cs="Times New Roman"/>
        </w:rPr>
        <w:t xml:space="preserve">, </w:t>
      </w:r>
      <w:r>
        <w:rPr>
          <w:rFonts w:ascii="Times New Roman" w:hAnsi="Times New Roman" w:cs="Times New Roman"/>
          <w:i/>
          <w:iCs/>
        </w:rPr>
        <w:t xml:space="preserve">12</w:t>
      </w:r>
      <w:r>
        <w:rPr>
          <w:rFonts w:ascii="Times New Roman" w:hAnsi="Times New Roman" w:cs="Times New Roman"/>
        </w:rPr>
        <w:t xml:space="preserve">, 2825–2830. https://jmlr.org/papers/v12/pedregosa11a.html</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Philippine Statistics Authority. (2025). </w:t>
      </w:r>
      <w:r>
        <w:rPr>
          <w:rFonts w:ascii="Times New Roman" w:hAnsi="Times New Roman" w:cs="Times New Roman"/>
          <w:i/>
          <w:iCs/>
        </w:rPr>
        <w:t xml:space="preserve">Survey on Overseas Filipinos: 2024</w:t>
      </w:r>
      <w:r>
        <w:rPr>
          <w:rFonts w:ascii="Times New Roman" w:hAnsi="Times New Roman" w:cs="Times New Roman"/>
        </w:rPr>
        <w:t xml:space="preserve">. https://psa.gov.ph/statistics/survey/labor-and-employment/survey-overseas-filipinos</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Philippine Statistics Authority. (2026). </w:t>
      </w:r>
      <w:r>
        <w:rPr>
          <w:rFonts w:ascii="Times New Roman" w:hAnsi="Times New Roman" w:cs="Times New Roman"/>
          <w:i/>
          <w:iCs/>
        </w:rPr>
        <w:t xml:space="preserve">Year-on-year changes of the consumer price index in percent by commodity group (2018=100): January 2019 – August 2026</w:t>
      </w:r>
      <w:r>
        <w:rPr>
          <w:rFonts w:ascii="Times New Roman" w:hAnsi="Times New Roman" w:cs="Times New Roman"/>
        </w:rPr>
        <w:t xml:space="preserve"> [Data set]. OpenSTAT. https://openstat.psa.gov.ph/PXWeb/pxweb/en/DB/DB__2M__PI__CPI__2018NEW/0012M4ACP23.px</w:t>
      </w:r>
    </w:p>
    <w:p xmlns:a="http://schemas.openxmlformats.org/drawingml/2006/main" xmlns:pic="http://schemas.openxmlformats.org/drawingml/2006/picture">
      <w:pPr>
        <w:spacing w:line="240" w:lineRule="auto"/>
        <w:jc w:val="both"/>
        <w:rPr>
          <w:rFonts w:ascii="Times New Roman" w:hAnsi="Times New Roman" w:cs="Times New Roman"/>
        </w:rPr>
      </w:pPr>
    </w:p>
    <w:p xmlns:a="http://schemas.openxmlformats.org/drawingml/2006/main" xmlns:pic="http://schemas.openxmlformats.org/drawingml/2006/picture">
      <w:pPr>
        <w:spacing w:line="276" w:lineRule="auto"/>
        <w:ind w:left="720" w:hanging="720"/>
        <w:jc w:val="left"/>
        <w:rPr>
          <w:rFonts w:ascii="Times New Roman" w:hAnsi="Times New Roman" w:cs="Times New Roman"/>
        </w:rPr>
      </w:pPr>
      <w:r>
        <w:rPr>
          <w:rFonts w:ascii="Times New Roman" w:hAnsi="Times New Roman" w:cs="Times New Roman"/>
        </w:rPr>
        <w:t xml:space="preserve">Seabold, S., &amp; Perktold, J. (2010). Statsmodels: Econometric and statistical modeling with Python. In S. van der Walt &amp; J. Millman (Eds.), </w:t>
      </w:r>
      <w:r>
        <w:rPr>
          <w:rFonts w:ascii="Times New Roman" w:hAnsi="Times New Roman" w:cs="Times New Roman"/>
          <w:i/>
          <w:iCs/>
        </w:rPr>
        <w:t xml:space="preserve">Proceedings of the 9th Python in Science Conference</w:t>
      </w:r>
      <w:r>
        <w:rPr>
          <w:rFonts w:ascii="Times New Roman" w:hAnsi="Times New Roman" w:cs="Times New Roman"/>
        </w:rPr>
        <w:t xml:space="preserve"> (pp. 92–96). https://doi.org/10.25080/Majora-92bf1922-011</w:t>
      </w:r>
    </w:p>
    <w:p xmlns:a="http://schemas.openxmlformats.org/drawingml/2006/main" xmlns:pic="http://schemas.openxmlformats.org/drawingml/2006/picture">
      <w:pPr>
        <w:spacing w:line="240" w:lineRule="auto"/>
        <w:jc w:val="both"/>
        <w:rPr>
          <w:rFonts w:ascii="Times New Roman" w:hAnsi="Times New Roman" w:cs="Times New Roman"/>
        </w:rPr>
      </w:pPr>
    </w:p>
    <w:p>
      <w:pPr>
        <w:spacing w:line="276" w:lineRule="auto"/>
        <w:ind w:left="720" w:hanging="720"/>
        <w:jc w:val="left"/>
        <w:rPr>
          <w:rFonts w:ascii="Times New Roman" w:hAnsi="Times New Roman" w:cs="Times New Roman"/>
        </w:rPr>
      </w:pPr>
      <w:r>
        <w:rPr>
          <w:rFonts w:ascii="Times New Roman" w:hAnsi="Times New Roman" w:cs="Times New Roman"/>
        </w:rPr>
        <w:t xml:space="preserve">Ta-Asan, K. (2026, February 17). Remittances reach record high $35.6 billion. </w:t>
      </w:r>
      <w:r>
        <w:rPr>
          <w:rFonts w:ascii="Times New Roman" w:hAnsi="Times New Roman" w:cs="Times New Roman"/>
          <w:i/>
          <w:iCs/>
        </w:rPr>
        <w:t xml:space="preserve">The Philippine Star</w:t>
      </w:r>
      <w:r>
        <w:rPr>
          <w:rFonts w:ascii="Times New Roman" w:hAnsi="Times New Roman" w:cs="Times New Roman"/>
        </w:rPr>
        <w:t xml:space="preserve">. https://www.philstar.com/business/2026/02/17/2508451/remittances-reach-record-high-356-billion</w:t>
      </w:r>
    </w:p>
    <w:p>
      <w:pPr>
        <w:spacing w:line="240" w:lineRule="auto"/>
        <w:jc w:val="both"/>
        <w:rPr>
          <w:rFonts w:ascii="Times New Roman" w:hAnsi="Times New Roman" w:cs="Times New Roman"/>
        </w:rPr>
      </w:pPr>
    </w:p>
    <w:sectPr w:rsidR="00CE7130" w:rsidRPr="00FA5066" w:rsidSect="00260DF7">
      <w:footerReference w:type="default" r:id="rId15"/>
      <w:pgSz w:w="12240" w:h="15840" w:code="1"/>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C609" w14:textId="77777777" w:rsidR="00901C74" w:rsidRDefault="00901C74" w:rsidP="00260DF7">
      <w:r>
        <w:separator/>
      </w:r>
    </w:p>
  </w:endnote>
  <w:endnote w:type="continuationSeparator" w:id="0">
    <w:p w14:paraId="2EC8FFC1" w14:textId="77777777" w:rsidR="00901C74" w:rsidRDefault="00901C74" w:rsidP="00260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default"/>
    <w:sig w:usb0="00000000" w:usb1="00000000" w:usb2="00000000" w:usb3="00000000" w:csb0="00040001" w:csb1="00000000"/>
  </w:font>
  <w:font w:name="NSimSun">
    <w:panose1 w:val="02010609030101010101"/>
    <w:charset w:val="86"/>
    <w:family w:val="modern"/>
    <w:pitch w:val="fixed"/>
    <w:sig w:usb0="00000203" w:usb1="288F0000" w:usb2="00000016" w:usb3="00000000" w:csb0="00040001" w:csb1="00000000"/>
  </w:font>
  <w:font w:name="Arial Unicode MS">
    <w:altName w:val="Arial"/>
    <w:panose1 w:val="020B0604020202020204"/>
    <w:charset w:val="00"/>
    <w:family w:val="auto"/>
    <w:pitch w:val="default"/>
    <w:sig w:usb0="00000000" w:usb1="00000000" w:usb2="00000000" w:usb3="00000000" w:csb0="0004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B3E6" w14:textId="77777777" w:rsidR="00901C74" w:rsidRDefault="00901C74" w:rsidP="00260DF7">
      <w:r>
        <w:separator/>
      </w:r>
    </w:p>
  </w:footnote>
  <w:footnote w:type="continuationSeparator" w:id="0">
    <w:p w14:paraId="678B6594" w14:textId="77777777" w:rsidR="00901C74" w:rsidRDefault="00901C74" w:rsidP="00260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7158"/>
    <w:multiLevelType w:val="multilevel"/>
    <w:tmpl w:val="07B8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2F5A"/>
    <w:multiLevelType w:val="multilevel"/>
    <w:tmpl w:val="987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C519C"/>
    <w:multiLevelType w:val="hybridMultilevel"/>
    <w:tmpl w:val="248EBC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966EB3"/>
    <w:multiLevelType w:val="multilevel"/>
    <w:tmpl w:val="2EFA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9216F"/>
    <w:multiLevelType w:val="hybridMultilevel"/>
    <w:tmpl w:val="D77A1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9055616"/>
    <w:multiLevelType w:val="multilevel"/>
    <w:tmpl w:val="A37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B7B48"/>
    <w:multiLevelType w:val="multilevel"/>
    <w:tmpl w:val="A034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05446"/>
    <w:multiLevelType w:val="multilevel"/>
    <w:tmpl w:val="6C8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57C88"/>
    <w:multiLevelType w:val="multilevel"/>
    <w:tmpl w:val="6E6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7083B"/>
    <w:multiLevelType w:val="multilevel"/>
    <w:tmpl w:val="D58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81181"/>
    <w:multiLevelType w:val="multilevel"/>
    <w:tmpl w:val="495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70532"/>
    <w:multiLevelType w:val="multilevel"/>
    <w:tmpl w:val="1A7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F3616"/>
    <w:multiLevelType w:val="multilevel"/>
    <w:tmpl w:val="523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16251">
    <w:abstractNumId w:val="7"/>
  </w:num>
  <w:num w:numId="2" w16cid:durableId="1372461521">
    <w:abstractNumId w:val="10"/>
  </w:num>
  <w:num w:numId="3" w16cid:durableId="364212314">
    <w:abstractNumId w:val="5"/>
  </w:num>
  <w:num w:numId="4" w16cid:durableId="1230532965">
    <w:abstractNumId w:val="12"/>
  </w:num>
  <w:num w:numId="5" w16cid:durableId="1619527308">
    <w:abstractNumId w:val="8"/>
  </w:num>
  <w:num w:numId="6" w16cid:durableId="1070809703">
    <w:abstractNumId w:val="1"/>
  </w:num>
  <w:num w:numId="7" w16cid:durableId="213390245">
    <w:abstractNumId w:val="0"/>
  </w:num>
  <w:num w:numId="8" w16cid:durableId="1007102933">
    <w:abstractNumId w:val="9"/>
  </w:num>
  <w:num w:numId="9" w16cid:durableId="166094687">
    <w:abstractNumId w:val="11"/>
  </w:num>
  <w:num w:numId="10" w16cid:durableId="9718485">
    <w:abstractNumId w:val="6"/>
  </w:num>
  <w:num w:numId="11" w16cid:durableId="1530756100">
    <w:abstractNumId w:val="4"/>
  </w:num>
  <w:num w:numId="12" w16cid:durableId="751663392">
    <w:abstractNumId w:val="2"/>
  </w:num>
  <w:num w:numId="13" w16cid:durableId="421950246">
    <w:abstractNumId w:val="3"/>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44"/>
    <w:rsid w:val="00032EC9"/>
    <w:rsid w:val="00053C2D"/>
    <w:rsid w:val="00092E37"/>
    <w:rsid w:val="00093B2A"/>
    <w:rsid w:val="000B2017"/>
    <w:rsid w:val="00176672"/>
    <w:rsid w:val="002173D5"/>
    <w:rsid w:val="00236792"/>
    <w:rsid w:val="00260DF7"/>
    <w:rsid w:val="00267043"/>
    <w:rsid w:val="00271FA0"/>
    <w:rsid w:val="00504988"/>
    <w:rsid w:val="00542546"/>
    <w:rsid w:val="005473C1"/>
    <w:rsid w:val="005B4926"/>
    <w:rsid w:val="005E59D5"/>
    <w:rsid w:val="007C07CD"/>
    <w:rsid w:val="0081029D"/>
    <w:rsid w:val="008312DD"/>
    <w:rsid w:val="00851BC7"/>
    <w:rsid w:val="008B6084"/>
    <w:rsid w:val="00901C74"/>
    <w:rsid w:val="0090515A"/>
    <w:rsid w:val="00941E2E"/>
    <w:rsid w:val="00965E55"/>
    <w:rsid w:val="009B2D06"/>
    <w:rsid w:val="009F1494"/>
    <w:rsid w:val="00A4382E"/>
    <w:rsid w:val="00A94EA7"/>
    <w:rsid w:val="00AA2434"/>
    <w:rsid w:val="00B633B7"/>
    <w:rsid w:val="00BB32E0"/>
    <w:rsid w:val="00BC0E34"/>
    <w:rsid w:val="00C253B5"/>
    <w:rsid w:val="00C6174B"/>
    <w:rsid w:val="00C6469F"/>
    <w:rsid w:val="00C74B44"/>
    <w:rsid w:val="00CE7130"/>
    <w:rsid w:val="00D81A7A"/>
    <w:rsid w:val="00DC74BE"/>
    <w:rsid w:val="00EA4A0F"/>
    <w:rsid w:val="00F224E0"/>
    <w:rsid w:val="00F22688"/>
    <w:rsid w:val="00F44835"/>
    <w:rsid w:val="00FA50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3E8C"/>
  <w15:chartTrackingRefBased/>
  <w15:docId w15:val="{C90F0653-593F-4735-8EA7-6348FC7E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C6469F"/>
    <w:pPr>
      <w:suppressAutoHyphens/>
      <w:spacing w:after="0" w:line="240" w:lineRule="auto"/>
    </w:pPr>
    <w:rPr>
      <w:rFonts w:ascii="Liberation Serif" w:eastAsia="NSimSun" w:hAnsi="Liberation Serif" w:cs="Arial Unicode MS"/>
      <w:kern w:val="1"/>
      <w:sz w:val="24"/>
      <w:szCs w:val="24"/>
      <w:lang w:eastAsia="hi-IN" w:bidi="hi-IN"/>
      <w14:ligatures w14:val="none"/>
    </w:rPr>
  </w:style>
  <w:style w:type="paragraph" w:styleId="Heading1">
    <w:name w:val="heading 1"/>
    <w:basedOn w:val="Normal"/>
    <w:next w:val="Normal"/>
    <w:link w:val="Heading1Char"/>
    <w:uiPriority w:val="9"/>
    <w:qFormat/>
    <w:rsid w:val="00C74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4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B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B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B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B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4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B44"/>
    <w:rPr>
      <w:rFonts w:eastAsiaTheme="majorEastAsia" w:cstheme="majorBidi"/>
      <w:color w:val="272727" w:themeColor="text1" w:themeTint="D8"/>
    </w:rPr>
  </w:style>
  <w:style w:type="paragraph" w:styleId="Title">
    <w:name w:val="Title"/>
    <w:basedOn w:val="Normal"/>
    <w:next w:val="Normal"/>
    <w:link w:val="TitleChar"/>
    <w:uiPriority w:val="10"/>
    <w:qFormat/>
    <w:rsid w:val="00C74B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B44"/>
    <w:pPr>
      <w:spacing w:before="160"/>
      <w:jc w:val="center"/>
    </w:pPr>
    <w:rPr>
      <w:i/>
      <w:iCs/>
      <w:color w:val="404040" w:themeColor="text1" w:themeTint="BF"/>
    </w:rPr>
  </w:style>
  <w:style w:type="character" w:customStyle="1" w:styleId="QuoteChar">
    <w:name w:val="Quote Char"/>
    <w:basedOn w:val="DefaultParagraphFont"/>
    <w:link w:val="Quote"/>
    <w:uiPriority w:val="29"/>
    <w:rsid w:val="00C74B44"/>
    <w:rPr>
      <w:i/>
      <w:iCs/>
      <w:color w:val="404040" w:themeColor="text1" w:themeTint="BF"/>
    </w:rPr>
  </w:style>
  <w:style w:type="paragraph" w:styleId="ListParagraph">
    <w:name w:val="List Paragraph"/>
    <w:basedOn w:val="Normal"/>
    <w:uiPriority w:val="34"/>
    <w:qFormat/>
    <w:rsid w:val="00C74B44"/>
    <w:pPr>
      <w:ind w:left="720"/>
      <w:contextualSpacing/>
    </w:pPr>
  </w:style>
  <w:style w:type="character" w:styleId="IntenseEmphasis">
    <w:name w:val="Intense Emphasis"/>
    <w:basedOn w:val="DefaultParagraphFont"/>
    <w:uiPriority w:val="21"/>
    <w:qFormat/>
    <w:rsid w:val="00C74B44"/>
    <w:rPr>
      <w:i/>
      <w:iCs/>
      <w:color w:val="0F4761" w:themeColor="accent1" w:themeShade="BF"/>
    </w:rPr>
  </w:style>
  <w:style w:type="paragraph" w:styleId="IntenseQuote">
    <w:name w:val="Intense Quote"/>
    <w:basedOn w:val="Normal"/>
    <w:next w:val="Normal"/>
    <w:link w:val="IntenseQuoteChar"/>
    <w:uiPriority w:val="30"/>
    <w:qFormat/>
    <w:rsid w:val="00C74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B44"/>
    <w:rPr>
      <w:i/>
      <w:iCs/>
      <w:color w:val="0F4761" w:themeColor="accent1" w:themeShade="BF"/>
    </w:rPr>
  </w:style>
  <w:style w:type="character" w:styleId="IntenseReference">
    <w:name w:val="Intense Reference"/>
    <w:basedOn w:val="DefaultParagraphFont"/>
    <w:uiPriority w:val="32"/>
    <w:qFormat/>
    <w:rsid w:val="00C74B44"/>
    <w:rPr>
      <w:b/>
      <w:bCs/>
      <w:smallCaps/>
      <w:color w:val="0F4761" w:themeColor="accent1" w:themeShade="BF"/>
      <w:spacing w:val="5"/>
    </w:rPr>
  </w:style>
  <w:style w:type="paragraph" w:styleId="NormalWeb">
    <w:name w:val="Normal (Web)"/>
    <w:basedOn w:val="Normal"/>
    <w:uiPriority w:val="99"/>
    <w:semiHidden/>
    <w:unhideWhenUsed/>
    <w:rsid w:val="00965E55"/>
    <w:rPr>
      <w:rFonts w:ascii="Times New Roman" w:hAnsi="Times New Roman" w:cs="Mangal"/>
      <w:szCs w:val="21"/>
    </w:rPr>
  </w:style>
  <w:style w:type="paragraph" w:styleId="Caption">
    <w:name w:val="caption"/>
    <w:aliases w:val="Manuscript Caption"/>
    <w:basedOn w:val="Normal"/>
    <w:next w:val="Normal"/>
    <w:uiPriority w:val="35"/>
    <w:unhideWhenUsed/>
    <w:qFormat/>
    <w:rsid w:val="00EA4A0F"/>
    <w:pPr>
      <w:suppressAutoHyphens w:val="0"/>
      <w:spacing w:before="120" w:after="120"/>
      <w:jc w:val="center"/>
    </w:pPr>
    <w:rPr>
      <w:rFonts w:ascii="Times New Roman" w:eastAsiaTheme="minorHAnsi" w:hAnsi="Times New Roman" w:cs="Arial"/>
      <w:i/>
      <w:iCs/>
      <w:color w:val="000000" w:themeColor="text1"/>
      <w:kern w:val="2"/>
      <w:szCs w:val="18"/>
      <w:lang w:eastAsia="en-US" w:bidi="ar-SA"/>
      <w14:ligatures w14:val="standardContextual"/>
    </w:rPr>
  </w:style>
  <w:style w:type="paragraph" w:styleId="TOCHeading">
    <w:name w:val="TOC Heading"/>
    <w:basedOn w:val="Heading1"/>
    <w:next w:val="Normal"/>
    <w:uiPriority w:val="39"/>
    <w:unhideWhenUsed/>
    <w:qFormat/>
    <w:rsid w:val="00FA5066"/>
    <w:pPr>
      <w:suppressAutoHyphens w:val="0"/>
      <w:spacing w:before="240" w:after="0" w:line="259" w:lineRule="auto"/>
      <w:outlineLvl w:val="9"/>
    </w:pPr>
    <w:rPr>
      <w:kern w:val="0"/>
      <w:sz w:val="32"/>
      <w:szCs w:val="32"/>
      <w:lang w:val="en-US" w:eastAsia="en-US" w:bidi="ar-SA"/>
    </w:rPr>
  </w:style>
  <w:style w:type="paragraph" w:styleId="TOC1">
    <w:name w:val="toc 1"/>
    <w:basedOn w:val="Normal"/>
    <w:next w:val="Normal"/>
    <w:autoRedefine/>
    <w:uiPriority w:val="39"/>
    <w:unhideWhenUsed/>
    <w:rsid w:val="00FA5066"/>
    <w:pPr>
      <w:spacing w:after="100"/>
    </w:pPr>
    <w:rPr>
      <w:rFonts w:cs="Mangal"/>
      <w:szCs w:val="21"/>
    </w:rPr>
  </w:style>
  <w:style w:type="paragraph" w:styleId="TOC2">
    <w:name w:val="toc 2"/>
    <w:basedOn w:val="Normal"/>
    <w:next w:val="Normal"/>
    <w:autoRedefine/>
    <w:uiPriority w:val="39"/>
    <w:unhideWhenUsed/>
    <w:rsid w:val="00FA5066"/>
    <w:pPr>
      <w:spacing w:after="100"/>
      <w:ind w:left="240"/>
    </w:pPr>
    <w:rPr>
      <w:rFonts w:cs="Mangal"/>
      <w:szCs w:val="21"/>
    </w:rPr>
  </w:style>
  <w:style w:type="character" w:styleId="Hyperlink">
    <w:name w:val="Hyperlink"/>
    <w:basedOn w:val="DefaultParagraphFont"/>
    <w:uiPriority w:val="99"/>
    <w:unhideWhenUsed/>
    <w:rsid w:val="00FA5066"/>
    <w:rPr>
      <w:color w:val="467886" w:themeColor="hyperlink"/>
      <w:u w:val="single"/>
    </w:rPr>
  </w:style>
  <w:style w:type="character" w:styleId="UnresolvedMention">
    <w:name w:val="Unresolved Mention"/>
    <w:basedOn w:val="DefaultParagraphFont"/>
    <w:uiPriority w:val="99"/>
    <w:semiHidden/>
    <w:unhideWhenUsed/>
    <w:rsid w:val="007C07CD"/>
    <w:rPr>
      <w:color w:val="605E5C"/>
      <w:shd w:val="clear" w:color="auto" w:fill="E1DFDD"/>
    </w:rPr>
  </w:style>
  <w:style w:type="paragraph" w:styleId="Header">
    <w:name w:val="header"/>
    <w:basedOn w:val="Normal"/>
    <w:link w:val="HeaderChar"/>
    <w:uiPriority w:val="99"/>
    <w:unhideWhenUsed/>
    <w:rsid w:val="00260DF7"/>
    <w:pPr>
      <w:tabs>
        <w:tab w:val="center" w:pos="4680"/>
        <w:tab w:val="right" w:pos="9360"/>
      </w:tabs>
    </w:pPr>
    <w:rPr>
      <w:rFonts w:cs="Mangal"/>
      <w:szCs w:val="21"/>
    </w:rPr>
  </w:style>
  <w:style w:type="character" w:customStyle="1" w:styleId="HeaderChar">
    <w:name w:val="Header Char"/>
    <w:basedOn w:val="DefaultParagraphFont"/>
    <w:link w:val="Header"/>
    <w:uiPriority w:val="99"/>
    <w:rsid w:val="00260DF7"/>
    <w:rPr>
      <w:rFonts w:ascii="Liberation Serif" w:eastAsia="NSimSun" w:hAnsi="Liberation Serif" w:cs="Mangal"/>
      <w:kern w:val="1"/>
      <w:sz w:val="24"/>
      <w:szCs w:val="21"/>
      <w:lang w:eastAsia="hi-IN" w:bidi="hi-IN"/>
      <w14:ligatures w14:val="none"/>
    </w:rPr>
  </w:style>
  <w:style w:type="paragraph" w:styleId="Footer">
    <w:name w:val="footer"/>
    <w:basedOn w:val="Normal"/>
    <w:link w:val="FooterChar"/>
    <w:uiPriority w:val="99"/>
    <w:unhideWhenUsed/>
    <w:rsid w:val="00260DF7"/>
    <w:pPr>
      <w:tabs>
        <w:tab w:val="center" w:pos="4680"/>
        <w:tab w:val="right" w:pos="9360"/>
      </w:tabs>
    </w:pPr>
    <w:rPr>
      <w:rFonts w:cs="Mangal"/>
      <w:szCs w:val="21"/>
    </w:rPr>
  </w:style>
  <w:style w:type="character" w:customStyle="1" w:styleId="FooterChar">
    <w:name w:val="Footer Char"/>
    <w:basedOn w:val="DefaultParagraphFont"/>
    <w:link w:val="Footer"/>
    <w:uiPriority w:val="99"/>
    <w:rsid w:val="00260DF7"/>
    <w:rPr>
      <w:rFonts w:ascii="Liberation Serif" w:eastAsia="NSimSun" w:hAnsi="Liberation Serif" w:cs="Mangal"/>
      <w:kern w:val="1"/>
      <w:sz w:val="24"/>
      <w:szCs w:val="21"/>
      <w:lang w:eastAsia="hi-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5080/Majora-92bf1922-0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a.gov.ph/statistics/survey/labor-and-employment/survey-overseas-filipinos" TargetMode="External"/><Relationship Id="rId5" Type="http://schemas.openxmlformats.org/officeDocument/2006/relationships/webSettings" Target="webSettings.xml"/><Relationship Id="rId10" Type="http://schemas.openxmlformats.org/officeDocument/2006/relationships/hyperlink" Target="https://otexts.com/fpp3/" TargetMode="External"/><Relationship Id="rId4" Type="http://schemas.openxmlformats.org/officeDocument/2006/relationships/settings" Target="settings.xml"/><Relationship Id="rId9" Type="http://schemas.openxmlformats.org/officeDocument/2006/relationships/hyperlink" Target="https://www.bsp.gov.ph/statistics/external/ofw2.aspx" TargetMode="Externa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C7BA7-BFEF-45D0-9C5D-43F99E316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14</Pages>
  <Words>3854</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Priencethom Guyo</dc:creator>
  <cp:keywords/>
  <dc:description/>
  <cp:lastModifiedBy>Priencethom Guyo</cp:lastModifiedBy>
  <cp:revision>16</cp:revision>
  <cp:lastPrinted>2026-09-13T07:32:00Z</cp:lastPrinted>
  <dcterms:created xsi:type="dcterms:W3CDTF">2026-08-23T13:39:00Z</dcterms:created>
  <dcterms:modified xsi:type="dcterms:W3CDTF">2026-09-13T07:51:00Z</dcterms:modified>
</cp:coreProperties>
</file>