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344E1" w14:textId="77777777" w:rsidR="008C4349" w:rsidRDefault="00AE7045" w:rsidP="001C1A41">
      <w:pPr>
        <w:spacing w:line="360" w:lineRule="auto"/>
        <w:jc w:val="center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sz w:val="22"/>
          <w:szCs w:val="22"/>
        </w:rPr>
        <w:t>[title]</w:t>
      </w:r>
      <w:r w:rsidR="008C4349">
        <w:rPr>
          <w:rFonts w:ascii="Times New Roman" w:hAnsi="Times New Roman" w:cs="Times New Roman"/>
          <w:sz w:val="22"/>
          <w:szCs w:val="22"/>
        </w:rPr>
        <w:t>Introduction</w:t>
      </w:r>
    </w:p>
    <w:p w14:paraId="26A61A45" w14:textId="77777777" w:rsidR="00AE7045" w:rsidRDefault="00AE7045" w:rsidP="001C1A41">
      <w:pPr>
        <w:spacing w:line="36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[author]</w:t>
      </w:r>
      <w:r w:rsidR="003C67AA" w:rsidRPr="003C67AA">
        <w:rPr>
          <w:rFonts w:ascii="Times New Roman" w:hAnsi="Times New Roman" w:cs="Times New Roman"/>
          <w:bCs/>
        </w:rPr>
        <w:t>Jens Daehner</w:t>
      </w:r>
    </w:p>
    <w:p w14:paraId="4D4A9B30" w14:textId="77777777" w:rsidR="00AE7045" w:rsidRDefault="00AE7045" w:rsidP="001C1A41">
      <w:pPr>
        <w:spacing w:line="36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[affiliation]J. Paul Getty Museum</w:t>
      </w:r>
      <w:r w:rsidR="003C67AA" w:rsidRPr="003C67AA">
        <w:rPr>
          <w:rFonts w:ascii="Times New Roman" w:hAnsi="Times New Roman" w:cs="Times New Roman"/>
          <w:bCs/>
        </w:rPr>
        <w:t xml:space="preserve"> </w:t>
      </w:r>
    </w:p>
    <w:p w14:paraId="42305D46" w14:textId="77777777" w:rsidR="00AE7045" w:rsidRDefault="00AE7045" w:rsidP="001C1A41">
      <w:pPr>
        <w:spacing w:line="36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[author]</w:t>
      </w:r>
      <w:r w:rsidR="003C67AA" w:rsidRPr="003C67AA">
        <w:rPr>
          <w:rFonts w:ascii="Times New Roman" w:hAnsi="Times New Roman" w:cs="Times New Roman"/>
          <w:bCs/>
        </w:rPr>
        <w:t>Kenneth Lapatin</w:t>
      </w:r>
    </w:p>
    <w:p w14:paraId="5477224A" w14:textId="77777777" w:rsidR="00AE7045" w:rsidRDefault="00AE7045" w:rsidP="00AE7045">
      <w:pPr>
        <w:spacing w:line="36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[affiliation]J. Paul Getty Museum</w:t>
      </w:r>
      <w:r w:rsidRPr="003C67AA">
        <w:rPr>
          <w:rFonts w:ascii="Times New Roman" w:hAnsi="Times New Roman" w:cs="Times New Roman"/>
          <w:bCs/>
        </w:rPr>
        <w:t xml:space="preserve"> </w:t>
      </w:r>
    </w:p>
    <w:p w14:paraId="796B653E" w14:textId="77777777" w:rsidR="00AE7045" w:rsidRDefault="00AE7045" w:rsidP="00AE704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[author]</w:t>
      </w:r>
      <w:r w:rsidR="003C67AA">
        <w:rPr>
          <w:rFonts w:ascii="Times New Roman" w:hAnsi="Times New Roman" w:cs="Times New Roman"/>
        </w:rPr>
        <w:t>Ambra Spinelli</w:t>
      </w:r>
    </w:p>
    <w:p w14:paraId="2817FF19" w14:textId="77777777" w:rsidR="003C67AA" w:rsidRPr="003C67AA" w:rsidRDefault="00AE7045" w:rsidP="00AE704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[affiliation]University of Southern California</w:t>
      </w:r>
      <w:r w:rsidR="003C67AA" w:rsidRPr="003C67AA">
        <w:rPr>
          <w:rFonts w:ascii="Times New Roman" w:hAnsi="Times New Roman" w:cs="Times New Roman"/>
        </w:rPr>
        <w:br/>
      </w:r>
    </w:p>
    <w:p w14:paraId="3BA23A6C" w14:textId="77777777" w:rsidR="003C67AA" w:rsidRPr="00DE2A88" w:rsidRDefault="003C67AA" w:rsidP="009F46C7">
      <w:pPr>
        <w:spacing w:line="360" w:lineRule="auto"/>
        <w:rPr>
          <w:rFonts w:ascii="Times New Roman" w:hAnsi="Times New Roman" w:cs="Times New Roman"/>
        </w:rPr>
      </w:pPr>
      <w:r w:rsidRPr="00DE2A88">
        <w:rPr>
          <w:rFonts w:ascii="Times New Roman" w:hAnsi="Times New Roman" w:cs="Times New Roman"/>
        </w:rPr>
        <w:t>Building on a distinguished tradition, the 1</w:t>
      </w:r>
      <w:r w:rsidR="00AE7045">
        <w:rPr>
          <w:rFonts w:ascii="Times New Roman" w:hAnsi="Times New Roman" w:cs="Times New Roman"/>
        </w:rPr>
        <w:t>9th</w:t>
      </w:r>
      <w:r w:rsidRPr="00DE2A88">
        <w:rPr>
          <w:rFonts w:ascii="Times New Roman" w:hAnsi="Times New Roman" w:cs="Times New Roman"/>
        </w:rPr>
        <w:t xml:space="preserve"> International Congress </w:t>
      </w:r>
      <w:r>
        <w:rPr>
          <w:rFonts w:ascii="Times New Roman" w:hAnsi="Times New Roman" w:cs="Times New Roman"/>
        </w:rPr>
        <w:t>on</w:t>
      </w:r>
      <w:r w:rsidRPr="00DE2A88">
        <w:rPr>
          <w:rFonts w:ascii="Times New Roman" w:hAnsi="Times New Roman" w:cs="Times New Roman"/>
        </w:rPr>
        <w:t xml:space="preserve"> Ancient Bronzes </w:t>
      </w:r>
      <w:r>
        <w:rPr>
          <w:rFonts w:ascii="Times New Roman" w:hAnsi="Times New Roman" w:cs="Times New Roman"/>
        </w:rPr>
        <w:t>convened</w:t>
      </w:r>
      <w:r w:rsidRPr="00DE2A88">
        <w:rPr>
          <w:rFonts w:ascii="Times New Roman" w:hAnsi="Times New Roman" w:cs="Times New Roman"/>
        </w:rPr>
        <w:t xml:space="preserve"> in Los Angeles between October 13 and 17, 2015. Organized by the J. Paul Getty Museum in conjunction with the Getty Conservation Institute, this </w:t>
      </w:r>
      <w:r>
        <w:rPr>
          <w:rFonts w:ascii="Times New Roman" w:hAnsi="Times New Roman" w:cs="Times New Roman"/>
        </w:rPr>
        <w:t>meeting</w:t>
      </w:r>
      <w:r w:rsidRPr="00DE2A88">
        <w:rPr>
          <w:rFonts w:ascii="Times New Roman" w:hAnsi="Times New Roman" w:cs="Times New Roman"/>
        </w:rPr>
        <w:t xml:space="preserve"> of more than 150 attendees </w:t>
      </w:r>
      <w:r w:rsidR="008C4349">
        <w:rPr>
          <w:rFonts w:ascii="Times New Roman" w:hAnsi="Times New Roman" w:cs="Times New Roman"/>
        </w:rPr>
        <w:t>was held</w:t>
      </w:r>
      <w:r w:rsidRPr="00DE2A88">
        <w:rPr>
          <w:rFonts w:ascii="Times New Roman" w:hAnsi="Times New Roman" w:cs="Times New Roman"/>
        </w:rPr>
        <w:t xml:space="preserve"> at the Getty Center in Brentwood and the Getty Villa in Malibu.</w:t>
      </w:r>
      <w:r w:rsidR="000C4557">
        <w:rPr>
          <w:rFonts w:ascii="Times New Roman" w:hAnsi="Times New Roman" w:cs="Times New Roman"/>
        </w:rPr>
        <w:t xml:space="preserve"> </w:t>
      </w:r>
      <w:r w:rsidRPr="00DE2A88">
        <w:rPr>
          <w:rFonts w:ascii="Times New Roman" w:hAnsi="Times New Roman" w:cs="Times New Roman"/>
        </w:rPr>
        <w:t xml:space="preserve">Over </w:t>
      </w:r>
      <w:r w:rsidR="000C4557">
        <w:rPr>
          <w:rFonts w:ascii="Times New Roman" w:hAnsi="Times New Roman" w:cs="Times New Roman"/>
        </w:rPr>
        <w:t>5</w:t>
      </w:r>
      <w:r w:rsidR="000C4557" w:rsidRPr="00DE2A88">
        <w:rPr>
          <w:rFonts w:ascii="Times New Roman" w:hAnsi="Times New Roman" w:cs="Times New Roman"/>
        </w:rPr>
        <w:t xml:space="preserve"> </w:t>
      </w:r>
      <w:r w:rsidRPr="00DE2A88">
        <w:rPr>
          <w:rFonts w:ascii="Times New Roman" w:hAnsi="Times New Roman" w:cs="Times New Roman"/>
        </w:rPr>
        <w:t xml:space="preserve">days, 116 presenters from </w:t>
      </w:r>
      <w:r w:rsidR="008C4349">
        <w:rPr>
          <w:rFonts w:ascii="Times New Roman" w:hAnsi="Times New Roman" w:cs="Times New Roman"/>
        </w:rPr>
        <w:t>24</w:t>
      </w:r>
      <w:r w:rsidRPr="00DE2A88">
        <w:rPr>
          <w:rFonts w:ascii="Times New Roman" w:hAnsi="Times New Roman" w:cs="Times New Roman"/>
        </w:rPr>
        <w:t xml:space="preserve"> countries participated in 11 sessions, delivering 49 papers, </w:t>
      </w:r>
      <w:r w:rsidR="00AE7045">
        <w:rPr>
          <w:rFonts w:ascii="Times New Roman" w:hAnsi="Times New Roman" w:cs="Times New Roman"/>
        </w:rPr>
        <w:t>3</w:t>
      </w:r>
      <w:r w:rsidR="00AE7045" w:rsidRPr="00DE2A88">
        <w:rPr>
          <w:rFonts w:ascii="Times New Roman" w:hAnsi="Times New Roman" w:cs="Times New Roman"/>
        </w:rPr>
        <w:t xml:space="preserve"> </w:t>
      </w:r>
      <w:r w:rsidRPr="00DE2A88">
        <w:rPr>
          <w:rFonts w:ascii="Times New Roman" w:hAnsi="Times New Roman" w:cs="Times New Roman"/>
        </w:rPr>
        <w:t xml:space="preserve">keynote addresses, </w:t>
      </w:r>
      <w:r>
        <w:rPr>
          <w:rFonts w:ascii="Times New Roman" w:hAnsi="Times New Roman" w:cs="Times New Roman"/>
        </w:rPr>
        <w:t xml:space="preserve">and </w:t>
      </w:r>
      <w:r w:rsidR="00AE7045">
        <w:rPr>
          <w:rFonts w:ascii="Times New Roman" w:hAnsi="Times New Roman" w:cs="Times New Roman"/>
        </w:rPr>
        <w:t>1</w:t>
      </w:r>
      <w:r w:rsidR="00AE7045" w:rsidRPr="00DE2A88">
        <w:rPr>
          <w:rFonts w:ascii="Times New Roman" w:hAnsi="Times New Roman" w:cs="Times New Roman"/>
        </w:rPr>
        <w:t xml:space="preserve"> </w:t>
      </w:r>
      <w:r w:rsidRPr="00DE2A88">
        <w:rPr>
          <w:rFonts w:ascii="Times New Roman" w:hAnsi="Times New Roman" w:cs="Times New Roman"/>
        </w:rPr>
        <w:t xml:space="preserve">public lecture, as well as 19 posters </w:t>
      </w:r>
      <w:r w:rsidR="0021119F">
        <w:rPr>
          <w:rFonts w:ascii="Times New Roman" w:hAnsi="Times New Roman" w:cs="Times New Roman"/>
        </w:rPr>
        <w:t>discu</w:t>
      </w:r>
      <w:r>
        <w:rPr>
          <w:rFonts w:ascii="Times New Roman" w:hAnsi="Times New Roman" w:cs="Times New Roman"/>
        </w:rPr>
        <w:t>ssing diverse</w:t>
      </w:r>
      <w:r w:rsidRPr="00DE2A88">
        <w:rPr>
          <w:rFonts w:ascii="Times New Roman" w:hAnsi="Times New Roman" w:cs="Times New Roman"/>
        </w:rPr>
        <w:t xml:space="preserve"> aspects of ancient bronze production and its modern reception. </w:t>
      </w:r>
      <w:r>
        <w:rPr>
          <w:rFonts w:ascii="Times New Roman" w:hAnsi="Times New Roman" w:cs="Times New Roman"/>
        </w:rPr>
        <w:t xml:space="preserve">Contributors included archaeologists, art historians, </w:t>
      </w:r>
      <w:r w:rsidR="009F5BAA">
        <w:rPr>
          <w:rFonts w:ascii="Times New Roman" w:hAnsi="Times New Roman" w:cs="Times New Roman"/>
        </w:rPr>
        <w:t xml:space="preserve">historians, </w:t>
      </w:r>
      <w:r>
        <w:rPr>
          <w:rFonts w:ascii="Times New Roman" w:hAnsi="Times New Roman" w:cs="Times New Roman"/>
        </w:rPr>
        <w:t xml:space="preserve">curators, conservators, scientists, philologists, and experts in cultural heritage. </w:t>
      </w:r>
    </w:p>
    <w:p w14:paraId="59A820FE" w14:textId="77777777" w:rsidR="003C67AA" w:rsidRPr="00DE2A88" w:rsidRDefault="003C67AA" w:rsidP="009F46C7">
      <w:pPr>
        <w:spacing w:line="360" w:lineRule="auto"/>
        <w:rPr>
          <w:rFonts w:ascii="Times New Roman" w:hAnsi="Times New Roman" w:cs="Times New Roman"/>
          <w:color w:val="262626"/>
        </w:rPr>
      </w:pPr>
      <w:r w:rsidRPr="00DE2A88">
        <w:rPr>
          <w:rFonts w:ascii="Times New Roman" w:hAnsi="Times New Roman" w:cs="Times New Roman"/>
        </w:rPr>
        <w:t xml:space="preserve">The Congress was timed to </w:t>
      </w:r>
      <w:r w:rsidR="009F5BAA">
        <w:rPr>
          <w:rFonts w:ascii="Times New Roman" w:hAnsi="Times New Roman" w:cs="Times New Roman"/>
        </w:rPr>
        <w:t>coincide</w:t>
      </w:r>
      <w:r w:rsidRPr="00DE2A88">
        <w:rPr>
          <w:rFonts w:ascii="Times New Roman" w:hAnsi="Times New Roman" w:cs="Times New Roman"/>
        </w:rPr>
        <w:t xml:space="preserve"> with the Getty’s presentation of </w:t>
      </w:r>
      <w:r w:rsidRPr="00DE2A88">
        <w:rPr>
          <w:rFonts w:ascii="Times New Roman" w:hAnsi="Times New Roman" w:cs="Times New Roman"/>
          <w:i/>
        </w:rPr>
        <w:t>Power and Pathos: Bronze Sculpture of the Hellenistic World</w:t>
      </w:r>
      <w:r w:rsidRPr="00DE2A8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an </w:t>
      </w:r>
      <w:r w:rsidRPr="00DE2A88">
        <w:rPr>
          <w:rFonts w:ascii="Times New Roman" w:hAnsi="Times New Roman" w:cs="Times New Roman"/>
        </w:rPr>
        <w:t xml:space="preserve">international loan exhibition </w:t>
      </w:r>
      <w:r>
        <w:rPr>
          <w:rFonts w:ascii="Times New Roman" w:hAnsi="Times New Roman" w:cs="Times New Roman"/>
        </w:rPr>
        <w:t xml:space="preserve">that </w:t>
      </w:r>
      <w:r w:rsidRPr="00DE2A88">
        <w:rPr>
          <w:rFonts w:ascii="Times New Roman" w:hAnsi="Times New Roman" w:cs="Times New Roman"/>
        </w:rPr>
        <w:t xml:space="preserve">had previously opened at the Palazzo Strozzi in Florence in March 2015 and subsequently traveled to the National Gallery of Art in Washington, DC, closing </w:t>
      </w:r>
      <w:r>
        <w:rPr>
          <w:rFonts w:ascii="Times New Roman" w:hAnsi="Times New Roman" w:cs="Times New Roman"/>
        </w:rPr>
        <w:t xml:space="preserve">in </w:t>
      </w:r>
      <w:r w:rsidRPr="00DE2A88">
        <w:rPr>
          <w:rFonts w:ascii="Times New Roman" w:hAnsi="Times New Roman" w:cs="Times New Roman"/>
        </w:rPr>
        <w:t>March 2016.</w:t>
      </w:r>
      <w:r>
        <w:rPr>
          <w:rFonts w:ascii="Times New Roman" w:hAnsi="Times New Roman" w:cs="Times New Roman"/>
        </w:rPr>
        <w:t xml:space="preserve"> </w:t>
      </w:r>
      <w:r w:rsidRPr="00DE2A88">
        <w:rPr>
          <w:rFonts w:ascii="Times New Roman" w:hAnsi="Times New Roman" w:cs="Times New Roman"/>
        </w:rPr>
        <w:t xml:space="preserve">The exhibition was unprecedented, bringing together </w:t>
      </w:r>
      <w:r>
        <w:rPr>
          <w:rFonts w:ascii="Times New Roman" w:hAnsi="Times New Roman" w:cs="Times New Roman"/>
        </w:rPr>
        <w:t>rare ancient bronzes</w:t>
      </w:r>
      <w:r w:rsidRPr="00DE2A88">
        <w:rPr>
          <w:rFonts w:ascii="Times New Roman" w:hAnsi="Times New Roman" w:cs="Times New Roman"/>
        </w:rPr>
        <w:t xml:space="preserve"> from 34 museums in 13 countries on 4 continents. Focusing on bronze as a medium of artistic innovation in the period </w:t>
      </w:r>
      <w:r w:rsidRPr="00DE2A88">
        <w:rPr>
          <w:rFonts w:ascii="Times New Roman" w:hAnsi="Times New Roman" w:cs="Times New Roman"/>
          <w:color w:val="262626"/>
        </w:rPr>
        <w:t xml:space="preserve">between the death of Alexander the Great in 323 BC and the establishment of the Roman Empire in 31 BC, </w:t>
      </w:r>
      <w:r>
        <w:rPr>
          <w:rFonts w:ascii="Times New Roman" w:hAnsi="Times New Roman" w:cs="Times New Roman"/>
          <w:color w:val="262626"/>
        </w:rPr>
        <w:t>it</w:t>
      </w:r>
      <w:r w:rsidRPr="00DE2A88">
        <w:rPr>
          <w:rFonts w:ascii="Times New Roman" w:hAnsi="Times New Roman" w:cs="Times New Roman"/>
          <w:color w:val="262626"/>
        </w:rPr>
        <w:t xml:space="preserve"> explored how sculptors</w:t>
      </w:r>
      <w:r>
        <w:rPr>
          <w:rFonts w:ascii="Times New Roman" w:hAnsi="Times New Roman" w:cs="Times New Roman"/>
          <w:color w:val="262626"/>
        </w:rPr>
        <w:t xml:space="preserve"> </w:t>
      </w:r>
      <w:r w:rsidRPr="00DE2A88">
        <w:rPr>
          <w:rFonts w:ascii="Times New Roman" w:hAnsi="Times New Roman" w:cs="Times New Roman"/>
          <w:color w:val="262626"/>
        </w:rPr>
        <w:t xml:space="preserve">moved beyond Classical norms, supplementing traditional subjects and idealized forms with </w:t>
      </w:r>
      <w:r>
        <w:rPr>
          <w:rFonts w:ascii="Times New Roman" w:hAnsi="Times New Roman" w:cs="Times New Roman"/>
          <w:color w:val="262626"/>
        </w:rPr>
        <w:t>naturalistic</w:t>
      </w:r>
      <w:r w:rsidRPr="00DE2A88">
        <w:rPr>
          <w:rFonts w:ascii="Times New Roman" w:hAnsi="Times New Roman" w:cs="Times New Roman"/>
          <w:color w:val="262626"/>
        </w:rPr>
        <w:t xml:space="preserve"> renderings of physical and emotional states, dynamic compositions, dazzling displays of the nude body, and graphic expressions of age and character. Divided into six sections</w:t>
      </w:r>
      <w:r w:rsidR="00AE7045">
        <w:rPr>
          <w:rFonts w:ascii="Times New Roman" w:hAnsi="Times New Roman" w:cs="Times New Roman"/>
          <w:color w:val="262626"/>
        </w:rPr>
        <w:t>—</w:t>
      </w:r>
      <w:r>
        <w:rPr>
          <w:rFonts w:ascii="Times New Roman" w:hAnsi="Times New Roman" w:cs="Times New Roman"/>
          <w:color w:val="262626"/>
        </w:rPr>
        <w:t>images of rulers</w:t>
      </w:r>
      <w:r w:rsidR="00AE7045">
        <w:rPr>
          <w:rFonts w:ascii="Times New Roman" w:hAnsi="Times New Roman" w:cs="Times New Roman"/>
          <w:color w:val="262626"/>
        </w:rPr>
        <w:t>; images</w:t>
      </w:r>
      <w:r>
        <w:rPr>
          <w:rFonts w:ascii="Times New Roman" w:hAnsi="Times New Roman" w:cs="Times New Roman"/>
          <w:color w:val="262626"/>
        </w:rPr>
        <w:t xml:space="preserve"> of gods</w:t>
      </w:r>
      <w:r w:rsidR="00AE7045">
        <w:rPr>
          <w:rFonts w:ascii="Times New Roman" w:hAnsi="Times New Roman" w:cs="Times New Roman"/>
          <w:color w:val="262626"/>
        </w:rPr>
        <w:t>;</w:t>
      </w:r>
      <w:r>
        <w:rPr>
          <w:rFonts w:ascii="Times New Roman" w:hAnsi="Times New Roman" w:cs="Times New Roman"/>
          <w:color w:val="262626"/>
        </w:rPr>
        <w:t xml:space="preserve"> the representation of the human body</w:t>
      </w:r>
      <w:r w:rsidR="00AE7045">
        <w:rPr>
          <w:rFonts w:ascii="Times New Roman" w:hAnsi="Times New Roman" w:cs="Times New Roman"/>
          <w:color w:val="262626"/>
        </w:rPr>
        <w:t>;</w:t>
      </w:r>
      <w:r>
        <w:rPr>
          <w:rFonts w:ascii="Times New Roman" w:hAnsi="Times New Roman" w:cs="Times New Roman"/>
          <w:color w:val="262626"/>
        </w:rPr>
        <w:t xml:space="preserve"> portraiture</w:t>
      </w:r>
      <w:r w:rsidR="00383625">
        <w:rPr>
          <w:rFonts w:ascii="Times New Roman" w:hAnsi="Times New Roman" w:cs="Times New Roman"/>
          <w:color w:val="262626"/>
        </w:rPr>
        <w:t xml:space="preserve"> and expression</w:t>
      </w:r>
      <w:r w:rsidR="00AE7045">
        <w:rPr>
          <w:rFonts w:ascii="Times New Roman" w:hAnsi="Times New Roman" w:cs="Times New Roman"/>
          <w:color w:val="262626"/>
        </w:rPr>
        <w:t>;</w:t>
      </w:r>
      <w:r>
        <w:rPr>
          <w:rFonts w:ascii="Times New Roman" w:hAnsi="Times New Roman" w:cs="Times New Roman"/>
          <w:color w:val="262626"/>
        </w:rPr>
        <w:t xml:space="preserve"> replication</w:t>
      </w:r>
      <w:r w:rsidR="00AE7045">
        <w:rPr>
          <w:rFonts w:ascii="Times New Roman" w:hAnsi="Times New Roman" w:cs="Times New Roman"/>
          <w:color w:val="262626"/>
        </w:rPr>
        <w:t>;</w:t>
      </w:r>
      <w:r>
        <w:rPr>
          <w:rFonts w:ascii="Times New Roman" w:hAnsi="Times New Roman" w:cs="Times New Roman"/>
          <w:color w:val="262626"/>
        </w:rPr>
        <w:t xml:space="preserve"> and retrospective styles</w:t>
      </w:r>
      <w:r w:rsidR="00AE7045">
        <w:rPr>
          <w:rFonts w:ascii="Times New Roman" w:hAnsi="Times New Roman" w:cs="Times New Roman"/>
          <w:color w:val="262626"/>
        </w:rPr>
        <w:t>—</w:t>
      </w:r>
      <w:r w:rsidRPr="00DE2A88">
        <w:rPr>
          <w:rFonts w:ascii="Times New Roman" w:hAnsi="Times New Roman" w:cs="Times New Roman"/>
          <w:bCs/>
        </w:rPr>
        <w:t>the exhibition</w:t>
      </w:r>
      <w:r w:rsidRPr="00DE2A88">
        <w:rPr>
          <w:rFonts w:ascii="Times New Roman" w:hAnsi="Times New Roman" w:cs="Times New Roman"/>
          <w:color w:val="262626"/>
        </w:rPr>
        <w:t xml:space="preserve"> featured </w:t>
      </w:r>
      <w:r>
        <w:rPr>
          <w:rFonts w:ascii="Times New Roman" w:hAnsi="Times New Roman" w:cs="Times New Roman"/>
          <w:color w:val="262626"/>
        </w:rPr>
        <w:t xml:space="preserve">exciting </w:t>
      </w:r>
      <w:r w:rsidRPr="00DE2A88">
        <w:rPr>
          <w:rFonts w:ascii="Times New Roman" w:hAnsi="Times New Roman" w:cs="Times New Roman"/>
          <w:color w:val="262626"/>
        </w:rPr>
        <w:t xml:space="preserve">new </w:t>
      </w:r>
      <w:r>
        <w:rPr>
          <w:rFonts w:ascii="Times New Roman" w:hAnsi="Times New Roman" w:cs="Times New Roman"/>
          <w:color w:val="262626"/>
        </w:rPr>
        <w:t>finds</w:t>
      </w:r>
      <w:r w:rsidRPr="00DE2A88">
        <w:rPr>
          <w:rFonts w:ascii="Times New Roman" w:hAnsi="Times New Roman" w:cs="Times New Roman"/>
          <w:color w:val="262626"/>
        </w:rPr>
        <w:t xml:space="preserve"> recovered from recent excavations on both land and </w:t>
      </w:r>
      <w:r>
        <w:rPr>
          <w:rFonts w:ascii="Times New Roman" w:hAnsi="Times New Roman" w:cs="Times New Roman"/>
          <w:color w:val="262626"/>
        </w:rPr>
        <w:t>sea</w:t>
      </w:r>
      <w:r w:rsidRPr="00DE2A88">
        <w:rPr>
          <w:rFonts w:ascii="Times New Roman" w:hAnsi="Times New Roman" w:cs="Times New Roman"/>
          <w:color w:val="262626"/>
        </w:rPr>
        <w:t xml:space="preserve"> alongside famous works known for centuries, allowing for the first time significant opportunities for comparative viewing of these </w:t>
      </w:r>
      <w:r>
        <w:rPr>
          <w:rFonts w:ascii="Times New Roman" w:hAnsi="Times New Roman" w:cs="Times New Roman"/>
          <w:color w:val="262626"/>
        </w:rPr>
        <w:t xml:space="preserve">extraordinary </w:t>
      </w:r>
      <w:r w:rsidRPr="00DE2A88">
        <w:rPr>
          <w:rFonts w:ascii="Times New Roman" w:hAnsi="Times New Roman" w:cs="Times New Roman"/>
          <w:color w:val="262626"/>
        </w:rPr>
        <w:t xml:space="preserve">works. </w:t>
      </w:r>
    </w:p>
    <w:p w14:paraId="22068F5C" w14:textId="77777777" w:rsidR="003C67AA" w:rsidRPr="00DE2A88" w:rsidRDefault="003C67AA" w:rsidP="009F46C7">
      <w:pPr>
        <w:spacing w:line="360" w:lineRule="auto"/>
        <w:rPr>
          <w:rFonts w:ascii="Times New Roman" w:hAnsi="Times New Roman" w:cs="Times New Roman"/>
          <w:color w:val="262626"/>
        </w:rPr>
      </w:pPr>
    </w:p>
    <w:p w14:paraId="70B68327" w14:textId="77777777" w:rsidR="003C67AA" w:rsidRPr="00DE2A88" w:rsidRDefault="003C67AA" w:rsidP="009F46C7">
      <w:pPr>
        <w:spacing w:line="360" w:lineRule="auto"/>
        <w:rPr>
          <w:rFonts w:ascii="Times New Roman" w:hAnsi="Times New Roman" w:cs="Times New Roman"/>
          <w:color w:val="262626"/>
        </w:rPr>
      </w:pPr>
      <w:r w:rsidRPr="00DE2A88">
        <w:rPr>
          <w:rFonts w:ascii="Times New Roman" w:hAnsi="Times New Roman" w:cs="Times New Roman"/>
          <w:color w:val="262626"/>
        </w:rPr>
        <w:t xml:space="preserve">Many of the </w:t>
      </w:r>
      <w:r>
        <w:rPr>
          <w:rFonts w:ascii="Times New Roman" w:hAnsi="Times New Roman" w:cs="Times New Roman"/>
          <w:color w:val="262626"/>
        </w:rPr>
        <w:t>sculptures</w:t>
      </w:r>
      <w:r w:rsidRPr="00DE2A88">
        <w:rPr>
          <w:rFonts w:ascii="Times New Roman" w:hAnsi="Times New Roman" w:cs="Times New Roman"/>
          <w:color w:val="262626"/>
        </w:rPr>
        <w:t xml:space="preserve"> in the exhibition were the subject of papers presented at the Congress (and now published here), and Congress participants</w:t>
      </w:r>
      <w:r>
        <w:rPr>
          <w:rFonts w:ascii="Times New Roman" w:hAnsi="Times New Roman" w:cs="Times New Roman"/>
          <w:color w:val="262626"/>
        </w:rPr>
        <w:t xml:space="preserve"> also</w:t>
      </w:r>
      <w:r w:rsidRPr="00DE2A88">
        <w:rPr>
          <w:rFonts w:ascii="Times New Roman" w:hAnsi="Times New Roman" w:cs="Times New Roman"/>
          <w:color w:val="262626"/>
        </w:rPr>
        <w:t xml:space="preserve"> took advantage of multiple vi</w:t>
      </w:r>
      <w:r>
        <w:rPr>
          <w:rFonts w:ascii="Times New Roman" w:hAnsi="Times New Roman" w:cs="Times New Roman"/>
          <w:color w:val="262626"/>
        </w:rPr>
        <w:t xml:space="preserve">sits, both formal and informal, to </w:t>
      </w:r>
      <w:r w:rsidR="000C4557">
        <w:rPr>
          <w:rFonts w:ascii="Times New Roman" w:hAnsi="Times New Roman" w:cs="Times New Roman"/>
          <w:color w:val="262626"/>
        </w:rPr>
        <w:t xml:space="preserve">the </w:t>
      </w:r>
      <w:r w:rsidRPr="00DE2A88">
        <w:rPr>
          <w:rFonts w:ascii="Times New Roman" w:hAnsi="Times New Roman" w:cs="Times New Roman"/>
          <w:color w:val="262626"/>
        </w:rPr>
        <w:t>Getty and other Southern California collections</w:t>
      </w:r>
      <w:r>
        <w:rPr>
          <w:rFonts w:ascii="Times New Roman" w:hAnsi="Times New Roman" w:cs="Times New Roman"/>
          <w:color w:val="262626"/>
        </w:rPr>
        <w:t xml:space="preserve">, as well as </w:t>
      </w:r>
      <w:r w:rsidRPr="00DE2A88">
        <w:rPr>
          <w:rFonts w:ascii="Times New Roman" w:hAnsi="Times New Roman" w:cs="Times New Roman"/>
          <w:color w:val="262626"/>
        </w:rPr>
        <w:t xml:space="preserve">the exhibition </w:t>
      </w:r>
      <w:r>
        <w:rPr>
          <w:rFonts w:ascii="Times New Roman" w:hAnsi="Times New Roman" w:cs="Times New Roman"/>
          <w:color w:val="262626"/>
        </w:rPr>
        <w:t>itself</w:t>
      </w:r>
      <w:r w:rsidRPr="00DE2A88">
        <w:rPr>
          <w:rFonts w:ascii="Times New Roman" w:hAnsi="Times New Roman" w:cs="Times New Roman"/>
          <w:color w:val="262626"/>
        </w:rPr>
        <w:t xml:space="preserve">. A special excursion was arranged to the Norton Simon Museum in Pasadena and the </w:t>
      </w:r>
      <w:r w:rsidRPr="00DE2A88">
        <w:rPr>
          <w:rFonts w:ascii="Times New Roman" w:hAnsi="Times New Roman" w:cs="Times New Roman"/>
          <w:color w:val="1A1A1A"/>
        </w:rPr>
        <w:t>Huntington Library, Art Collections and Botanical Gardens</w:t>
      </w:r>
      <w:r w:rsidRPr="00DE2A88">
        <w:rPr>
          <w:rFonts w:ascii="Times New Roman" w:hAnsi="Times New Roman" w:cs="Times New Roman"/>
          <w:color w:val="262626"/>
        </w:rPr>
        <w:t xml:space="preserve"> in </w:t>
      </w:r>
      <w:r>
        <w:rPr>
          <w:rFonts w:ascii="Times New Roman" w:hAnsi="Times New Roman" w:cs="Times New Roman"/>
          <w:color w:val="262626"/>
        </w:rPr>
        <w:t xml:space="preserve">nearby </w:t>
      </w:r>
      <w:r w:rsidRPr="00DE2A88">
        <w:rPr>
          <w:rFonts w:ascii="Times New Roman" w:hAnsi="Times New Roman" w:cs="Times New Roman"/>
          <w:color w:val="262626"/>
        </w:rPr>
        <w:t>San Marino.</w:t>
      </w:r>
    </w:p>
    <w:p w14:paraId="24D25AFE" w14:textId="77777777" w:rsidR="003C67AA" w:rsidRPr="00DE2A88" w:rsidRDefault="003C67AA" w:rsidP="009F46C7">
      <w:pPr>
        <w:pStyle w:val="NormalWeb"/>
        <w:spacing w:line="360" w:lineRule="auto"/>
      </w:pPr>
      <w:r w:rsidRPr="00DE2A88">
        <w:rPr>
          <w:color w:val="262626"/>
        </w:rPr>
        <w:t xml:space="preserve">The Congress, of course, was in no way limited </w:t>
      </w:r>
      <w:r>
        <w:rPr>
          <w:color w:val="262626"/>
        </w:rPr>
        <w:t>to</w:t>
      </w:r>
      <w:r w:rsidRPr="00DE2A88">
        <w:rPr>
          <w:color w:val="262626"/>
        </w:rPr>
        <w:t xml:space="preserve"> the themes of the exhibition, with its emphasis on Hellenistic sculpture. As at previous </w:t>
      </w:r>
      <w:r>
        <w:rPr>
          <w:color w:val="262626"/>
        </w:rPr>
        <w:t>meetings</w:t>
      </w:r>
      <w:r w:rsidRPr="00DE2A88">
        <w:rPr>
          <w:color w:val="262626"/>
        </w:rPr>
        <w:t xml:space="preserve">, </w:t>
      </w:r>
      <w:r w:rsidRPr="00DE2A88">
        <w:t>aspects of technology and production, analytical work regarding casting cores, alloys, joins, and patinas</w:t>
      </w:r>
      <w:r>
        <w:t>—all of which have</w:t>
      </w:r>
      <w:r w:rsidRPr="00DE2A88">
        <w:t xml:space="preserve"> significantly advanced our understanding of materials, processes, and techniques involved in this medium</w:t>
      </w:r>
      <w:r>
        <w:t>—</w:t>
      </w:r>
      <w:r w:rsidRPr="00DE2A88">
        <w:t xml:space="preserve">were addressed. </w:t>
      </w:r>
      <w:r>
        <w:t>Also treated were</w:t>
      </w:r>
      <w:r w:rsidRPr="00DE2A88">
        <w:t xml:space="preserve"> larger historiographical issues, such as how technical scholarship has impacted our understanding of bronzes within t</w:t>
      </w:r>
      <w:r>
        <w:t>he wider history of ancient art.</w:t>
      </w:r>
      <w:r w:rsidRPr="00DE2A88">
        <w:t xml:space="preserve"> How do these technical data relate to our ideas of styl</w:t>
      </w:r>
      <w:r>
        <w:t xml:space="preserve">es and development? How has </w:t>
      </w:r>
      <w:r w:rsidRPr="00DE2A88">
        <w:t>bronze</w:t>
      </w:r>
      <w:r>
        <w:t xml:space="preserve"> as a material</w:t>
      </w:r>
      <w:r w:rsidRPr="00DE2A88">
        <w:t xml:space="preserve"> affected ancient and modern perceptions of form, value, and </w:t>
      </w:r>
      <w:r>
        <w:t xml:space="preserve">the </w:t>
      </w:r>
      <w:r w:rsidRPr="00DE2A88">
        <w:t xml:space="preserve">status of works of art? </w:t>
      </w:r>
    </w:p>
    <w:p w14:paraId="34F98470" w14:textId="77777777" w:rsidR="00065336" w:rsidRDefault="003C67AA" w:rsidP="009F46C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8C4349">
        <w:rPr>
          <w:rFonts w:ascii="Times New Roman" w:hAnsi="Times New Roman" w:cs="Times New Roman"/>
        </w:rPr>
        <w:t>se</w:t>
      </w:r>
      <w:r>
        <w:rPr>
          <w:rFonts w:ascii="Times New Roman" w:hAnsi="Times New Roman" w:cs="Times New Roman"/>
        </w:rPr>
        <w:t xml:space="preserve"> proceedings are organized along the structure and themes of the Congress itself. For mostly pragmatic reasons</w:t>
      </w:r>
      <w:r w:rsidR="000A2A9E" w:rsidRPr="000A2A9E">
        <w:rPr>
          <w:rFonts w:ascii="Times New Roman" w:hAnsi="Times New Roman" w:cs="Times New Roman"/>
        </w:rPr>
        <w:t xml:space="preserve"> </w:t>
      </w:r>
      <w:r w:rsidR="000A2A9E">
        <w:rPr>
          <w:rFonts w:ascii="Times New Roman" w:hAnsi="Times New Roman" w:cs="Times New Roman"/>
        </w:rPr>
        <w:t>and to fit the requirements of the publishing format</w:t>
      </w:r>
      <w:r>
        <w:rPr>
          <w:rFonts w:ascii="Times New Roman" w:hAnsi="Times New Roman" w:cs="Times New Roman"/>
        </w:rPr>
        <w:t xml:space="preserve">, the sequence of sections and papers </w:t>
      </w:r>
      <w:r w:rsidR="00383625">
        <w:rPr>
          <w:rFonts w:ascii="Times New Roman" w:hAnsi="Times New Roman" w:cs="Times New Roman"/>
        </w:rPr>
        <w:t xml:space="preserve">during the meeting </w:t>
      </w:r>
      <w:r w:rsidR="004F7F93">
        <w:rPr>
          <w:rFonts w:ascii="Times New Roman" w:hAnsi="Times New Roman" w:cs="Times New Roman"/>
        </w:rPr>
        <w:t xml:space="preserve">has been </w:t>
      </w:r>
      <w:r w:rsidR="000A2A9E">
        <w:rPr>
          <w:rFonts w:ascii="Times New Roman" w:hAnsi="Times New Roman" w:cs="Times New Roman"/>
        </w:rPr>
        <w:t xml:space="preserve">somewhat </w:t>
      </w:r>
      <w:r>
        <w:rPr>
          <w:rFonts w:ascii="Times New Roman" w:hAnsi="Times New Roman" w:cs="Times New Roman"/>
        </w:rPr>
        <w:t>modified</w:t>
      </w:r>
      <w:r w:rsidR="000A2A9E">
        <w:rPr>
          <w:rFonts w:ascii="Times New Roman" w:hAnsi="Times New Roman" w:cs="Times New Roman"/>
        </w:rPr>
        <w:t>.</w:t>
      </w:r>
      <w:r w:rsidR="00AE7045">
        <w:rPr>
          <w:rStyle w:val="EndnoteReference"/>
          <w:rFonts w:ascii="Times New Roman" w:hAnsi="Times New Roman" w:cs="Times New Roman"/>
        </w:rPr>
        <w:endnoteReference w:id="1"/>
      </w:r>
      <w:r>
        <w:rPr>
          <w:rFonts w:ascii="Times New Roman" w:hAnsi="Times New Roman" w:cs="Times New Roman"/>
        </w:rPr>
        <w:t xml:space="preserve"> </w:t>
      </w:r>
      <w:r w:rsidR="00DA60D4">
        <w:rPr>
          <w:rFonts w:ascii="Times New Roman" w:hAnsi="Times New Roman" w:cs="Times New Roman"/>
        </w:rPr>
        <w:t>Where individual papers are referenced</w:t>
      </w:r>
      <w:r w:rsidR="00AE7045">
        <w:rPr>
          <w:rFonts w:ascii="Times New Roman" w:hAnsi="Times New Roman" w:cs="Times New Roman"/>
        </w:rPr>
        <w:t>,</w:t>
      </w:r>
      <w:r w:rsidR="00DA60D4">
        <w:rPr>
          <w:rFonts w:ascii="Times New Roman" w:hAnsi="Times New Roman" w:cs="Times New Roman"/>
        </w:rPr>
        <w:t xml:space="preserve"> they are identified by number</w:t>
      </w:r>
      <w:r w:rsidR="000A2A9E">
        <w:rPr>
          <w:rFonts w:ascii="Times New Roman" w:hAnsi="Times New Roman" w:cs="Times New Roman"/>
        </w:rPr>
        <w:t>.</w:t>
      </w:r>
    </w:p>
    <w:p w14:paraId="635A7F12" w14:textId="77777777" w:rsidR="000A2A9E" w:rsidRPr="00D07E71" w:rsidRDefault="000A2A9E" w:rsidP="009F46C7">
      <w:pPr>
        <w:spacing w:line="360" w:lineRule="auto"/>
        <w:rPr>
          <w:rFonts w:ascii="Times New Roman" w:hAnsi="Times New Roman" w:cs="Times New Roman"/>
        </w:rPr>
      </w:pPr>
    </w:p>
    <w:p w14:paraId="21C9D332" w14:textId="77777777" w:rsidR="006372B9" w:rsidRPr="00AE7045" w:rsidRDefault="00AE7045" w:rsidP="009F46C7">
      <w:pPr>
        <w:tabs>
          <w:tab w:val="left" w:pos="2079"/>
        </w:tabs>
        <w:spacing w:line="360" w:lineRule="auto"/>
        <w:rPr>
          <w:rFonts w:ascii="Times New Roman" w:eastAsia="LTSyntax Regular" w:hAnsi="Times New Roman" w:cs="Times New Roman"/>
          <w:bCs/>
          <w:color w:val="000000" w:themeColor="text1"/>
        </w:rPr>
      </w:pPr>
      <w:r>
        <w:rPr>
          <w:rFonts w:ascii="Times New Roman" w:eastAsia="LTSyntax Regular" w:hAnsi="Times New Roman" w:cs="Times New Roman"/>
          <w:bCs/>
          <w:color w:val="000000" w:themeColor="text1"/>
        </w:rPr>
        <w:t>[A-head]</w:t>
      </w:r>
      <w:r w:rsidR="00313A67" w:rsidRPr="00313A67">
        <w:rPr>
          <w:rFonts w:ascii="Times New Roman" w:eastAsia="LTSyntax Regular" w:hAnsi="Times New Roman" w:cs="Times New Roman"/>
          <w:bCs/>
          <w:color w:val="000000" w:themeColor="text1"/>
        </w:rPr>
        <w:t>Large-</w:t>
      </w:r>
      <w:r>
        <w:rPr>
          <w:rFonts w:ascii="Times New Roman" w:eastAsia="LTSyntax Regular" w:hAnsi="Times New Roman" w:cs="Times New Roman"/>
          <w:bCs/>
          <w:color w:val="000000" w:themeColor="text1"/>
        </w:rPr>
        <w:t>s</w:t>
      </w:r>
      <w:r w:rsidR="00313A67" w:rsidRPr="00313A67">
        <w:rPr>
          <w:rFonts w:ascii="Times New Roman" w:eastAsia="LTSyntax Regular" w:hAnsi="Times New Roman" w:cs="Times New Roman"/>
          <w:bCs/>
          <w:color w:val="000000" w:themeColor="text1"/>
        </w:rPr>
        <w:t xml:space="preserve">cale Bronzes </w:t>
      </w:r>
    </w:p>
    <w:p w14:paraId="56B7F017" w14:textId="77777777" w:rsidR="000C4557" w:rsidRDefault="000C4557" w:rsidP="009F46C7">
      <w:pPr>
        <w:tabs>
          <w:tab w:val="left" w:pos="2079"/>
        </w:tabs>
        <w:spacing w:line="360" w:lineRule="auto"/>
        <w:rPr>
          <w:rFonts w:ascii="Times New Roman" w:eastAsia="LTSyntax Regular" w:hAnsi="Times New Roman" w:cs="Times New Roman"/>
          <w:bCs/>
          <w:color w:val="000000" w:themeColor="text1"/>
        </w:rPr>
      </w:pPr>
    </w:p>
    <w:p w14:paraId="698294C5" w14:textId="77777777" w:rsidR="00F25CF5" w:rsidRPr="00D07E71" w:rsidRDefault="0064398C" w:rsidP="009F46C7">
      <w:pPr>
        <w:tabs>
          <w:tab w:val="left" w:pos="2079"/>
        </w:tabs>
        <w:spacing w:line="360" w:lineRule="auto"/>
        <w:rPr>
          <w:rFonts w:ascii="Times New Roman" w:eastAsia="LTSyntax Regular" w:hAnsi="Times New Roman" w:cs="Times New Roman"/>
          <w:bCs/>
          <w:color w:val="000000" w:themeColor="text1"/>
        </w:rPr>
      </w:pPr>
      <w:r w:rsidRPr="00D07E71">
        <w:rPr>
          <w:rFonts w:ascii="Times New Roman" w:eastAsia="LTSyntax Regular" w:hAnsi="Times New Roman" w:cs="Times New Roman"/>
          <w:bCs/>
          <w:color w:val="000000" w:themeColor="text1"/>
        </w:rPr>
        <w:t>With</w:t>
      </w:r>
      <w:r w:rsidR="00E85086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 the exhibition on Hellenistic b</w:t>
      </w:r>
      <w:r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ronze sculpture installed </w:t>
      </w:r>
      <w:r w:rsidR="004F7F93">
        <w:rPr>
          <w:rFonts w:ascii="Times New Roman" w:eastAsia="LTSyntax Regular" w:hAnsi="Times New Roman" w:cs="Times New Roman"/>
          <w:bCs/>
          <w:color w:val="000000" w:themeColor="text1"/>
        </w:rPr>
        <w:t>nearby</w:t>
      </w:r>
      <w:r w:rsidR="00AE7045">
        <w:rPr>
          <w:rFonts w:ascii="Times New Roman" w:eastAsia="LTSyntax Regular" w:hAnsi="Times New Roman" w:cs="Times New Roman"/>
          <w:bCs/>
          <w:color w:val="000000" w:themeColor="text1"/>
        </w:rPr>
        <w:t xml:space="preserve"> at the J. Paul Getty Museum</w:t>
      </w:r>
      <w:r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, large-scale bronzes received particular emphasis among the papers delivered, perhaps more than in previous congresses. In this first section, </w:t>
      </w:r>
      <w:r w:rsidR="004F7F93">
        <w:rPr>
          <w:rFonts w:ascii="Times New Roman" w:eastAsia="LTSyntax Regular" w:hAnsi="Times New Roman" w:cs="Times New Roman"/>
          <w:bCs/>
          <w:color w:val="000000" w:themeColor="text1"/>
        </w:rPr>
        <w:t>several</w:t>
      </w:r>
      <w:r w:rsidR="00E85086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 papers specifically addressed</w:t>
      </w:r>
      <w:r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 works present in the exhibition, such as the bronze athlete from Ephesos</w:t>
      </w:r>
      <w:r w:rsidR="00B35153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 (1)</w:t>
      </w:r>
      <w:r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, the head of a man with </w:t>
      </w:r>
      <w:r w:rsidRPr="00D07E71">
        <w:rPr>
          <w:rFonts w:ascii="Times New Roman" w:eastAsia="LTSyntax Regular" w:hAnsi="Times New Roman" w:cs="Times New Roman"/>
          <w:bCs/>
          <w:i/>
          <w:color w:val="000000" w:themeColor="text1"/>
        </w:rPr>
        <w:t>kausia</w:t>
      </w:r>
      <w:r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 from Kalymnos</w:t>
      </w:r>
      <w:r w:rsidR="00B35153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 (4)</w:t>
      </w:r>
      <w:r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, </w:t>
      </w:r>
      <w:r w:rsidR="004F7F93">
        <w:rPr>
          <w:rFonts w:ascii="Times New Roman" w:eastAsia="LTSyntax Regular" w:hAnsi="Times New Roman" w:cs="Times New Roman"/>
          <w:bCs/>
          <w:color w:val="000000" w:themeColor="text1"/>
        </w:rPr>
        <w:t>and</w:t>
      </w:r>
      <w:r w:rsidR="004F7F93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 </w:t>
      </w:r>
      <w:r w:rsidRPr="00D07E71">
        <w:rPr>
          <w:rFonts w:ascii="Times New Roman" w:eastAsia="LTSyntax Regular" w:hAnsi="Times New Roman" w:cs="Times New Roman"/>
          <w:bCs/>
          <w:color w:val="000000" w:themeColor="text1"/>
        </w:rPr>
        <w:t>the Apollo head from Salerno</w:t>
      </w:r>
      <w:r w:rsidR="00B35153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 (6)</w:t>
      </w:r>
      <w:r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. </w:t>
      </w:r>
      <w:r w:rsidR="004F7F93">
        <w:rPr>
          <w:rFonts w:ascii="Times New Roman" w:eastAsia="LTSyntax Regular" w:hAnsi="Times New Roman" w:cs="Times New Roman"/>
          <w:bCs/>
          <w:color w:val="000000" w:themeColor="text1"/>
        </w:rPr>
        <w:t>C</w:t>
      </w:r>
      <w:r w:rsidRPr="00D07E71">
        <w:rPr>
          <w:rFonts w:ascii="Times New Roman" w:eastAsia="LTSyntax Regular" w:hAnsi="Times New Roman" w:cs="Times New Roman"/>
          <w:bCs/>
          <w:color w:val="000000" w:themeColor="text1"/>
        </w:rPr>
        <w:t>ongress participants</w:t>
      </w:r>
      <w:r w:rsidR="004F7F93">
        <w:rPr>
          <w:rFonts w:ascii="Times New Roman" w:eastAsia="LTSyntax Regular" w:hAnsi="Times New Roman" w:cs="Times New Roman"/>
          <w:bCs/>
          <w:color w:val="000000" w:themeColor="text1"/>
        </w:rPr>
        <w:t xml:space="preserve"> subsequently</w:t>
      </w:r>
      <w:r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 continue</w:t>
      </w:r>
      <w:r w:rsidR="004F7F93">
        <w:rPr>
          <w:rFonts w:ascii="Times New Roman" w:eastAsia="LTSyntax Regular" w:hAnsi="Times New Roman" w:cs="Times New Roman"/>
          <w:bCs/>
          <w:color w:val="000000" w:themeColor="text1"/>
        </w:rPr>
        <w:t>d</w:t>
      </w:r>
      <w:r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 and deepen</w:t>
      </w:r>
      <w:r w:rsidR="004F7F93">
        <w:rPr>
          <w:rFonts w:ascii="Times New Roman" w:eastAsia="LTSyntax Regular" w:hAnsi="Times New Roman" w:cs="Times New Roman"/>
          <w:bCs/>
          <w:color w:val="000000" w:themeColor="text1"/>
        </w:rPr>
        <w:t>ed</w:t>
      </w:r>
      <w:r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 the discussions </w:t>
      </w:r>
      <w:r w:rsidR="004F7F93">
        <w:rPr>
          <w:rFonts w:ascii="Times New Roman" w:eastAsia="LTSyntax Regular" w:hAnsi="Times New Roman" w:cs="Times New Roman"/>
          <w:bCs/>
          <w:color w:val="000000" w:themeColor="text1"/>
        </w:rPr>
        <w:t>directly</w:t>
      </w:r>
      <w:r w:rsidR="004F7F93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 </w:t>
      </w:r>
      <w:r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in front of the objects, </w:t>
      </w:r>
      <w:r w:rsidR="004F7F93">
        <w:rPr>
          <w:rFonts w:ascii="Times New Roman" w:eastAsia="LTSyntax Regular" w:hAnsi="Times New Roman" w:cs="Times New Roman"/>
          <w:bCs/>
          <w:color w:val="000000" w:themeColor="text1"/>
        </w:rPr>
        <w:t>often</w:t>
      </w:r>
      <w:r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 with </w:t>
      </w:r>
      <w:r w:rsidR="00E85086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great enthusiasm. This was particularly productive, as </w:t>
      </w:r>
      <w:r w:rsidR="004F7F93">
        <w:rPr>
          <w:rFonts w:ascii="Times New Roman" w:eastAsia="LTSyntax Regular" w:hAnsi="Times New Roman" w:cs="Times New Roman"/>
          <w:bCs/>
          <w:color w:val="000000" w:themeColor="text1"/>
        </w:rPr>
        <w:t xml:space="preserve">many of </w:t>
      </w:r>
      <w:r w:rsidR="00E85086" w:rsidRPr="00D07E71">
        <w:rPr>
          <w:rFonts w:ascii="Times New Roman" w:eastAsia="LTSyntax Regular" w:hAnsi="Times New Roman" w:cs="Times New Roman"/>
          <w:bCs/>
          <w:color w:val="000000" w:themeColor="text1"/>
        </w:rPr>
        <w:t>the</w:t>
      </w:r>
      <w:r w:rsidR="004F7F93">
        <w:rPr>
          <w:rFonts w:ascii="Times New Roman" w:eastAsia="LTSyntax Regular" w:hAnsi="Times New Roman" w:cs="Times New Roman"/>
          <w:bCs/>
          <w:color w:val="000000" w:themeColor="text1"/>
        </w:rPr>
        <w:t>se</w:t>
      </w:r>
      <w:r w:rsidR="00E85086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 conversations involved the very experts in whose care these works </w:t>
      </w:r>
      <w:r w:rsidR="004F7F93">
        <w:rPr>
          <w:rFonts w:ascii="Times New Roman" w:eastAsia="LTSyntax Regular" w:hAnsi="Times New Roman" w:cs="Times New Roman"/>
          <w:bCs/>
          <w:color w:val="000000" w:themeColor="text1"/>
        </w:rPr>
        <w:t>are entrusted</w:t>
      </w:r>
      <w:r w:rsidR="00E85086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, including archaeologists, curators, and </w:t>
      </w:r>
      <w:r w:rsidR="00E85086" w:rsidRPr="00D07E71">
        <w:rPr>
          <w:rFonts w:ascii="Times New Roman" w:eastAsia="LTSyntax Regular" w:hAnsi="Times New Roman" w:cs="Times New Roman"/>
          <w:bCs/>
          <w:color w:val="000000" w:themeColor="text1"/>
        </w:rPr>
        <w:lastRenderedPageBreak/>
        <w:t xml:space="preserve">conservators. </w:t>
      </w:r>
      <w:r w:rsidR="005F5B2C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(In fact, </w:t>
      </w:r>
      <w:r w:rsidR="00AE7045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a significant factor for colleagues and their institutions in </w:t>
      </w:r>
      <w:r w:rsidR="00AE7045">
        <w:rPr>
          <w:rFonts w:ascii="Times New Roman" w:eastAsia="LTSyntax Regular" w:hAnsi="Times New Roman" w:cs="Times New Roman"/>
          <w:bCs/>
          <w:color w:val="000000" w:themeColor="text1"/>
        </w:rPr>
        <w:t>deciding</w:t>
      </w:r>
      <w:r w:rsidR="00AE7045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 to lend </w:t>
      </w:r>
      <w:r w:rsidR="00AE7045">
        <w:rPr>
          <w:rFonts w:ascii="Times New Roman" w:eastAsia="LTSyntax Regular" w:hAnsi="Times New Roman" w:cs="Times New Roman"/>
          <w:bCs/>
          <w:color w:val="000000" w:themeColor="text1"/>
        </w:rPr>
        <w:t xml:space="preserve">several of </w:t>
      </w:r>
      <w:r w:rsidR="00AE7045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these extraordinary </w:t>
      </w:r>
      <w:r w:rsidR="00AE7045">
        <w:rPr>
          <w:rFonts w:ascii="Times New Roman" w:eastAsia="LTSyntax Regular" w:hAnsi="Times New Roman" w:cs="Times New Roman"/>
          <w:bCs/>
          <w:color w:val="000000" w:themeColor="text1"/>
        </w:rPr>
        <w:t>objects</w:t>
      </w:r>
      <w:r w:rsidR="00AE7045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 to the </w:t>
      </w:r>
      <w:r w:rsidR="00AE7045">
        <w:rPr>
          <w:rFonts w:ascii="Times New Roman" w:eastAsia="LTSyntax Regular" w:hAnsi="Times New Roman" w:cs="Times New Roman"/>
          <w:bCs/>
          <w:color w:val="000000" w:themeColor="text1"/>
        </w:rPr>
        <w:t>exhibition was the coincidence of</w:t>
      </w:r>
      <w:r w:rsidR="00AE7045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 </w:t>
      </w:r>
      <w:r w:rsidR="005F5B2C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the </w:t>
      </w:r>
      <w:r w:rsidR="004F7F93">
        <w:rPr>
          <w:rFonts w:ascii="Times New Roman" w:eastAsia="LTSyntax Regular" w:hAnsi="Times New Roman" w:cs="Times New Roman"/>
          <w:bCs/>
          <w:color w:val="000000" w:themeColor="text1"/>
        </w:rPr>
        <w:t>C</w:t>
      </w:r>
      <w:r w:rsidR="005F5B2C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ongress </w:t>
      </w:r>
      <w:r w:rsidR="00AE7045">
        <w:rPr>
          <w:rFonts w:ascii="Times New Roman" w:eastAsia="LTSyntax Regular" w:hAnsi="Times New Roman" w:cs="Times New Roman"/>
          <w:bCs/>
          <w:color w:val="000000" w:themeColor="text1"/>
        </w:rPr>
        <w:t>with</w:t>
      </w:r>
      <w:r w:rsidR="005F5B2C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 the</w:t>
      </w:r>
      <w:r w:rsidR="004F7F93">
        <w:rPr>
          <w:rFonts w:ascii="Times New Roman" w:eastAsia="LTSyntax Regular" w:hAnsi="Times New Roman" w:cs="Times New Roman"/>
          <w:bCs/>
          <w:color w:val="000000" w:themeColor="text1"/>
        </w:rPr>
        <w:t xml:space="preserve"> </w:t>
      </w:r>
      <w:r w:rsidR="005F5B2C" w:rsidRPr="00D07E71">
        <w:rPr>
          <w:rFonts w:ascii="Times New Roman" w:eastAsia="LTSyntax Regular" w:hAnsi="Times New Roman" w:cs="Times New Roman"/>
          <w:bCs/>
          <w:color w:val="000000" w:themeColor="text1"/>
        </w:rPr>
        <w:t>exhibition</w:t>
      </w:r>
      <w:r w:rsidR="00AE7045">
        <w:rPr>
          <w:rFonts w:ascii="Times New Roman" w:eastAsia="LTSyntax Regular" w:hAnsi="Times New Roman" w:cs="Times New Roman"/>
          <w:bCs/>
          <w:color w:val="000000" w:themeColor="text1"/>
        </w:rPr>
        <w:t>,</w:t>
      </w:r>
      <w:r w:rsidR="005F5B2C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 </w:t>
      </w:r>
      <w:r w:rsidR="004F7F93">
        <w:rPr>
          <w:rFonts w:ascii="Times New Roman" w:eastAsia="LTSyntax Regular" w:hAnsi="Times New Roman" w:cs="Times New Roman"/>
          <w:bCs/>
          <w:color w:val="000000" w:themeColor="text1"/>
        </w:rPr>
        <w:t>providing</w:t>
      </w:r>
      <w:r w:rsidR="004F7F93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 </w:t>
      </w:r>
      <w:r w:rsidR="00AE7045">
        <w:rPr>
          <w:rFonts w:ascii="Times New Roman" w:eastAsia="LTSyntax Regular" w:hAnsi="Times New Roman" w:cs="Times New Roman"/>
          <w:bCs/>
          <w:color w:val="000000" w:themeColor="text1"/>
        </w:rPr>
        <w:t>unique</w:t>
      </w:r>
      <w:r w:rsidR="00AE7045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 </w:t>
      </w:r>
      <w:r w:rsidR="005F5B2C" w:rsidRPr="00D07E71">
        <w:rPr>
          <w:rFonts w:ascii="Times New Roman" w:eastAsia="LTSyntax Regular" w:hAnsi="Times New Roman" w:cs="Times New Roman"/>
          <w:bCs/>
          <w:color w:val="000000" w:themeColor="text1"/>
        </w:rPr>
        <w:t>opportunit</w:t>
      </w:r>
      <w:r w:rsidR="004F7F93">
        <w:rPr>
          <w:rFonts w:ascii="Times New Roman" w:eastAsia="LTSyntax Regular" w:hAnsi="Times New Roman" w:cs="Times New Roman"/>
          <w:bCs/>
          <w:color w:val="000000" w:themeColor="text1"/>
        </w:rPr>
        <w:t>ies</w:t>
      </w:r>
      <w:r w:rsidR="005F5B2C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 </w:t>
      </w:r>
      <w:r w:rsidR="004F7F93">
        <w:rPr>
          <w:rFonts w:ascii="Times New Roman" w:eastAsia="LTSyntax Regular" w:hAnsi="Times New Roman" w:cs="Times New Roman"/>
          <w:bCs/>
          <w:color w:val="000000" w:themeColor="text1"/>
        </w:rPr>
        <w:t>for</w:t>
      </w:r>
      <w:r w:rsidR="004F7F93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 </w:t>
      </w:r>
      <w:r w:rsidR="00AE7045">
        <w:rPr>
          <w:rFonts w:ascii="Times New Roman" w:eastAsia="LTSyntax Regular" w:hAnsi="Times New Roman" w:cs="Times New Roman"/>
          <w:bCs/>
          <w:color w:val="000000" w:themeColor="text1"/>
        </w:rPr>
        <w:t xml:space="preserve">an </w:t>
      </w:r>
      <w:r w:rsidR="005F5B2C" w:rsidRPr="00D07E71">
        <w:rPr>
          <w:rFonts w:ascii="Times New Roman" w:eastAsia="LTSyntax Regular" w:hAnsi="Times New Roman" w:cs="Times New Roman"/>
          <w:bCs/>
          <w:color w:val="000000" w:themeColor="text1"/>
        </w:rPr>
        <w:t>exchange</w:t>
      </w:r>
      <w:r w:rsidR="004F7F93">
        <w:rPr>
          <w:rFonts w:ascii="Times New Roman" w:eastAsia="LTSyntax Regular" w:hAnsi="Times New Roman" w:cs="Times New Roman"/>
          <w:bCs/>
          <w:color w:val="000000" w:themeColor="text1"/>
        </w:rPr>
        <w:t xml:space="preserve"> of ideas</w:t>
      </w:r>
      <w:r w:rsidR="005F5B2C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 </w:t>
      </w:r>
      <w:r w:rsidR="00AE7045">
        <w:rPr>
          <w:rFonts w:ascii="Times New Roman" w:eastAsia="LTSyntax Regular" w:hAnsi="Times New Roman" w:cs="Times New Roman"/>
          <w:bCs/>
          <w:color w:val="000000" w:themeColor="text1"/>
        </w:rPr>
        <w:t>among</w:t>
      </w:r>
      <w:r w:rsidR="00AE7045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 </w:t>
      </w:r>
      <w:r w:rsidR="005F5B2C" w:rsidRPr="00D07E71">
        <w:rPr>
          <w:rFonts w:ascii="Times New Roman" w:eastAsia="LTSyntax Regular" w:hAnsi="Times New Roman" w:cs="Times New Roman"/>
          <w:bCs/>
          <w:color w:val="000000" w:themeColor="text1"/>
        </w:rPr>
        <w:t>an international community of specialists</w:t>
      </w:r>
      <w:r w:rsidR="00B7103B" w:rsidRPr="00D07E71">
        <w:rPr>
          <w:rFonts w:ascii="Times New Roman" w:eastAsia="LTSyntax Regular" w:hAnsi="Times New Roman" w:cs="Times New Roman"/>
          <w:bCs/>
          <w:color w:val="000000" w:themeColor="text1"/>
        </w:rPr>
        <w:t>.</w:t>
      </w:r>
      <w:r w:rsidR="005F5B2C" w:rsidRPr="00D07E71">
        <w:rPr>
          <w:rFonts w:ascii="Times New Roman" w:eastAsia="LTSyntax Regular" w:hAnsi="Times New Roman" w:cs="Times New Roman"/>
          <w:bCs/>
          <w:color w:val="000000" w:themeColor="text1"/>
        </w:rPr>
        <w:t>)</w:t>
      </w:r>
      <w:r w:rsidR="00B7103B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 The papers</w:t>
      </w:r>
      <w:r w:rsidR="0006167C">
        <w:rPr>
          <w:rFonts w:ascii="Times New Roman" w:eastAsia="LTSyntax Regular" w:hAnsi="Times New Roman" w:cs="Times New Roman"/>
          <w:bCs/>
          <w:color w:val="000000" w:themeColor="text1"/>
        </w:rPr>
        <w:t xml:space="preserve"> in this section</w:t>
      </w:r>
      <w:r w:rsidR="00B7103B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 ranged </w:t>
      </w:r>
      <w:r w:rsidR="00BB3FB4" w:rsidRPr="00D07E71">
        <w:rPr>
          <w:rFonts w:ascii="Times New Roman" w:eastAsia="LTSyntax Regular" w:hAnsi="Times New Roman" w:cs="Times New Roman"/>
          <w:bCs/>
          <w:color w:val="000000" w:themeColor="text1"/>
        </w:rPr>
        <w:t>from the legendary Colossus of Rhodes</w:t>
      </w:r>
      <w:r w:rsidR="00B35153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 (2)</w:t>
      </w:r>
      <w:r w:rsidR="00BB3FB4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, </w:t>
      </w:r>
      <w:r w:rsidR="00AE7045">
        <w:rPr>
          <w:rFonts w:ascii="Times New Roman" w:eastAsia="LTSyntax Regular" w:hAnsi="Times New Roman" w:cs="Times New Roman"/>
          <w:bCs/>
          <w:color w:val="000000" w:themeColor="text1"/>
        </w:rPr>
        <w:t xml:space="preserve">the </w:t>
      </w:r>
      <w:r w:rsidR="00964342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largest of all large-scale bronzes but </w:t>
      </w:r>
      <w:r w:rsidR="00BB3FB4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known only </w:t>
      </w:r>
      <w:r w:rsidR="00AE7045">
        <w:rPr>
          <w:rFonts w:ascii="Times New Roman" w:eastAsia="LTSyntax Regular" w:hAnsi="Times New Roman" w:cs="Times New Roman"/>
          <w:bCs/>
          <w:color w:val="000000" w:themeColor="text1"/>
        </w:rPr>
        <w:t>from</w:t>
      </w:r>
      <w:r w:rsidR="00AE7045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 </w:t>
      </w:r>
      <w:r w:rsidR="00CE3637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ancient descriptions, </w:t>
      </w:r>
      <w:r w:rsidR="00816B88" w:rsidRPr="00D07E71">
        <w:rPr>
          <w:rFonts w:ascii="Times New Roman" w:eastAsia="LTSyntax Regular" w:hAnsi="Times New Roman" w:cs="Times New Roman"/>
          <w:bCs/>
          <w:color w:val="000000" w:themeColor="text1"/>
        </w:rPr>
        <w:t>to</w:t>
      </w:r>
      <w:r w:rsidR="00CE3637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 the latest underwater discoveries in the Aegean Sea</w:t>
      </w:r>
      <w:r w:rsidR="00B35153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 (3)</w:t>
      </w:r>
      <w:r w:rsidR="00CE3637" w:rsidRPr="00D07E71">
        <w:rPr>
          <w:rFonts w:ascii="Times New Roman" w:eastAsia="LTSyntax Regular" w:hAnsi="Times New Roman" w:cs="Times New Roman"/>
          <w:bCs/>
          <w:color w:val="000000" w:themeColor="text1"/>
        </w:rPr>
        <w:t>—many as yet unpublished—</w:t>
      </w:r>
      <w:r w:rsidR="0006167C">
        <w:rPr>
          <w:rFonts w:ascii="Times New Roman" w:eastAsia="LTSyntax Regular" w:hAnsi="Times New Roman" w:cs="Times New Roman"/>
          <w:bCs/>
          <w:color w:val="000000" w:themeColor="text1"/>
        </w:rPr>
        <w:t>and</w:t>
      </w:r>
      <w:r w:rsidR="00CE3637" w:rsidRPr="00D07E71">
        <w:rPr>
          <w:rFonts w:ascii="Times New Roman" w:eastAsia="LTSyntax Regular" w:hAnsi="Times New Roman" w:cs="Times New Roman"/>
          <w:bCs/>
          <w:color w:val="000000" w:themeColor="text1"/>
        </w:rPr>
        <w:t xml:space="preserve"> the reception of </w:t>
      </w:r>
      <w:r w:rsidR="00B35153" w:rsidRPr="00D07E71">
        <w:rPr>
          <w:rFonts w:ascii="Times New Roman" w:eastAsia="LTSyntax Regular" w:hAnsi="Times New Roman" w:cs="Times New Roman"/>
          <w:bCs/>
          <w:color w:val="000000" w:themeColor="text1"/>
        </w:rPr>
        <w:t>Greek bronze sculpture in the twentieth century. Here, as in other sections, some papers were the results of close collaboration between art historians and conservators (1, 7)</w:t>
      </w:r>
      <w:r w:rsidR="0017642B" w:rsidRPr="00D07E71">
        <w:rPr>
          <w:rFonts w:ascii="Times New Roman" w:eastAsia="LTSyntax Regular" w:hAnsi="Times New Roman" w:cs="Times New Roman"/>
          <w:bCs/>
          <w:color w:val="000000" w:themeColor="text1"/>
        </w:rPr>
        <w:t>, exemplifying a model of bronze scholarship pioneered in the 1990s by Carol Mattusch and Henry Lie.</w:t>
      </w:r>
    </w:p>
    <w:p w14:paraId="5192316B" w14:textId="77777777" w:rsidR="00F25CF5" w:rsidRPr="00D07E71" w:rsidRDefault="00F25CF5" w:rsidP="009F46C7">
      <w:pPr>
        <w:tabs>
          <w:tab w:val="left" w:pos="2079"/>
        </w:tabs>
        <w:spacing w:line="360" w:lineRule="auto"/>
        <w:rPr>
          <w:rFonts w:ascii="Times New Roman" w:eastAsia="LTSyntax Regular" w:hAnsi="Times New Roman" w:cs="Times New Roman"/>
          <w:bCs/>
          <w:color w:val="000000" w:themeColor="text1"/>
        </w:rPr>
      </w:pPr>
    </w:p>
    <w:p w14:paraId="707EA644" w14:textId="77777777" w:rsidR="003B75DB" w:rsidRPr="00AE7045" w:rsidRDefault="00AE7045" w:rsidP="009F46C7">
      <w:pPr>
        <w:pStyle w:val="NormalWeb"/>
        <w:spacing w:before="0" w:beforeAutospacing="0" w:after="0" w:afterAutospacing="0" w:line="360" w:lineRule="auto"/>
      </w:pPr>
      <w:r>
        <w:rPr>
          <w:bCs/>
        </w:rPr>
        <w:t>[A-head]</w:t>
      </w:r>
      <w:r w:rsidR="00313A67" w:rsidRPr="00313A67">
        <w:rPr>
          <w:bCs/>
        </w:rPr>
        <w:t>The Artist</w:t>
      </w:r>
    </w:p>
    <w:p w14:paraId="45BD7B16" w14:textId="77777777" w:rsidR="000C4557" w:rsidRDefault="000C4557" w:rsidP="009F46C7">
      <w:pPr>
        <w:pStyle w:val="NormalWeb"/>
        <w:spacing w:before="0" w:beforeAutospacing="0" w:after="0" w:afterAutospacing="0" w:line="360" w:lineRule="auto"/>
        <w:rPr>
          <w:rFonts w:eastAsia="LTSyntax Regular"/>
          <w:bCs/>
          <w:color w:val="000000" w:themeColor="text1"/>
          <w:lang w:eastAsia="ko-KR"/>
        </w:rPr>
      </w:pPr>
    </w:p>
    <w:p w14:paraId="1127C28D" w14:textId="77777777" w:rsidR="003B75DB" w:rsidRPr="00D07E71" w:rsidRDefault="00565250" w:rsidP="009F46C7">
      <w:pPr>
        <w:pStyle w:val="NormalWeb"/>
        <w:spacing w:before="0" w:beforeAutospacing="0" w:after="0" w:afterAutospacing="0" w:line="360" w:lineRule="auto"/>
        <w:rPr>
          <w:rFonts w:eastAsia="LTSyntax Regular"/>
          <w:bCs/>
          <w:color w:val="000000" w:themeColor="text1"/>
          <w:lang w:eastAsia="ko-KR"/>
        </w:rPr>
      </w:pPr>
      <w:r w:rsidRPr="00D07E71">
        <w:rPr>
          <w:rFonts w:eastAsia="LTSyntax Regular"/>
          <w:bCs/>
          <w:color w:val="000000" w:themeColor="text1"/>
          <w:lang w:eastAsia="ko-KR"/>
        </w:rPr>
        <w:t xml:space="preserve">Artistry being the theme of the </w:t>
      </w:r>
      <w:r w:rsidR="00AE7045">
        <w:rPr>
          <w:rFonts w:eastAsia="LTSyntax Regular"/>
          <w:bCs/>
          <w:color w:val="000000" w:themeColor="text1"/>
          <w:lang w:eastAsia="ko-KR"/>
        </w:rPr>
        <w:t>C</w:t>
      </w:r>
      <w:r w:rsidRPr="00D07E71">
        <w:rPr>
          <w:rFonts w:eastAsia="LTSyntax Regular"/>
          <w:bCs/>
          <w:color w:val="000000" w:themeColor="text1"/>
          <w:lang w:eastAsia="ko-KR"/>
        </w:rPr>
        <w:t xml:space="preserve">ongress, </w:t>
      </w:r>
      <w:r w:rsidR="0066543E" w:rsidRPr="00D07E71">
        <w:rPr>
          <w:rFonts w:eastAsia="LTSyntax Regular"/>
          <w:bCs/>
          <w:color w:val="000000" w:themeColor="text1"/>
          <w:lang w:eastAsia="ko-KR"/>
        </w:rPr>
        <w:t>several</w:t>
      </w:r>
      <w:r w:rsidR="00D564D8" w:rsidRPr="00D07E71">
        <w:rPr>
          <w:rFonts w:eastAsia="LTSyntax Regular"/>
          <w:bCs/>
          <w:color w:val="000000" w:themeColor="text1"/>
          <w:lang w:eastAsia="ko-KR"/>
        </w:rPr>
        <w:t xml:space="preserve"> </w:t>
      </w:r>
      <w:r w:rsidR="00425C4C" w:rsidRPr="00D07E71">
        <w:rPr>
          <w:rFonts w:eastAsia="LTSyntax Regular"/>
          <w:bCs/>
          <w:color w:val="000000" w:themeColor="text1"/>
          <w:lang w:eastAsia="ko-KR"/>
        </w:rPr>
        <w:t xml:space="preserve">scholars devoted their papers to </w:t>
      </w:r>
      <w:r w:rsidR="00A00586" w:rsidRPr="00D07E71">
        <w:rPr>
          <w:rFonts w:eastAsia="LTSyntax Regular"/>
          <w:bCs/>
          <w:color w:val="000000" w:themeColor="text1"/>
          <w:lang w:eastAsia="ko-KR"/>
        </w:rPr>
        <w:t xml:space="preserve">the question of artists and </w:t>
      </w:r>
      <w:r w:rsidR="00816487" w:rsidRPr="00D07E71">
        <w:rPr>
          <w:rFonts w:eastAsia="LTSyntax Regular"/>
          <w:bCs/>
          <w:color w:val="000000" w:themeColor="text1"/>
          <w:lang w:eastAsia="ko-KR"/>
        </w:rPr>
        <w:t xml:space="preserve">their workshops. </w:t>
      </w:r>
      <w:r w:rsidR="003E7207" w:rsidRPr="00D07E71">
        <w:rPr>
          <w:rFonts w:eastAsia="LTSyntax Regular"/>
          <w:bCs/>
          <w:color w:val="000000" w:themeColor="text1"/>
          <w:lang w:eastAsia="ko-KR"/>
        </w:rPr>
        <w:t xml:space="preserve">A proverbial 99 per cent </w:t>
      </w:r>
      <w:r w:rsidR="002E57AA" w:rsidRPr="00D07E71">
        <w:rPr>
          <w:rFonts w:eastAsia="LTSyntax Regular"/>
          <w:bCs/>
          <w:color w:val="000000" w:themeColor="text1"/>
          <w:lang w:eastAsia="ko-KR"/>
        </w:rPr>
        <w:t xml:space="preserve">(if not more) </w:t>
      </w:r>
      <w:r w:rsidR="00C451AB" w:rsidRPr="00D07E71">
        <w:rPr>
          <w:rFonts w:eastAsia="LTSyntax Regular"/>
          <w:bCs/>
          <w:color w:val="000000" w:themeColor="text1"/>
          <w:lang w:eastAsia="ko-KR"/>
        </w:rPr>
        <w:t xml:space="preserve">of large bronzes </w:t>
      </w:r>
      <w:r w:rsidR="004D1BC8" w:rsidRPr="00D07E71">
        <w:rPr>
          <w:rFonts w:eastAsia="LTSyntax Regular"/>
          <w:bCs/>
          <w:color w:val="000000" w:themeColor="text1"/>
          <w:lang w:eastAsia="ko-KR"/>
        </w:rPr>
        <w:t xml:space="preserve">made in antiquity </w:t>
      </w:r>
      <w:r w:rsidR="00AC2A98" w:rsidRPr="00D07E71">
        <w:rPr>
          <w:rFonts w:eastAsia="LTSyntax Regular"/>
          <w:bCs/>
          <w:color w:val="000000" w:themeColor="text1"/>
          <w:lang w:eastAsia="ko-KR"/>
        </w:rPr>
        <w:t xml:space="preserve">are </w:t>
      </w:r>
      <w:r w:rsidR="0006167C">
        <w:rPr>
          <w:rFonts w:eastAsia="LTSyntax Regular"/>
          <w:bCs/>
          <w:color w:val="000000" w:themeColor="text1"/>
          <w:lang w:eastAsia="ko-KR"/>
        </w:rPr>
        <w:t>irrevocably</w:t>
      </w:r>
      <w:r w:rsidR="0006167C" w:rsidRPr="00D07E71">
        <w:rPr>
          <w:rFonts w:eastAsia="LTSyntax Regular"/>
          <w:bCs/>
          <w:color w:val="000000" w:themeColor="text1"/>
          <w:lang w:eastAsia="ko-KR"/>
        </w:rPr>
        <w:t xml:space="preserve"> </w:t>
      </w:r>
      <w:r w:rsidR="00124F11" w:rsidRPr="00D07E71">
        <w:rPr>
          <w:rFonts w:eastAsia="LTSyntax Regular"/>
          <w:bCs/>
          <w:color w:val="000000" w:themeColor="text1"/>
          <w:lang w:eastAsia="ko-KR"/>
        </w:rPr>
        <w:t>lost</w:t>
      </w:r>
      <w:r w:rsidR="004D1BC8" w:rsidRPr="00D07E71">
        <w:rPr>
          <w:rFonts w:eastAsia="LTSyntax Regular"/>
          <w:bCs/>
          <w:color w:val="000000" w:themeColor="text1"/>
          <w:lang w:eastAsia="ko-KR"/>
        </w:rPr>
        <w:t xml:space="preserve">, so attempts </w:t>
      </w:r>
      <w:r w:rsidR="0038261C" w:rsidRPr="00D07E71">
        <w:rPr>
          <w:rFonts w:eastAsia="LTSyntax Regular"/>
          <w:bCs/>
          <w:color w:val="000000" w:themeColor="text1"/>
          <w:lang w:eastAsia="ko-KR"/>
        </w:rPr>
        <w:t xml:space="preserve">to reconstruct some of that vast majority from textual, epigraphical, or other indirect evidence are inevitable and crucial for our understanding of the genre and of ancient sculpture production as a whole. </w:t>
      </w:r>
      <w:r w:rsidR="00641337" w:rsidRPr="00D07E71">
        <w:rPr>
          <w:rFonts w:eastAsia="LTSyntax Regular"/>
          <w:bCs/>
          <w:color w:val="000000" w:themeColor="text1"/>
          <w:lang w:eastAsia="ko-KR"/>
        </w:rPr>
        <w:t xml:space="preserve">Novel approaches to this old </w:t>
      </w:r>
      <w:r w:rsidR="00C479AC" w:rsidRPr="00D07E71">
        <w:rPr>
          <w:rFonts w:eastAsia="LTSyntax Regular"/>
          <w:bCs/>
          <w:color w:val="000000" w:themeColor="text1"/>
          <w:lang w:eastAsia="ko-KR"/>
        </w:rPr>
        <w:t>problem include an investigation</w:t>
      </w:r>
      <w:r w:rsidR="00EB02A6" w:rsidRPr="00D07E71">
        <w:rPr>
          <w:rFonts w:eastAsia="LTSyntax Regular"/>
          <w:bCs/>
          <w:color w:val="000000" w:themeColor="text1"/>
          <w:lang w:eastAsia="ko-KR"/>
        </w:rPr>
        <w:t xml:space="preserve"> of dowel holes on statue bases</w:t>
      </w:r>
      <w:r w:rsidR="00A74A71" w:rsidRPr="00D07E71">
        <w:rPr>
          <w:rFonts w:eastAsia="LTSyntax Regular"/>
          <w:bCs/>
          <w:color w:val="000000" w:themeColor="text1"/>
          <w:lang w:eastAsia="ko-KR"/>
        </w:rPr>
        <w:t xml:space="preserve"> </w:t>
      </w:r>
      <w:r w:rsidR="004C3840" w:rsidRPr="00D07E71">
        <w:rPr>
          <w:rFonts w:eastAsia="LTSyntax Regular"/>
          <w:bCs/>
          <w:color w:val="000000" w:themeColor="text1"/>
          <w:lang w:eastAsia="ko-KR"/>
        </w:rPr>
        <w:t xml:space="preserve">as indicators of </w:t>
      </w:r>
      <w:r w:rsidR="00A74A71" w:rsidRPr="00D07E71">
        <w:rPr>
          <w:rFonts w:eastAsia="LTSyntax Regular"/>
          <w:bCs/>
          <w:color w:val="000000" w:themeColor="text1"/>
          <w:lang w:eastAsia="ko-KR"/>
        </w:rPr>
        <w:t>technical innovations by sculptors and craftsmen</w:t>
      </w:r>
      <w:r w:rsidR="004C3840" w:rsidRPr="00D07E71">
        <w:rPr>
          <w:rFonts w:eastAsia="LTSyntax Regular"/>
          <w:bCs/>
          <w:color w:val="000000" w:themeColor="text1"/>
          <w:lang w:eastAsia="ko-KR"/>
        </w:rPr>
        <w:t xml:space="preserve"> (</w:t>
      </w:r>
      <w:r w:rsidR="0061365F">
        <w:rPr>
          <w:rFonts w:eastAsia="LTSyntax Regular"/>
          <w:bCs/>
          <w:color w:val="000000" w:themeColor="text1"/>
          <w:lang w:eastAsia="ko-KR"/>
        </w:rPr>
        <w:t>9</w:t>
      </w:r>
      <w:r w:rsidR="004C3840" w:rsidRPr="00D07E71">
        <w:rPr>
          <w:rFonts w:eastAsia="LTSyntax Regular"/>
          <w:bCs/>
          <w:color w:val="000000" w:themeColor="text1"/>
          <w:lang w:eastAsia="ko-KR"/>
        </w:rPr>
        <w:t>)</w:t>
      </w:r>
      <w:r w:rsidR="00A74A71" w:rsidRPr="00D07E71">
        <w:rPr>
          <w:rFonts w:eastAsia="LTSyntax Regular"/>
          <w:bCs/>
          <w:color w:val="000000" w:themeColor="text1"/>
          <w:lang w:eastAsia="ko-KR"/>
        </w:rPr>
        <w:t xml:space="preserve">; </w:t>
      </w:r>
      <w:r w:rsidR="00C479AC" w:rsidRPr="00D07E71">
        <w:rPr>
          <w:rFonts w:eastAsia="LTSyntax Regular"/>
          <w:bCs/>
          <w:color w:val="000000" w:themeColor="text1"/>
          <w:lang w:eastAsia="ko-KR"/>
        </w:rPr>
        <w:t>a prosopographical study</w:t>
      </w:r>
      <w:r w:rsidR="00A74A71" w:rsidRPr="00D07E71">
        <w:rPr>
          <w:rFonts w:eastAsia="LTSyntax Regular"/>
          <w:bCs/>
          <w:color w:val="000000" w:themeColor="text1"/>
          <w:lang w:eastAsia="ko-KR"/>
        </w:rPr>
        <w:t xml:space="preserve"> of statue base inscriptions aiming to </w:t>
      </w:r>
      <w:r w:rsidR="004C3840" w:rsidRPr="00D07E71">
        <w:rPr>
          <w:rFonts w:eastAsia="LTSyntax Regular"/>
          <w:bCs/>
          <w:color w:val="000000" w:themeColor="text1"/>
          <w:lang w:eastAsia="ko-KR"/>
        </w:rPr>
        <w:t>trace the movement of artists and markets (1</w:t>
      </w:r>
      <w:r w:rsidR="0061365F">
        <w:rPr>
          <w:rFonts w:eastAsia="LTSyntax Regular"/>
          <w:bCs/>
          <w:color w:val="000000" w:themeColor="text1"/>
          <w:lang w:eastAsia="ko-KR"/>
        </w:rPr>
        <w:t>2</w:t>
      </w:r>
      <w:r w:rsidR="004C3840" w:rsidRPr="00D07E71">
        <w:rPr>
          <w:rFonts w:eastAsia="LTSyntax Regular"/>
          <w:bCs/>
          <w:color w:val="000000" w:themeColor="text1"/>
          <w:lang w:eastAsia="ko-KR"/>
        </w:rPr>
        <w:t xml:space="preserve">); </w:t>
      </w:r>
      <w:r w:rsidR="00BF7B4D" w:rsidRPr="00D07E71">
        <w:rPr>
          <w:rFonts w:eastAsia="LTSyntax Regular"/>
          <w:bCs/>
          <w:color w:val="000000" w:themeColor="text1"/>
          <w:lang w:eastAsia="ko-KR"/>
        </w:rPr>
        <w:t>an</w:t>
      </w:r>
      <w:r w:rsidR="00B61897" w:rsidRPr="00D07E71">
        <w:rPr>
          <w:rFonts w:eastAsia="LTSyntax Regular"/>
          <w:bCs/>
          <w:color w:val="000000" w:themeColor="text1"/>
          <w:lang w:eastAsia="ko-KR"/>
        </w:rPr>
        <w:t xml:space="preserve">d an </w:t>
      </w:r>
      <w:r w:rsidR="00BF7B4D" w:rsidRPr="00D07E71">
        <w:rPr>
          <w:rFonts w:eastAsia="LTSyntax Regular"/>
          <w:bCs/>
          <w:color w:val="000000" w:themeColor="text1"/>
          <w:lang w:eastAsia="ko-KR"/>
        </w:rPr>
        <w:t xml:space="preserve">analysis of </w:t>
      </w:r>
      <w:r w:rsidR="00572F4B" w:rsidRPr="00D07E71">
        <w:rPr>
          <w:rFonts w:eastAsia="LTSyntax Regular"/>
          <w:bCs/>
          <w:color w:val="000000" w:themeColor="text1"/>
          <w:lang w:eastAsia="ko-KR"/>
        </w:rPr>
        <w:t xml:space="preserve">how </w:t>
      </w:r>
      <w:r w:rsidR="00B61897" w:rsidRPr="00D07E71">
        <w:rPr>
          <w:rFonts w:eastAsia="LTSyntax Regular"/>
          <w:bCs/>
          <w:color w:val="000000" w:themeColor="text1"/>
          <w:lang w:eastAsia="ko-KR"/>
        </w:rPr>
        <w:t xml:space="preserve">natural </w:t>
      </w:r>
      <w:r w:rsidR="00572F4B" w:rsidRPr="00D07E71">
        <w:rPr>
          <w:rFonts w:eastAsia="LTSyntax Regular"/>
          <w:bCs/>
          <w:color w:val="000000" w:themeColor="text1"/>
          <w:lang w:eastAsia="ko-KR"/>
        </w:rPr>
        <w:t>patinas</w:t>
      </w:r>
      <w:r w:rsidR="00B61897" w:rsidRPr="00D07E71">
        <w:rPr>
          <w:rFonts w:eastAsia="LTSyntax Regular"/>
          <w:bCs/>
          <w:color w:val="000000" w:themeColor="text1"/>
          <w:lang w:eastAsia="ko-KR"/>
        </w:rPr>
        <w:t xml:space="preserve"> and their color</w:t>
      </w:r>
      <w:r w:rsidR="00572F4B" w:rsidRPr="00D07E71">
        <w:rPr>
          <w:rFonts w:eastAsia="LTSyntax Regular"/>
          <w:bCs/>
          <w:color w:val="000000" w:themeColor="text1"/>
          <w:lang w:eastAsia="ko-KR"/>
        </w:rPr>
        <w:t xml:space="preserve"> impacted</w:t>
      </w:r>
      <w:r w:rsidR="00B61897" w:rsidRPr="00D07E71">
        <w:rPr>
          <w:rFonts w:eastAsia="LTSyntax Regular"/>
          <w:bCs/>
          <w:color w:val="000000" w:themeColor="text1"/>
          <w:lang w:eastAsia="ko-KR"/>
        </w:rPr>
        <w:t xml:space="preserve"> ancient writers’ </w:t>
      </w:r>
      <w:r w:rsidR="00572F4B" w:rsidRPr="00D07E71">
        <w:rPr>
          <w:rFonts w:eastAsia="LTSyntax Regular"/>
          <w:bCs/>
          <w:color w:val="000000" w:themeColor="text1"/>
          <w:lang w:eastAsia="ko-KR"/>
        </w:rPr>
        <w:t xml:space="preserve">judgment of bronze sculptures </w:t>
      </w:r>
      <w:r w:rsidR="00B61897" w:rsidRPr="00D07E71">
        <w:rPr>
          <w:rFonts w:eastAsia="LTSyntax Regular"/>
          <w:bCs/>
          <w:color w:val="000000" w:themeColor="text1"/>
          <w:lang w:eastAsia="ko-KR"/>
        </w:rPr>
        <w:t>(1</w:t>
      </w:r>
      <w:r w:rsidR="0061365F">
        <w:rPr>
          <w:rFonts w:eastAsia="LTSyntax Regular"/>
          <w:bCs/>
          <w:color w:val="000000" w:themeColor="text1"/>
          <w:lang w:eastAsia="ko-KR"/>
        </w:rPr>
        <w:t>1</w:t>
      </w:r>
      <w:r w:rsidR="00B61897" w:rsidRPr="00D07E71">
        <w:rPr>
          <w:rFonts w:eastAsia="LTSyntax Regular"/>
          <w:bCs/>
          <w:color w:val="000000" w:themeColor="text1"/>
          <w:lang w:eastAsia="ko-KR"/>
        </w:rPr>
        <w:t xml:space="preserve">). </w:t>
      </w:r>
      <w:r w:rsidR="00152863" w:rsidRPr="00D07E71">
        <w:rPr>
          <w:rFonts w:eastAsia="LTSyntax Regular"/>
          <w:bCs/>
          <w:color w:val="000000" w:themeColor="text1"/>
          <w:lang w:eastAsia="ko-KR"/>
        </w:rPr>
        <w:t xml:space="preserve">The most experimental </w:t>
      </w:r>
      <w:r w:rsidR="001C6258" w:rsidRPr="00D07E71">
        <w:rPr>
          <w:rFonts w:eastAsia="LTSyntax Regular"/>
          <w:bCs/>
          <w:color w:val="000000" w:themeColor="text1"/>
          <w:lang w:eastAsia="ko-KR"/>
        </w:rPr>
        <w:t xml:space="preserve">proposal, perhaps, came from a team of researchers and engineers in Japan who </w:t>
      </w:r>
      <w:r w:rsidR="004C3840" w:rsidRPr="00D07E71">
        <w:rPr>
          <w:rFonts w:eastAsia="LTSyntax Regular"/>
          <w:bCs/>
          <w:color w:val="000000" w:themeColor="text1"/>
          <w:lang w:eastAsia="ko-KR"/>
        </w:rPr>
        <w:t>use</w:t>
      </w:r>
      <w:r w:rsidR="001C6258" w:rsidRPr="00D07E71">
        <w:rPr>
          <w:rFonts w:eastAsia="LTSyntax Regular"/>
          <w:bCs/>
          <w:color w:val="000000" w:themeColor="text1"/>
          <w:lang w:eastAsia="ko-KR"/>
        </w:rPr>
        <w:t>d</w:t>
      </w:r>
      <w:r w:rsidR="004C3840" w:rsidRPr="00D07E71">
        <w:rPr>
          <w:rFonts w:eastAsia="LTSyntax Regular"/>
          <w:bCs/>
          <w:color w:val="000000" w:themeColor="text1"/>
          <w:lang w:eastAsia="ko-KR"/>
        </w:rPr>
        <w:t xml:space="preserve"> 3D-shape comparison software </w:t>
      </w:r>
      <w:r w:rsidR="001C6258" w:rsidRPr="00D07E71">
        <w:rPr>
          <w:rFonts w:eastAsia="LTSyntax Regular"/>
          <w:bCs/>
          <w:color w:val="000000" w:themeColor="text1"/>
          <w:lang w:eastAsia="ko-KR"/>
        </w:rPr>
        <w:t xml:space="preserve">to </w:t>
      </w:r>
      <w:r w:rsidR="0006167C">
        <w:rPr>
          <w:rFonts w:eastAsia="LTSyntax Regular"/>
          <w:bCs/>
          <w:color w:val="000000" w:themeColor="text1"/>
          <w:lang w:eastAsia="ko-KR"/>
        </w:rPr>
        <w:t>examine</w:t>
      </w:r>
      <w:r w:rsidR="0006167C" w:rsidRPr="00D07E71">
        <w:rPr>
          <w:rFonts w:eastAsia="LTSyntax Regular"/>
          <w:bCs/>
          <w:color w:val="000000" w:themeColor="text1"/>
          <w:lang w:eastAsia="ko-KR"/>
        </w:rPr>
        <w:t xml:space="preserve"> </w:t>
      </w:r>
      <w:r w:rsidR="001C6258" w:rsidRPr="00D07E71">
        <w:rPr>
          <w:rFonts w:eastAsia="LTSyntax Regular"/>
          <w:bCs/>
          <w:color w:val="000000" w:themeColor="text1"/>
          <w:lang w:eastAsia="ko-KR"/>
        </w:rPr>
        <w:t>sculpted faces and</w:t>
      </w:r>
      <w:r w:rsidR="00C479AC" w:rsidRPr="00D07E71">
        <w:rPr>
          <w:rFonts w:eastAsia="LTSyntax Regular"/>
          <w:bCs/>
          <w:color w:val="000000" w:themeColor="text1"/>
          <w:lang w:eastAsia="ko-KR"/>
        </w:rPr>
        <w:t xml:space="preserve"> reassess </w:t>
      </w:r>
      <w:r w:rsidR="00A00F85" w:rsidRPr="00D07E71">
        <w:rPr>
          <w:rFonts w:eastAsia="LTSyntax Regular"/>
          <w:bCs/>
          <w:color w:val="000000" w:themeColor="text1"/>
          <w:lang w:eastAsia="ko-KR"/>
        </w:rPr>
        <w:t xml:space="preserve">attributions to one particular artist, </w:t>
      </w:r>
      <w:r w:rsidR="00C479AC" w:rsidRPr="00D07E71">
        <w:rPr>
          <w:rFonts w:eastAsia="LTSyntax Regular"/>
          <w:bCs/>
          <w:color w:val="000000" w:themeColor="text1"/>
          <w:lang w:eastAsia="ko-KR"/>
        </w:rPr>
        <w:t xml:space="preserve">the </w:t>
      </w:r>
      <w:r w:rsidR="00A00F85" w:rsidRPr="00D07E71">
        <w:rPr>
          <w:rFonts w:eastAsia="LTSyntax Regular"/>
          <w:bCs/>
          <w:color w:val="000000" w:themeColor="text1"/>
          <w:lang w:eastAsia="ko-KR"/>
        </w:rPr>
        <w:t>ever-present, ever-</w:t>
      </w:r>
      <w:r w:rsidR="00C479AC" w:rsidRPr="00D07E71">
        <w:rPr>
          <w:rFonts w:eastAsia="LTSyntax Regular"/>
          <w:bCs/>
          <w:color w:val="000000" w:themeColor="text1"/>
          <w:lang w:eastAsia="ko-KR"/>
        </w:rPr>
        <w:t>elusive Polykleitos (</w:t>
      </w:r>
      <w:r w:rsidR="0061365F">
        <w:rPr>
          <w:rFonts w:eastAsia="LTSyntax Regular"/>
          <w:bCs/>
          <w:color w:val="000000" w:themeColor="text1"/>
          <w:lang w:eastAsia="ko-KR"/>
        </w:rPr>
        <w:t>10</w:t>
      </w:r>
      <w:r w:rsidR="00C479AC" w:rsidRPr="00D07E71">
        <w:rPr>
          <w:rFonts w:eastAsia="LTSyntax Regular"/>
          <w:bCs/>
          <w:color w:val="000000" w:themeColor="text1"/>
          <w:lang w:eastAsia="ko-KR"/>
        </w:rPr>
        <w:t>)</w:t>
      </w:r>
      <w:r w:rsidR="00A00F85" w:rsidRPr="00D07E71">
        <w:rPr>
          <w:rFonts w:eastAsia="LTSyntax Regular"/>
          <w:bCs/>
          <w:color w:val="000000" w:themeColor="text1"/>
          <w:lang w:eastAsia="ko-KR"/>
        </w:rPr>
        <w:t>.</w:t>
      </w:r>
    </w:p>
    <w:p w14:paraId="3D5F609B" w14:textId="77777777" w:rsidR="003B75DB" w:rsidRPr="00D07E71" w:rsidRDefault="003B75DB" w:rsidP="009F46C7">
      <w:pPr>
        <w:pStyle w:val="NormalWeb"/>
        <w:spacing w:before="0" w:beforeAutospacing="0" w:after="0" w:afterAutospacing="0" w:line="360" w:lineRule="auto"/>
      </w:pPr>
    </w:p>
    <w:p w14:paraId="0F09FBCB" w14:textId="77777777" w:rsidR="00A92640" w:rsidRPr="0061365F" w:rsidRDefault="0061365F" w:rsidP="009F46C7">
      <w:pPr>
        <w:pStyle w:val="NormalWeb"/>
        <w:spacing w:before="0" w:beforeAutospacing="0" w:after="0" w:afterAutospacing="0" w:line="360" w:lineRule="auto"/>
        <w:rPr>
          <w:bCs/>
        </w:rPr>
      </w:pPr>
      <w:r>
        <w:rPr>
          <w:bCs/>
        </w:rPr>
        <w:t>[A-head]</w:t>
      </w:r>
      <w:r w:rsidR="00313A67" w:rsidRPr="00313A67">
        <w:rPr>
          <w:bCs/>
        </w:rPr>
        <w:t xml:space="preserve">Statuettes </w:t>
      </w:r>
    </w:p>
    <w:p w14:paraId="0D0D5A4A" w14:textId="77777777" w:rsidR="009931EB" w:rsidRDefault="009931EB" w:rsidP="009F46C7">
      <w:pPr>
        <w:pStyle w:val="NormalWeb"/>
        <w:spacing w:before="0" w:beforeAutospacing="0" w:after="0" w:afterAutospacing="0" w:line="360" w:lineRule="auto"/>
        <w:rPr>
          <w:rFonts w:eastAsia="LTSyntax Regular"/>
          <w:bCs/>
          <w:color w:val="000000" w:themeColor="text1"/>
          <w:lang w:eastAsia="ko-KR"/>
        </w:rPr>
      </w:pPr>
    </w:p>
    <w:p w14:paraId="544D7D8E" w14:textId="77777777" w:rsidR="00A92640" w:rsidRPr="00D07E71" w:rsidRDefault="00DF2052" w:rsidP="009F46C7">
      <w:pPr>
        <w:pStyle w:val="NormalWeb"/>
        <w:spacing w:before="0" w:beforeAutospacing="0" w:after="0" w:afterAutospacing="0" w:line="360" w:lineRule="auto"/>
        <w:rPr>
          <w:rFonts w:eastAsia="LTSyntax Regular"/>
          <w:bCs/>
          <w:color w:val="000000" w:themeColor="text1"/>
          <w:lang w:eastAsia="ko-KR"/>
        </w:rPr>
      </w:pPr>
      <w:r w:rsidRPr="00D07E71">
        <w:rPr>
          <w:rFonts w:eastAsia="LTSyntax Regular"/>
          <w:bCs/>
          <w:color w:val="000000" w:themeColor="text1"/>
          <w:lang w:eastAsia="ko-KR"/>
        </w:rPr>
        <w:t xml:space="preserve">As in previous congresses, the sheer </w:t>
      </w:r>
      <w:r w:rsidR="00DB1ED5">
        <w:rPr>
          <w:rFonts w:eastAsia="LTSyntax Regular"/>
          <w:bCs/>
          <w:color w:val="000000" w:themeColor="text1"/>
          <w:lang w:eastAsia="ko-KR"/>
        </w:rPr>
        <w:t>quantity</w:t>
      </w:r>
      <w:r w:rsidR="00DB1ED5" w:rsidRPr="00D07E71">
        <w:rPr>
          <w:rFonts w:eastAsia="LTSyntax Regular"/>
          <w:bCs/>
          <w:color w:val="000000" w:themeColor="text1"/>
          <w:lang w:eastAsia="ko-KR"/>
        </w:rPr>
        <w:t xml:space="preserve"> </w:t>
      </w:r>
      <w:r w:rsidRPr="00D07E71">
        <w:rPr>
          <w:rFonts w:eastAsia="LTSyntax Regular"/>
          <w:bCs/>
          <w:color w:val="000000" w:themeColor="text1"/>
          <w:lang w:eastAsia="ko-KR"/>
        </w:rPr>
        <w:t xml:space="preserve">and wide distribution of small-scale figures </w:t>
      </w:r>
      <w:r w:rsidR="00B01187" w:rsidRPr="00D07E71">
        <w:rPr>
          <w:rFonts w:eastAsia="LTSyntax Regular"/>
          <w:bCs/>
          <w:color w:val="000000" w:themeColor="text1"/>
          <w:lang w:eastAsia="ko-KR"/>
        </w:rPr>
        <w:t>invited a large number of papers and in Los Angeles these were presented in two dedicated sessions</w:t>
      </w:r>
      <w:r w:rsidR="00A5220D" w:rsidRPr="00D07E71">
        <w:rPr>
          <w:rFonts w:eastAsia="LTSyntax Regular"/>
          <w:bCs/>
          <w:color w:val="000000" w:themeColor="text1"/>
          <w:lang w:eastAsia="ko-KR"/>
        </w:rPr>
        <w:t xml:space="preserve">. </w:t>
      </w:r>
      <w:r w:rsidR="004E613D" w:rsidRPr="00D07E71">
        <w:rPr>
          <w:rFonts w:eastAsia="LTSyntax Regular"/>
          <w:bCs/>
          <w:color w:val="000000" w:themeColor="text1"/>
          <w:lang w:eastAsia="ko-KR"/>
        </w:rPr>
        <w:t xml:space="preserve">The inquiries, approaches, and methodologies were as wide-ranging as the material </w:t>
      </w:r>
      <w:r w:rsidR="0080761E" w:rsidRPr="00D07E71">
        <w:rPr>
          <w:rFonts w:eastAsia="LTSyntax Regular"/>
          <w:bCs/>
          <w:color w:val="000000" w:themeColor="text1"/>
          <w:lang w:eastAsia="ko-KR"/>
        </w:rPr>
        <w:t xml:space="preserve">itself, including </w:t>
      </w:r>
      <w:r w:rsidR="00551FF9" w:rsidRPr="00D07E71">
        <w:rPr>
          <w:rFonts w:eastAsia="LTSyntax Regular"/>
          <w:bCs/>
          <w:color w:val="000000" w:themeColor="text1"/>
          <w:lang w:eastAsia="ko-KR"/>
        </w:rPr>
        <w:lastRenderedPageBreak/>
        <w:t xml:space="preserve">aesthetic, </w:t>
      </w:r>
      <w:r w:rsidR="0080761E" w:rsidRPr="00D07E71">
        <w:rPr>
          <w:rFonts w:eastAsia="LTSyntax Regular"/>
          <w:bCs/>
          <w:color w:val="000000" w:themeColor="text1"/>
          <w:lang w:eastAsia="ko-KR"/>
        </w:rPr>
        <w:t>iconographic, contextual</w:t>
      </w:r>
      <w:r w:rsidR="00551FF9" w:rsidRPr="00D07E71">
        <w:rPr>
          <w:rFonts w:eastAsia="LTSyntax Regular"/>
          <w:bCs/>
          <w:color w:val="000000" w:themeColor="text1"/>
          <w:lang w:eastAsia="ko-KR"/>
        </w:rPr>
        <w:t>,</w:t>
      </w:r>
      <w:r w:rsidR="0080761E" w:rsidRPr="00D07E71">
        <w:rPr>
          <w:rFonts w:eastAsia="LTSyntax Regular"/>
          <w:bCs/>
          <w:color w:val="000000" w:themeColor="text1"/>
          <w:lang w:eastAsia="ko-KR"/>
        </w:rPr>
        <w:t xml:space="preserve"> and </w:t>
      </w:r>
      <w:r w:rsidR="00551FF9" w:rsidRPr="00D07E71">
        <w:rPr>
          <w:rFonts w:eastAsia="LTSyntax Regular"/>
          <w:bCs/>
          <w:color w:val="000000" w:themeColor="text1"/>
          <w:lang w:eastAsia="ko-KR"/>
        </w:rPr>
        <w:t xml:space="preserve">technological studies. Among them are a new interpretation </w:t>
      </w:r>
      <w:r w:rsidR="0006167C">
        <w:rPr>
          <w:rFonts w:eastAsia="LTSyntax Regular"/>
          <w:bCs/>
          <w:color w:val="000000" w:themeColor="text1"/>
          <w:lang w:eastAsia="ko-KR"/>
        </w:rPr>
        <w:t>of</w:t>
      </w:r>
      <w:r w:rsidR="0006167C" w:rsidRPr="00D07E71">
        <w:rPr>
          <w:rFonts w:eastAsia="LTSyntax Regular"/>
          <w:bCs/>
          <w:color w:val="000000" w:themeColor="text1"/>
          <w:lang w:eastAsia="ko-KR"/>
        </w:rPr>
        <w:t xml:space="preserve"> </w:t>
      </w:r>
      <w:r w:rsidR="00324C55" w:rsidRPr="00D07E71">
        <w:rPr>
          <w:rFonts w:eastAsia="LTSyntax Regular"/>
          <w:bCs/>
          <w:color w:val="000000" w:themeColor="text1"/>
          <w:lang w:eastAsia="ko-KR"/>
        </w:rPr>
        <w:t>the identity of the so-called A</w:t>
      </w:r>
      <w:r w:rsidR="00551FF9" w:rsidRPr="00D07E71">
        <w:rPr>
          <w:rFonts w:eastAsia="LTSyntax Regular"/>
          <w:bCs/>
          <w:color w:val="000000" w:themeColor="text1"/>
          <w:lang w:eastAsia="ko-KR"/>
        </w:rPr>
        <w:t>rtisan in the Metropolitan Museum</w:t>
      </w:r>
      <w:r w:rsidR="0061365F">
        <w:rPr>
          <w:rFonts w:eastAsia="LTSyntax Regular"/>
          <w:bCs/>
          <w:color w:val="000000" w:themeColor="text1"/>
          <w:lang w:eastAsia="ko-KR"/>
        </w:rPr>
        <w:t>, which</w:t>
      </w:r>
      <w:r w:rsidR="009931EB">
        <w:rPr>
          <w:rFonts w:eastAsia="LTSyntax Regular"/>
          <w:bCs/>
          <w:color w:val="000000" w:themeColor="text1"/>
          <w:lang w:eastAsia="ko-KR"/>
        </w:rPr>
        <w:t xml:space="preserve"> </w:t>
      </w:r>
      <w:r w:rsidR="00551FF9" w:rsidRPr="00D07E71">
        <w:rPr>
          <w:rFonts w:eastAsia="LTSyntax Regular"/>
          <w:bCs/>
          <w:color w:val="000000" w:themeColor="text1"/>
          <w:lang w:eastAsia="ko-KR"/>
        </w:rPr>
        <w:t xml:space="preserve">was on view in </w:t>
      </w:r>
      <w:r w:rsidR="00551FF9" w:rsidRPr="00D07E71">
        <w:rPr>
          <w:rFonts w:eastAsia="LTSyntax Regular"/>
          <w:bCs/>
          <w:i/>
          <w:color w:val="000000" w:themeColor="text1"/>
          <w:lang w:eastAsia="ko-KR"/>
        </w:rPr>
        <w:t>Power and Pathos</w:t>
      </w:r>
      <w:r w:rsidR="00551FF9" w:rsidRPr="00D07E71">
        <w:rPr>
          <w:rFonts w:eastAsia="LTSyntax Regular"/>
          <w:bCs/>
          <w:color w:val="000000" w:themeColor="text1"/>
          <w:lang w:eastAsia="ko-KR"/>
        </w:rPr>
        <w:t xml:space="preserve"> (1</w:t>
      </w:r>
      <w:r w:rsidR="0061365F">
        <w:rPr>
          <w:rFonts w:eastAsia="LTSyntax Regular"/>
          <w:bCs/>
          <w:color w:val="000000" w:themeColor="text1"/>
          <w:lang w:eastAsia="ko-KR"/>
        </w:rPr>
        <w:t>5</w:t>
      </w:r>
      <w:r w:rsidR="00551FF9" w:rsidRPr="00D07E71">
        <w:rPr>
          <w:rFonts w:eastAsia="LTSyntax Regular"/>
          <w:bCs/>
          <w:color w:val="000000" w:themeColor="text1"/>
          <w:lang w:eastAsia="ko-KR"/>
        </w:rPr>
        <w:t xml:space="preserve">); </w:t>
      </w:r>
      <w:r w:rsidR="00816B88" w:rsidRPr="00D07E71">
        <w:rPr>
          <w:rFonts w:eastAsia="LTSyntax Regular"/>
          <w:bCs/>
          <w:color w:val="000000" w:themeColor="text1"/>
          <w:lang w:eastAsia="ko-KR"/>
        </w:rPr>
        <w:t>a comparative investigation of enamel technology in Roman and Celtic miniature bronzes of enigmatic roosters (1</w:t>
      </w:r>
      <w:r w:rsidR="0061365F">
        <w:rPr>
          <w:rFonts w:eastAsia="LTSyntax Regular"/>
          <w:bCs/>
          <w:color w:val="000000" w:themeColor="text1"/>
          <w:lang w:eastAsia="ko-KR"/>
        </w:rPr>
        <w:t>9</w:t>
      </w:r>
      <w:r w:rsidR="00816B88" w:rsidRPr="00D07E71">
        <w:rPr>
          <w:rFonts w:eastAsia="LTSyntax Regular"/>
          <w:bCs/>
          <w:color w:val="000000" w:themeColor="text1"/>
          <w:lang w:eastAsia="ko-KR"/>
        </w:rPr>
        <w:t xml:space="preserve">); and </w:t>
      </w:r>
      <w:r w:rsidR="00551FF9" w:rsidRPr="00D07E71">
        <w:rPr>
          <w:rFonts w:eastAsia="LTSyntax Regular"/>
          <w:bCs/>
          <w:color w:val="000000" w:themeColor="text1"/>
          <w:lang w:eastAsia="ko-KR"/>
        </w:rPr>
        <w:t xml:space="preserve">a paper </w:t>
      </w:r>
      <w:r w:rsidR="00BD51CB" w:rsidRPr="00D07E71">
        <w:rPr>
          <w:rFonts w:eastAsia="LTSyntax Regular"/>
          <w:bCs/>
          <w:color w:val="000000" w:themeColor="text1"/>
          <w:lang w:eastAsia="ko-KR"/>
        </w:rPr>
        <w:t>highlighting the phenomenon</w:t>
      </w:r>
      <w:r w:rsidR="00551FF9" w:rsidRPr="00D07E71">
        <w:rPr>
          <w:rFonts w:eastAsia="LTSyntax Regular"/>
          <w:bCs/>
          <w:color w:val="000000" w:themeColor="text1"/>
          <w:lang w:eastAsia="ko-KR"/>
        </w:rPr>
        <w:t xml:space="preserve"> of medium-sized</w:t>
      </w:r>
      <w:r w:rsidR="00B74FBD" w:rsidRPr="00D07E71">
        <w:rPr>
          <w:rFonts w:eastAsia="LTSyntax Regular"/>
          <w:bCs/>
          <w:color w:val="000000" w:themeColor="text1"/>
          <w:lang w:eastAsia="ko-KR"/>
        </w:rPr>
        <w:t xml:space="preserve"> </w:t>
      </w:r>
      <w:r w:rsidR="0061365F">
        <w:rPr>
          <w:rFonts w:eastAsia="LTSyntax Regular"/>
          <w:bCs/>
          <w:color w:val="000000" w:themeColor="text1"/>
          <w:lang w:eastAsia="ko-KR"/>
        </w:rPr>
        <w:t>(</w:t>
      </w:r>
      <w:r w:rsidR="00B74FBD" w:rsidRPr="00D07E71">
        <w:rPr>
          <w:rFonts w:eastAsia="LTSyntax Regular"/>
          <w:bCs/>
          <w:color w:val="000000" w:themeColor="text1"/>
          <w:lang w:eastAsia="ko-KR"/>
        </w:rPr>
        <w:t>i.e.</w:t>
      </w:r>
      <w:r w:rsidR="0061365F">
        <w:rPr>
          <w:rFonts w:eastAsia="LTSyntax Regular"/>
          <w:bCs/>
          <w:color w:val="000000" w:themeColor="text1"/>
          <w:lang w:eastAsia="ko-KR"/>
        </w:rPr>
        <w:t>,</w:t>
      </w:r>
      <w:r w:rsidR="00B74FBD" w:rsidRPr="00D07E71">
        <w:rPr>
          <w:rFonts w:eastAsia="LTSyntax Regular"/>
          <w:bCs/>
          <w:color w:val="000000" w:themeColor="text1"/>
          <w:lang w:eastAsia="ko-KR"/>
        </w:rPr>
        <w:t xml:space="preserve"> large</w:t>
      </w:r>
      <w:r w:rsidR="0061365F">
        <w:rPr>
          <w:rFonts w:eastAsia="LTSyntax Regular"/>
          <w:bCs/>
          <w:color w:val="000000" w:themeColor="text1"/>
          <w:lang w:eastAsia="ko-KR"/>
        </w:rPr>
        <w:t>)</w:t>
      </w:r>
      <w:r w:rsidR="00551FF9" w:rsidRPr="00D07E71">
        <w:rPr>
          <w:rFonts w:eastAsia="LTSyntax Regular"/>
          <w:bCs/>
          <w:color w:val="000000" w:themeColor="text1"/>
          <w:lang w:eastAsia="ko-KR"/>
        </w:rPr>
        <w:t xml:space="preserve"> s</w:t>
      </w:r>
      <w:r w:rsidR="00605268" w:rsidRPr="00D07E71">
        <w:rPr>
          <w:rFonts w:eastAsia="LTSyntax Regular"/>
          <w:bCs/>
          <w:color w:val="000000" w:themeColor="text1"/>
          <w:lang w:eastAsia="ko-KR"/>
        </w:rPr>
        <w:t>tatuettes (1</w:t>
      </w:r>
      <w:r w:rsidR="0061365F">
        <w:rPr>
          <w:rFonts w:eastAsia="LTSyntax Regular"/>
          <w:bCs/>
          <w:color w:val="000000" w:themeColor="text1"/>
          <w:lang w:eastAsia="ko-KR"/>
        </w:rPr>
        <w:t>8</w:t>
      </w:r>
      <w:r w:rsidR="00605268" w:rsidRPr="00D07E71">
        <w:rPr>
          <w:rFonts w:eastAsia="LTSyntax Regular"/>
          <w:bCs/>
          <w:color w:val="000000" w:themeColor="text1"/>
          <w:lang w:eastAsia="ko-KR"/>
        </w:rPr>
        <w:t>)</w:t>
      </w:r>
      <w:r w:rsidR="0061365F">
        <w:rPr>
          <w:rFonts w:eastAsia="LTSyntax Regular"/>
          <w:bCs/>
          <w:color w:val="000000" w:themeColor="text1"/>
          <w:lang w:eastAsia="ko-KR"/>
        </w:rPr>
        <w:t xml:space="preserve">, which may be </w:t>
      </w:r>
      <w:r w:rsidR="00605268" w:rsidRPr="00D07E71">
        <w:rPr>
          <w:rFonts w:eastAsia="LTSyntax Regular"/>
          <w:bCs/>
          <w:color w:val="000000" w:themeColor="text1"/>
          <w:lang w:eastAsia="ko-KR"/>
        </w:rPr>
        <w:t>a subset</w:t>
      </w:r>
      <w:r w:rsidR="00816B88" w:rsidRPr="00D07E71">
        <w:rPr>
          <w:rFonts w:eastAsia="LTSyntax Regular"/>
          <w:bCs/>
          <w:color w:val="000000" w:themeColor="text1"/>
          <w:lang w:eastAsia="ko-KR"/>
        </w:rPr>
        <w:t xml:space="preserve"> worthy </w:t>
      </w:r>
      <w:r w:rsidR="0061365F">
        <w:rPr>
          <w:rFonts w:eastAsia="LTSyntax Regular"/>
          <w:bCs/>
          <w:color w:val="000000" w:themeColor="text1"/>
          <w:lang w:eastAsia="ko-KR"/>
        </w:rPr>
        <w:t xml:space="preserve">of </w:t>
      </w:r>
      <w:r w:rsidR="00816B88" w:rsidRPr="00D07E71">
        <w:rPr>
          <w:rFonts w:eastAsia="LTSyntax Regular"/>
          <w:bCs/>
          <w:color w:val="000000" w:themeColor="text1"/>
          <w:lang w:eastAsia="ko-KR"/>
        </w:rPr>
        <w:t>its own category</w:t>
      </w:r>
      <w:r w:rsidR="0061365F">
        <w:rPr>
          <w:rFonts w:eastAsia="LTSyntax Regular"/>
          <w:bCs/>
          <w:color w:val="000000" w:themeColor="text1"/>
          <w:lang w:eastAsia="ko-KR"/>
        </w:rPr>
        <w:t>.</w:t>
      </w:r>
      <w:r w:rsidR="00605268" w:rsidRPr="00D07E71">
        <w:rPr>
          <w:rFonts w:eastAsia="LTSyntax Regular"/>
          <w:bCs/>
          <w:color w:val="000000" w:themeColor="text1"/>
          <w:lang w:eastAsia="ko-KR"/>
        </w:rPr>
        <w:t xml:space="preserve"> </w:t>
      </w:r>
    </w:p>
    <w:p w14:paraId="3BD6A506" w14:textId="77777777" w:rsidR="00A92640" w:rsidRPr="00D07E71" w:rsidRDefault="00A92640" w:rsidP="009F46C7">
      <w:pPr>
        <w:pStyle w:val="NormalWeb"/>
        <w:spacing w:before="0" w:beforeAutospacing="0" w:after="0" w:afterAutospacing="0" w:line="360" w:lineRule="auto"/>
        <w:rPr>
          <w:bCs/>
        </w:rPr>
      </w:pPr>
    </w:p>
    <w:p w14:paraId="3485BB5C" w14:textId="77777777" w:rsidR="00816B88" w:rsidRPr="0061365F" w:rsidRDefault="0061365F" w:rsidP="009F46C7">
      <w:pPr>
        <w:pStyle w:val="NormalWeb"/>
        <w:spacing w:before="0" w:beforeAutospacing="0" w:after="0" w:afterAutospacing="0" w:line="360" w:lineRule="auto"/>
      </w:pPr>
      <w:r>
        <w:rPr>
          <w:bCs/>
        </w:rPr>
        <w:t>[A-head]</w:t>
      </w:r>
      <w:r w:rsidR="00313A67" w:rsidRPr="00313A67">
        <w:rPr>
          <w:bCs/>
        </w:rPr>
        <w:t xml:space="preserve">The Hellenistic East </w:t>
      </w:r>
    </w:p>
    <w:p w14:paraId="09718CA5" w14:textId="77777777" w:rsidR="0061365F" w:rsidRDefault="0061365F" w:rsidP="009F46C7">
      <w:pPr>
        <w:pStyle w:val="NormalWeb"/>
        <w:spacing w:before="0" w:beforeAutospacing="0" w:after="0" w:afterAutospacing="0" w:line="360" w:lineRule="auto"/>
        <w:rPr>
          <w:rFonts w:eastAsia="LTSyntax Regular"/>
          <w:bCs/>
          <w:color w:val="000000" w:themeColor="text1"/>
          <w:lang w:eastAsia="ko-KR"/>
        </w:rPr>
      </w:pPr>
    </w:p>
    <w:p w14:paraId="642D4FB6" w14:textId="77777777" w:rsidR="007202D5" w:rsidRPr="00D07E71" w:rsidRDefault="006C2598" w:rsidP="009F46C7">
      <w:pPr>
        <w:pStyle w:val="NormalWeb"/>
        <w:spacing w:before="0" w:beforeAutospacing="0" w:after="0" w:afterAutospacing="0" w:line="360" w:lineRule="auto"/>
        <w:rPr>
          <w:rFonts w:eastAsia="LTSyntax Regular"/>
          <w:bCs/>
          <w:color w:val="000000" w:themeColor="text1"/>
          <w:lang w:eastAsia="ko-KR"/>
        </w:rPr>
      </w:pPr>
      <w:r w:rsidRPr="00D07E71">
        <w:rPr>
          <w:rFonts w:eastAsia="LTSyntax Regular"/>
          <w:bCs/>
          <w:color w:val="000000" w:themeColor="text1"/>
          <w:lang w:eastAsia="ko-KR"/>
        </w:rPr>
        <w:t xml:space="preserve">As its subtitle announced, </w:t>
      </w:r>
      <w:r w:rsidR="0006167C">
        <w:rPr>
          <w:rFonts w:eastAsia="LTSyntax Regular"/>
          <w:bCs/>
          <w:i/>
          <w:color w:val="000000" w:themeColor="text1"/>
          <w:lang w:eastAsia="ko-KR"/>
        </w:rPr>
        <w:t>Power and Pathos</w:t>
      </w:r>
      <w:r w:rsidR="000216EC" w:rsidRPr="00D07E71">
        <w:rPr>
          <w:rFonts w:eastAsia="LTSyntax Regular"/>
          <w:bCs/>
          <w:color w:val="000000" w:themeColor="text1"/>
          <w:lang w:eastAsia="ko-KR"/>
        </w:rPr>
        <w:t xml:space="preserve"> </w:t>
      </w:r>
      <w:r w:rsidR="0006167C">
        <w:rPr>
          <w:rFonts w:eastAsia="LTSyntax Regular"/>
          <w:bCs/>
          <w:color w:val="000000" w:themeColor="text1"/>
          <w:lang w:eastAsia="ko-KR"/>
        </w:rPr>
        <w:t>presented</w:t>
      </w:r>
      <w:r w:rsidR="0006167C" w:rsidRPr="00D07E71">
        <w:rPr>
          <w:rFonts w:eastAsia="LTSyntax Regular"/>
          <w:bCs/>
          <w:color w:val="000000" w:themeColor="text1"/>
          <w:lang w:eastAsia="ko-KR"/>
        </w:rPr>
        <w:t xml:space="preserve"> </w:t>
      </w:r>
      <w:r w:rsidR="000216EC" w:rsidRPr="00D07E71">
        <w:rPr>
          <w:rFonts w:eastAsia="LTSyntax Regular"/>
          <w:bCs/>
          <w:color w:val="000000" w:themeColor="text1"/>
          <w:lang w:eastAsia="ko-KR"/>
        </w:rPr>
        <w:t>bronzes from the “Hellenistic World,” which</w:t>
      </w:r>
      <w:r w:rsidRPr="00D07E71">
        <w:rPr>
          <w:rFonts w:eastAsia="LTSyntax Regular"/>
          <w:bCs/>
          <w:color w:val="000000" w:themeColor="text1"/>
          <w:lang w:eastAsia="ko-KR"/>
        </w:rPr>
        <w:t>,</w:t>
      </w:r>
      <w:r w:rsidR="0006167C">
        <w:rPr>
          <w:rFonts w:eastAsia="LTSyntax Regular"/>
          <w:bCs/>
          <w:color w:val="000000" w:themeColor="text1"/>
          <w:lang w:eastAsia="ko-KR"/>
        </w:rPr>
        <w:t xml:space="preserve"> in the wake of Alexander’s conquests</w:t>
      </w:r>
      <w:r w:rsidRPr="00D07E71">
        <w:rPr>
          <w:rFonts w:eastAsia="LTSyntax Regular"/>
          <w:bCs/>
          <w:color w:val="000000" w:themeColor="text1"/>
          <w:lang w:eastAsia="ko-KR"/>
        </w:rPr>
        <w:t>,</w:t>
      </w:r>
      <w:r w:rsidR="000216EC" w:rsidRPr="00D07E71">
        <w:rPr>
          <w:rFonts w:eastAsia="LTSyntax Regular"/>
          <w:bCs/>
          <w:color w:val="000000" w:themeColor="text1"/>
          <w:lang w:eastAsia="ko-KR"/>
        </w:rPr>
        <w:t xml:space="preserve"> </w:t>
      </w:r>
      <w:r w:rsidR="0006167C">
        <w:rPr>
          <w:rFonts w:eastAsia="LTSyntax Regular"/>
          <w:bCs/>
          <w:color w:val="000000" w:themeColor="text1"/>
          <w:lang w:eastAsia="ko-KR"/>
        </w:rPr>
        <w:t>stretched far beyond the shores of</w:t>
      </w:r>
      <w:r w:rsidR="000216EC" w:rsidRPr="00D07E71">
        <w:rPr>
          <w:rFonts w:eastAsia="LTSyntax Regular"/>
          <w:bCs/>
          <w:color w:val="000000" w:themeColor="text1"/>
          <w:lang w:eastAsia="ko-KR"/>
        </w:rPr>
        <w:t xml:space="preserve"> the Mediterranean. </w:t>
      </w:r>
      <w:r w:rsidR="0006167C">
        <w:rPr>
          <w:rFonts w:eastAsia="LTSyntax Regular"/>
          <w:bCs/>
          <w:color w:val="000000" w:themeColor="text1"/>
          <w:lang w:eastAsia="ko-KR"/>
        </w:rPr>
        <w:t>Although</w:t>
      </w:r>
      <w:r w:rsidR="0006167C" w:rsidRPr="00D07E71">
        <w:rPr>
          <w:rFonts w:eastAsia="LTSyntax Regular"/>
          <w:bCs/>
          <w:color w:val="000000" w:themeColor="text1"/>
          <w:lang w:eastAsia="ko-KR"/>
        </w:rPr>
        <w:t xml:space="preserve"> </w:t>
      </w:r>
      <w:r w:rsidR="0006167C">
        <w:rPr>
          <w:rFonts w:eastAsia="LTSyntax Regular"/>
          <w:bCs/>
          <w:color w:val="000000" w:themeColor="text1"/>
          <w:lang w:eastAsia="ko-KR"/>
        </w:rPr>
        <w:t xml:space="preserve">modern </w:t>
      </w:r>
      <w:r w:rsidRPr="00D07E71">
        <w:rPr>
          <w:rFonts w:eastAsia="LTSyntax Regular"/>
          <w:bCs/>
          <w:color w:val="000000" w:themeColor="text1"/>
          <w:lang w:eastAsia="ko-KR"/>
        </w:rPr>
        <w:t xml:space="preserve">geopolitical </w:t>
      </w:r>
      <w:r w:rsidR="0006167C">
        <w:rPr>
          <w:rFonts w:eastAsia="LTSyntax Regular"/>
          <w:bCs/>
          <w:color w:val="000000" w:themeColor="text1"/>
          <w:lang w:eastAsia="ko-KR"/>
        </w:rPr>
        <w:t xml:space="preserve">considerations precluded more than </w:t>
      </w:r>
      <w:r w:rsidRPr="00D07E71">
        <w:rPr>
          <w:rFonts w:eastAsia="LTSyntax Regular"/>
          <w:bCs/>
          <w:color w:val="000000" w:themeColor="text1"/>
          <w:lang w:eastAsia="ko-KR"/>
        </w:rPr>
        <w:t xml:space="preserve">a glimpse of the large bronzes preserved from the expanded East, </w:t>
      </w:r>
      <w:r w:rsidR="00226967" w:rsidRPr="00D07E71">
        <w:rPr>
          <w:rFonts w:eastAsia="LTSyntax Regular"/>
          <w:bCs/>
          <w:color w:val="000000" w:themeColor="text1"/>
          <w:lang w:eastAsia="ko-KR"/>
        </w:rPr>
        <w:t xml:space="preserve">some of </w:t>
      </w:r>
      <w:r w:rsidRPr="00D07E71">
        <w:rPr>
          <w:rFonts w:eastAsia="LTSyntax Regular"/>
          <w:bCs/>
          <w:color w:val="000000" w:themeColor="text1"/>
          <w:lang w:eastAsia="ko-KR"/>
        </w:rPr>
        <w:t>this rich</w:t>
      </w:r>
      <w:r w:rsidR="002157CE" w:rsidRPr="00D07E71">
        <w:rPr>
          <w:rFonts w:eastAsia="LTSyntax Regular"/>
          <w:bCs/>
          <w:color w:val="000000" w:themeColor="text1"/>
          <w:lang w:eastAsia="ko-KR"/>
        </w:rPr>
        <w:t xml:space="preserve"> material</w:t>
      </w:r>
      <w:r w:rsidRPr="00D07E71">
        <w:rPr>
          <w:rFonts w:eastAsia="LTSyntax Regular"/>
          <w:bCs/>
          <w:color w:val="000000" w:themeColor="text1"/>
          <w:lang w:eastAsia="ko-KR"/>
        </w:rPr>
        <w:t xml:space="preserve"> wa</w:t>
      </w:r>
      <w:r w:rsidR="00045B11" w:rsidRPr="00D07E71">
        <w:rPr>
          <w:rFonts w:eastAsia="LTSyntax Regular"/>
          <w:bCs/>
          <w:color w:val="000000" w:themeColor="text1"/>
          <w:lang w:eastAsia="ko-KR"/>
        </w:rPr>
        <w:t xml:space="preserve">s </w:t>
      </w:r>
      <w:r w:rsidR="002157CE" w:rsidRPr="00D07E71">
        <w:rPr>
          <w:rFonts w:eastAsia="LTSyntax Regular"/>
          <w:bCs/>
          <w:color w:val="000000" w:themeColor="text1"/>
          <w:lang w:eastAsia="ko-KR"/>
        </w:rPr>
        <w:t xml:space="preserve">duly covered </w:t>
      </w:r>
      <w:r w:rsidR="00045B11" w:rsidRPr="00D07E71">
        <w:rPr>
          <w:rFonts w:eastAsia="LTSyntax Regular"/>
          <w:bCs/>
          <w:color w:val="000000" w:themeColor="text1"/>
          <w:lang w:eastAsia="ko-KR"/>
        </w:rPr>
        <w:t xml:space="preserve">in the </w:t>
      </w:r>
      <w:r w:rsidR="0006167C">
        <w:rPr>
          <w:rFonts w:eastAsia="LTSyntax Regular"/>
          <w:bCs/>
          <w:color w:val="000000" w:themeColor="text1"/>
          <w:lang w:eastAsia="ko-KR"/>
        </w:rPr>
        <w:t xml:space="preserve">exhibition </w:t>
      </w:r>
      <w:r w:rsidR="00045B11" w:rsidRPr="00D07E71">
        <w:rPr>
          <w:rFonts w:eastAsia="LTSyntax Regular"/>
          <w:bCs/>
          <w:color w:val="000000" w:themeColor="text1"/>
          <w:lang w:eastAsia="ko-KR"/>
        </w:rPr>
        <w:t>catalogue.</w:t>
      </w:r>
      <w:r w:rsidRPr="00D07E71">
        <w:rPr>
          <w:rFonts w:eastAsia="LTSyntax Regular"/>
          <w:bCs/>
          <w:color w:val="000000" w:themeColor="text1"/>
          <w:lang w:eastAsia="ko-KR"/>
        </w:rPr>
        <w:t xml:space="preserve"> </w:t>
      </w:r>
      <w:r w:rsidR="002157CE" w:rsidRPr="00D07E71">
        <w:rPr>
          <w:rFonts w:eastAsia="LTSyntax Regular"/>
          <w:bCs/>
          <w:color w:val="000000" w:themeColor="text1"/>
          <w:lang w:eastAsia="ko-KR"/>
        </w:rPr>
        <w:t>The</w:t>
      </w:r>
      <w:r w:rsidR="00804FDD" w:rsidRPr="00D07E71">
        <w:rPr>
          <w:rFonts w:eastAsia="LTSyntax Regular"/>
          <w:bCs/>
          <w:color w:val="000000" w:themeColor="text1"/>
          <w:lang w:eastAsia="ko-KR"/>
        </w:rPr>
        <w:t xml:space="preserve"> </w:t>
      </w:r>
      <w:r w:rsidR="00045B11" w:rsidRPr="00D07E71">
        <w:rPr>
          <w:rFonts w:eastAsia="LTSyntax Regular"/>
          <w:bCs/>
          <w:color w:val="000000" w:themeColor="text1"/>
          <w:lang w:eastAsia="ko-KR"/>
        </w:rPr>
        <w:t xml:space="preserve">number of </w:t>
      </w:r>
      <w:r w:rsidR="0057054E">
        <w:rPr>
          <w:rFonts w:eastAsia="LTSyntax Regular"/>
          <w:bCs/>
          <w:color w:val="000000" w:themeColor="text1"/>
          <w:lang w:eastAsia="ko-KR"/>
        </w:rPr>
        <w:t xml:space="preserve">Congress </w:t>
      </w:r>
      <w:r w:rsidR="00045B11" w:rsidRPr="00D07E71">
        <w:rPr>
          <w:rFonts w:eastAsia="LTSyntax Regular"/>
          <w:bCs/>
          <w:color w:val="000000" w:themeColor="text1"/>
          <w:lang w:eastAsia="ko-KR"/>
        </w:rPr>
        <w:t xml:space="preserve">papers </w:t>
      </w:r>
      <w:r w:rsidR="002157CE" w:rsidRPr="00D07E71">
        <w:rPr>
          <w:rFonts w:eastAsia="LTSyntax Regular"/>
          <w:bCs/>
          <w:color w:val="000000" w:themeColor="text1"/>
          <w:lang w:eastAsia="ko-KR"/>
        </w:rPr>
        <w:t>addressing bronzes in the Hellenistic East</w:t>
      </w:r>
      <w:r w:rsidR="00045B11" w:rsidRPr="00D07E71">
        <w:rPr>
          <w:rFonts w:eastAsia="LTSyntax Regular"/>
          <w:bCs/>
          <w:color w:val="000000" w:themeColor="text1"/>
          <w:lang w:eastAsia="ko-KR"/>
        </w:rPr>
        <w:t xml:space="preserve"> warranted </w:t>
      </w:r>
      <w:r w:rsidR="002157CE" w:rsidRPr="00D07E71">
        <w:rPr>
          <w:rFonts w:eastAsia="LTSyntax Regular"/>
          <w:bCs/>
          <w:color w:val="000000" w:themeColor="text1"/>
          <w:lang w:eastAsia="ko-KR"/>
        </w:rPr>
        <w:t>a separate session</w:t>
      </w:r>
      <w:r w:rsidR="00804FDD" w:rsidRPr="00D07E71">
        <w:rPr>
          <w:rFonts w:eastAsia="LTSyntax Regular"/>
          <w:bCs/>
          <w:color w:val="000000" w:themeColor="text1"/>
          <w:lang w:eastAsia="ko-KR"/>
        </w:rPr>
        <w:t xml:space="preserve">. These </w:t>
      </w:r>
      <w:r w:rsidR="00366EA2" w:rsidRPr="00D07E71">
        <w:rPr>
          <w:rFonts w:eastAsia="LTSyntax Regular"/>
          <w:bCs/>
          <w:color w:val="000000" w:themeColor="text1"/>
          <w:lang w:eastAsia="ko-KR"/>
        </w:rPr>
        <w:t>explore bronze—</w:t>
      </w:r>
      <w:r w:rsidR="00ED5C38" w:rsidRPr="00D07E71">
        <w:rPr>
          <w:rFonts w:eastAsia="LTSyntax Regular"/>
          <w:bCs/>
          <w:color w:val="000000" w:themeColor="text1"/>
          <w:lang w:eastAsia="ko-KR"/>
        </w:rPr>
        <w:t>a</w:t>
      </w:r>
      <w:r w:rsidR="00366EA2" w:rsidRPr="00D07E71">
        <w:rPr>
          <w:rFonts w:eastAsia="LTSyntax Regular"/>
          <w:bCs/>
          <w:color w:val="000000" w:themeColor="text1"/>
          <w:lang w:eastAsia="ko-KR"/>
        </w:rPr>
        <w:t>nd its influence on other media—</w:t>
      </w:r>
      <w:r w:rsidR="00ED5C38" w:rsidRPr="00D07E71">
        <w:rPr>
          <w:rFonts w:eastAsia="LTSyntax Regular"/>
          <w:bCs/>
          <w:color w:val="000000" w:themeColor="text1"/>
          <w:lang w:eastAsia="ko-KR"/>
        </w:rPr>
        <w:t xml:space="preserve">from sites </w:t>
      </w:r>
      <w:r w:rsidR="0057054E">
        <w:rPr>
          <w:rFonts w:eastAsia="LTSyntax Regular"/>
          <w:bCs/>
          <w:color w:val="000000" w:themeColor="text1"/>
          <w:lang w:eastAsia="ko-KR"/>
        </w:rPr>
        <w:t>ranging from</w:t>
      </w:r>
      <w:r w:rsidR="0057054E" w:rsidRPr="00D07E71">
        <w:rPr>
          <w:rFonts w:eastAsia="LTSyntax Regular"/>
          <w:bCs/>
          <w:color w:val="000000" w:themeColor="text1"/>
          <w:lang w:eastAsia="ko-KR"/>
        </w:rPr>
        <w:t xml:space="preserve"> </w:t>
      </w:r>
      <w:r w:rsidR="00ED5C38" w:rsidRPr="00D07E71">
        <w:rPr>
          <w:rFonts w:eastAsia="LTSyntax Regular"/>
          <w:bCs/>
          <w:color w:val="000000" w:themeColor="text1"/>
          <w:lang w:eastAsia="ko-KR"/>
        </w:rPr>
        <w:t>central Anatolia</w:t>
      </w:r>
      <w:r w:rsidR="0061365F">
        <w:rPr>
          <w:rFonts w:eastAsia="LTSyntax Regular"/>
          <w:bCs/>
          <w:color w:val="000000" w:themeColor="text1"/>
          <w:lang w:eastAsia="ko-KR"/>
        </w:rPr>
        <w:t xml:space="preserve"> (21)</w:t>
      </w:r>
      <w:r w:rsidR="00ED5C38" w:rsidRPr="00D07E71">
        <w:rPr>
          <w:rFonts w:eastAsia="LTSyntax Regular"/>
          <w:bCs/>
          <w:color w:val="000000" w:themeColor="text1"/>
          <w:lang w:eastAsia="ko-KR"/>
        </w:rPr>
        <w:t>, Syria</w:t>
      </w:r>
      <w:r w:rsidR="009931EB">
        <w:rPr>
          <w:rFonts w:eastAsia="LTSyntax Regular"/>
          <w:bCs/>
          <w:color w:val="000000" w:themeColor="text1"/>
          <w:lang w:eastAsia="ko-KR"/>
        </w:rPr>
        <w:t xml:space="preserve"> (23)</w:t>
      </w:r>
      <w:r w:rsidR="00ED5C38" w:rsidRPr="00D07E71">
        <w:rPr>
          <w:rFonts w:eastAsia="LTSyntax Regular"/>
          <w:bCs/>
          <w:color w:val="000000" w:themeColor="text1"/>
          <w:lang w:eastAsia="ko-KR"/>
        </w:rPr>
        <w:t>, and Iran</w:t>
      </w:r>
      <w:r w:rsidR="0061365F">
        <w:rPr>
          <w:rFonts w:eastAsia="LTSyntax Regular"/>
          <w:bCs/>
          <w:color w:val="000000" w:themeColor="text1"/>
          <w:lang w:eastAsia="ko-KR"/>
        </w:rPr>
        <w:t xml:space="preserve"> (22)</w:t>
      </w:r>
      <w:r w:rsidR="00ED5C38" w:rsidRPr="00D07E71">
        <w:rPr>
          <w:rFonts w:eastAsia="LTSyntax Regular"/>
          <w:bCs/>
          <w:color w:val="000000" w:themeColor="text1"/>
          <w:lang w:eastAsia="ko-KR"/>
        </w:rPr>
        <w:t xml:space="preserve"> to Uzbekistan</w:t>
      </w:r>
      <w:r w:rsidR="003625D9" w:rsidRPr="00D07E71">
        <w:rPr>
          <w:rFonts w:eastAsia="LTSyntax Regular"/>
          <w:bCs/>
          <w:color w:val="000000" w:themeColor="text1"/>
          <w:lang w:eastAsia="ko-KR"/>
        </w:rPr>
        <w:t xml:space="preserve"> in Central Asia</w:t>
      </w:r>
      <w:r w:rsidR="00ED5C38" w:rsidRPr="00D07E71">
        <w:rPr>
          <w:rFonts w:eastAsia="LTSyntax Regular"/>
          <w:bCs/>
          <w:color w:val="000000" w:themeColor="text1"/>
          <w:lang w:eastAsia="ko-KR"/>
        </w:rPr>
        <w:t xml:space="preserve"> in the area of ancient Bactria. </w:t>
      </w:r>
      <w:r w:rsidR="00226967" w:rsidRPr="00D07E71">
        <w:rPr>
          <w:rFonts w:eastAsia="LTSyntax Regular"/>
          <w:bCs/>
          <w:color w:val="000000" w:themeColor="text1"/>
          <w:lang w:eastAsia="ko-KR"/>
        </w:rPr>
        <w:t>(</w:t>
      </w:r>
      <w:r w:rsidR="00171FF0" w:rsidRPr="00D07E71">
        <w:rPr>
          <w:rFonts w:eastAsia="LTSyntax Regular"/>
          <w:bCs/>
          <w:color w:val="000000" w:themeColor="text1"/>
          <w:lang w:eastAsia="ko-KR"/>
        </w:rPr>
        <w:t>An irony illustrating</w:t>
      </w:r>
      <w:r w:rsidR="00226967" w:rsidRPr="00D07E71">
        <w:rPr>
          <w:rFonts w:eastAsia="LTSyntax Regular"/>
          <w:bCs/>
          <w:color w:val="000000" w:themeColor="text1"/>
          <w:lang w:eastAsia="ko-KR"/>
        </w:rPr>
        <w:t xml:space="preserve"> the </w:t>
      </w:r>
      <w:r w:rsidR="00171FF0" w:rsidRPr="00D07E71">
        <w:rPr>
          <w:rFonts w:eastAsia="LTSyntax Regular"/>
          <w:bCs/>
          <w:color w:val="000000" w:themeColor="text1"/>
          <w:lang w:eastAsia="ko-KR"/>
        </w:rPr>
        <w:t xml:space="preserve">truly </w:t>
      </w:r>
      <w:r w:rsidR="00226967" w:rsidRPr="00D07E71">
        <w:rPr>
          <w:rFonts w:eastAsia="LTSyntax Regular"/>
          <w:bCs/>
          <w:color w:val="000000" w:themeColor="text1"/>
          <w:lang w:eastAsia="ko-KR"/>
        </w:rPr>
        <w:t xml:space="preserve">global reach of the International Bronze Congress: </w:t>
      </w:r>
      <w:r w:rsidR="0057054E">
        <w:rPr>
          <w:rFonts w:eastAsia="LTSyntax Regular"/>
          <w:bCs/>
          <w:color w:val="000000" w:themeColor="text1"/>
          <w:lang w:eastAsia="ko-KR"/>
        </w:rPr>
        <w:t>o</w:t>
      </w:r>
      <w:r w:rsidR="007202D5" w:rsidRPr="00D07E71">
        <w:rPr>
          <w:rFonts w:eastAsia="LTSyntax Regular"/>
          <w:bCs/>
          <w:color w:val="000000" w:themeColor="text1"/>
          <w:lang w:eastAsia="ko-KR"/>
        </w:rPr>
        <w:t xml:space="preserve">f all venues in </w:t>
      </w:r>
      <w:r w:rsidR="00226967" w:rsidRPr="00D07E71">
        <w:rPr>
          <w:rFonts w:eastAsia="LTSyntax Regular"/>
          <w:bCs/>
          <w:color w:val="000000" w:themeColor="text1"/>
          <w:lang w:eastAsia="ko-KR"/>
        </w:rPr>
        <w:t>its</w:t>
      </w:r>
      <w:r w:rsidR="007202D5" w:rsidRPr="00D07E71">
        <w:rPr>
          <w:rFonts w:eastAsia="LTSyntax Regular"/>
          <w:bCs/>
          <w:color w:val="000000" w:themeColor="text1"/>
          <w:lang w:eastAsia="ko-KR"/>
        </w:rPr>
        <w:t xml:space="preserve"> history, Los Angeles has been </w:t>
      </w:r>
      <w:r w:rsidR="00226967" w:rsidRPr="00D07E71">
        <w:rPr>
          <w:rFonts w:eastAsia="LTSyntax Regular"/>
          <w:bCs/>
          <w:color w:val="000000" w:themeColor="text1"/>
          <w:lang w:eastAsia="ko-KR"/>
        </w:rPr>
        <w:t>the most western!)</w:t>
      </w:r>
      <w:r w:rsidR="007202D5" w:rsidRPr="00D07E71">
        <w:rPr>
          <w:rFonts w:eastAsia="LTSyntax Regular"/>
          <w:bCs/>
          <w:color w:val="000000" w:themeColor="text1"/>
          <w:lang w:eastAsia="ko-KR"/>
        </w:rPr>
        <w:t xml:space="preserve"> </w:t>
      </w:r>
    </w:p>
    <w:p w14:paraId="3957D4AE" w14:textId="77777777" w:rsidR="00816B88" w:rsidRPr="00D07E71" w:rsidRDefault="00816B88" w:rsidP="009F46C7">
      <w:pPr>
        <w:pStyle w:val="NormalWeb"/>
        <w:spacing w:before="0" w:beforeAutospacing="0" w:after="0" w:afterAutospacing="0" w:line="360" w:lineRule="auto"/>
        <w:ind w:left="1080"/>
        <w:rPr>
          <w:bCs/>
        </w:rPr>
      </w:pPr>
    </w:p>
    <w:p w14:paraId="7986EFB3" w14:textId="77777777" w:rsidR="00171FF0" w:rsidRPr="00EA1E22" w:rsidRDefault="00EA1E22" w:rsidP="009F46C7">
      <w:pPr>
        <w:pStyle w:val="NormalWeb"/>
        <w:spacing w:before="0" w:beforeAutospacing="0" w:after="0" w:afterAutospacing="0" w:line="360" w:lineRule="auto"/>
        <w:rPr>
          <w:bCs/>
        </w:rPr>
      </w:pPr>
      <w:r>
        <w:rPr>
          <w:bCs/>
        </w:rPr>
        <w:t>[A-head]</w:t>
      </w:r>
      <w:r w:rsidR="00313A67" w:rsidRPr="00313A67">
        <w:rPr>
          <w:bCs/>
        </w:rPr>
        <w:t xml:space="preserve">Vessels </w:t>
      </w:r>
    </w:p>
    <w:p w14:paraId="48A693B9" w14:textId="77777777" w:rsidR="00EA1E22" w:rsidRDefault="00EA1E22" w:rsidP="009F46C7">
      <w:pPr>
        <w:pStyle w:val="NormalWeb"/>
        <w:spacing w:before="0" w:beforeAutospacing="0" w:after="0" w:afterAutospacing="0" w:line="360" w:lineRule="auto"/>
        <w:rPr>
          <w:bCs/>
        </w:rPr>
      </w:pPr>
    </w:p>
    <w:p w14:paraId="397DF70D" w14:textId="77777777" w:rsidR="003625D9" w:rsidRPr="00D07E71" w:rsidRDefault="00171FF0" w:rsidP="009F46C7">
      <w:pPr>
        <w:pStyle w:val="NormalWeb"/>
        <w:spacing w:before="0" w:beforeAutospacing="0" w:after="0" w:afterAutospacing="0" w:line="360" w:lineRule="auto"/>
        <w:rPr>
          <w:bCs/>
        </w:rPr>
      </w:pPr>
      <w:r w:rsidRPr="00D07E71">
        <w:rPr>
          <w:bCs/>
        </w:rPr>
        <w:t>Mid-</w:t>
      </w:r>
      <w:r w:rsidR="00EB5A61" w:rsidRPr="00D07E71">
        <w:rPr>
          <w:bCs/>
        </w:rPr>
        <w:t>East</w:t>
      </w:r>
      <w:r w:rsidR="00DE453A" w:rsidRPr="00D07E71">
        <w:rPr>
          <w:bCs/>
        </w:rPr>
        <w:t xml:space="preserve">ern </w:t>
      </w:r>
      <w:r w:rsidRPr="00D07E71">
        <w:rPr>
          <w:bCs/>
        </w:rPr>
        <w:t>perspectives were</w:t>
      </w:r>
      <w:r w:rsidR="00EB5A61" w:rsidRPr="00D07E71">
        <w:rPr>
          <w:bCs/>
        </w:rPr>
        <w:t xml:space="preserve"> also present among the </w:t>
      </w:r>
      <w:r w:rsidR="00A50BE7" w:rsidRPr="00D07E71">
        <w:rPr>
          <w:bCs/>
        </w:rPr>
        <w:t>papers</w:t>
      </w:r>
      <w:r w:rsidR="00EB5A61" w:rsidRPr="00D07E71">
        <w:rPr>
          <w:bCs/>
        </w:rPr>
        <w:t xml:space="preserve"> dealing with bronze vessels, be it </w:t>
      </w:r>
      <w:r w:rsidRPr="00D07E71">
        <w:rPr>
          <w:bCs/>
        </w:rPr>
        <w:t>a</w:t>
      </w:r>
      <w:r w:rsidR="0057054E">
        <w:rPr>
          <w:bCs/>
        </w:rPr>
        <w:t>n</w:t>
      </w:r>
      <w:r w:rsidRPr="00D07E71">
        <w:rPr>
          <w:bCs/>
        </w:rPr>
        <w:t xml:space="preserve"> </w:t>
      </w:r>
      <w:r w:rsidR="0057054E">
        <w:rPr>
          <w:bCs/>
        </w:rPr>
        <w:t>examination of</w:t>
      </w:r>
      <w:r w:rsidR="0057054E" w:rsidRPr="00D07E71">
        <w:rPr>
          <w:bCs/>
        </w:rPr>
        <w:t xml:space="preserve"> </w:t>
      </w:r>
      <w:r w:rsidRPr="00D07E71">
        <w:rPr>
          <w:bCs/>
        </w:rPr>
        <w:t>figurative vases</w:t>
      </w:r>
      <w:r w:rsidR="00EB5A61" w:rsidRPr="00D07E71">
        <w:rPr>
          <w:bCs/>
        </w:rPr>
        <w:t xml:space="preserve"> from Lebanon (</w:t>
      </w:r>
      <w:r w:rsidR="00F83FB0" w:rsidRPr="00D07E71">
        <w:rPr>
          <w:bCs/>
        </w:rPr>
        <w:t>28</w:t>
      </w:r>
      <w:r w:rsidR="00EB5A61" w:rsidRPr="00D07E71">
        <w:rPr>
          <w:bCs/>
        </w:rPr>
        <w:t xml:space="preserve">) or a historical </w:t>
      </w:r>
      <w:r w:rsidRPr="00D07E71">
        <w:rPr>
          <w:bCs/>
        </w:rPr>
        <w:t>study</w:t>
      </w:r>
      <w:r w:rsidR="00EB5A61" w:rsidRPr="00D07E71">
        <w:rPr>
          <w:bCs/>
        </w:rPr>
        <w:t xml:space="preserve"> of the role Hellenistic vessels played in the origins and development of Islamic metalware (</w:t>
      </w:r>
      <w:r w:rsidR="00F83FB0" w:rsidRPr="00D07E71">
        <w:rPr>
          <w:bCs/>
        </w:rPr>
        <w:t>29</w:t>
      </w:r>
      <w:r w:rsidR="00EB5A61" w:rsidRPr="00D07E71">
        <w:rPr>
          <w:bCs/>
        </w:rPr>
        <w:t>).</w:t>
      </w:r>
      <w:r w:rsidRPr="00D07E71">
        <w:rPr>
          <w:bCs/>
        </w:rPr>
        <w:t xml:space="preserve"> </w:t>
      </w:r>
      <w:r w:rsidR="002A706E" w:rsidRPr="00D07E71">
        <w:rPr>
          <w:bCs/>
        </w:rPr>
        <w:t xml:space="preserve">The Derveni Krater, </w:t>
      </w:r>
      <w:r w:rsidR="00EA1E22">
        <w:rPr>
          <w:bCs/>
        </w:rPr>
        <w:t xml:space="preserve">the </w:t>
      </w:r>
      <w:r w:rsidR="002A706E" w:rsidRPr="00D07E71">
        <w:rPr>
          <w:bCs/>
        </w:rPr>
        <w:t xml:space="preserve">subject of a series of papers in previous congresses, has been reconfirmed as a touchstone and climax of bronze artistry </w:t>
      </w:r>
      <w:r w:rsidR="00F83FB0" w:rsidRPr="00D07E71">
        <w:rPr>
          <w:bCs/>
        </w:rPr>
        <w:t>of any period (26).</w:t>
      </w:r>
    </w:p>
    <w:p w14:paraId="307B7535" w14:textId="77777777" w:rsidR="003625D9" w:rsidRPr="00D07E71" w:rsidRDefault="003625D9" w:rsidP="009F46C7">
      <w:pPr>
        <w:pStyle w:val="NormalWeb"/>
        <w:spacing w:before="0" w:beforeAutospacing="0" w:after="0" w:afterAutospacing="0" w:line="360" w:lineRule="auto"/>
        <w:rPr>
          <w:bCs/>
        </w:rPr>
      </w:pPr>
    </w:p>
    <w:p w14:paraId="0B4C30AC" w14:textId="77777777" w:rsidR="000840AB" w:rsidRPr="00EA1E22" w:rsidRDefault="00EA1E22" w:rsidP="009F46C7">
      <w:pPr>
        <w:pStyle w:val="NormalWeb"/>
        <w:spacing w:before="0" w:beforeAutospacing="0" w:after="0" w:afterAutospacing="0" w:line="360" w:lineRule="auto"/>
        <w:rPr>
          <w:bCs/>
        </w:rPr>
      </w:pPr>
      <w:r>
        <w:rPr>
          <w:bCs/>
        </w:rPr>
        <w:t>[A-head]</w:t>
      </w:r>
      <w:r w:rsidR="00313A67" w:rsidRPr="00313A67">
        <w:rPr>
          <w:bCs/>
        </w:rPr>
        <w:t xml:space="preserve">Artifacts </w:t>
      </w:r>
    </w:p>
    <w:p w14:paraId="04F3F5BA" w14:textId="77777777" w:rsidR="00EA1E22" w:rsidRDefault="00EA1E22" w:rsidP="009F46C7">
      <w:pPr>
        <w:pStyle w:val="NormalWeb"/>
        <w:spacing w:before="0" w:beforeAutospacing="0" w:after="0" w:afterAutospacing="0" w:line="360" w:lineRule="auto"/>
        <w:rPr>
          <w:bCs/>
        </w:rPr>
      </w:pPr>
    </w:p>
    <w:p w14:paraId="1E269FBD" w14:textId="77777777" w:rsidR="000840AB" w:rsidRPr="00D07E71" w:rsidRDefault="007928B6" w:rsidP="009F46C7">
      <w:pPr>
        <w:pStyle w:val="NormalWeb"/>
        <w:spacing w:before="0" w:beforeAutospacing="0" w:after="0" w:afterAutospacing="0" w:line="360" w:lineRule="auto"/>
        <w:rPr>
          <w:bCs/>
        </w:rPr>
      </w:pPr>
      <w:r w:rsidRPr="00D07E71">
        <w:rPr>
          <w:bCs/>
        </w:rPr>
        <w:t>Since its early days, the</w:t>
      </w:r>
      <w:r w:rsidR="000840AB" w:rsidRPr="00D07E71">
        <w:rPr>
          <w:bCs/>
        </w:rPr>
        <w:t xml:space="preserve"> Bronze Congress</w:t>
      </w:r>
      <w:r w:rsidRPr="00D07E71">
        <w:rPr>
          <w:bCs/>
        </w:rPr>
        <w:t xml:space="preserve"> has provided a forum not only for “major artw</w:t>
      </w:r>
      <w:r w:rsidR="00C91F0D" w:rsidRPr="00D07E71">
        <w:rPr>
          <w:bCs/>
        </w:rPr>
        <w:t>orks</w:t>
      </w:r>
      <w:r w:rsidR="0057054E">
        <w:rPr>
          <w:bCs/>
        </w:rPr>
        <w:t>”</w:t>
      </w:r>
      <w:r w:rsidR="00C91F0D" w:rsidRPr="00D07E71">
        <w:rPr>
          <w:bCs/>
        </w:rPr>
        <w:t xml:space="preserve"> such as sculpture or elaborate </w:t>
      </w:r>
      <w:r w:rsidRPr="00D07E71">
        <w:rPr>
          <w:bCs/>
        </w:rPr>
        <w:t>vessels, but also for</w:t>
      </w:r>
      <w:r w:rsidR="0057054E">
        <w:rPr>
          <w:bCs/>
        </w:rPr>
        <w:t xml:space="preserve"> more mundane</w:t>
      </w:r>
      <w:r w:rsidRPr="00D07E71">
        <w:rPr>
          <w:bCs/>
        </w:rPr>
        <w:t xml:space="preserve"> </w:t>
      </w:r>
      <w:r w:rsidR="00C91F0D" w:rsidRPr="00D07E71">
        <w:rPr>
          <w:bCs/>
        </w:rPr>
        <w:t xml:space="preserve">artifacts and implements, from </w:t>
      </w:r>
      <w:r w:rsidR="00C91F0D" w:rsidRPr="00D07E71">
        <w:rPr>
          <w:bCs/>
        </w:rPr>
        <w:lastRenderedPageBreak/>
        <w:t>armor and weaponry, lamps and mirrors</w:t>
      </w:r>
      <w:r w:rsidR="00EA1E22">
        <w:rPr>
          <w:bCs/>
        </w:rPr>
        <w:t>,</w:t>
      </w:r>
      <w:r w:rsidR="00C91F0D" w:rsidRPr="00D07E71">
        <w:rPr>
          <w:bCs/>
        </w:rPr>
        <w:t xml:space="preserve"> to medical instruments and even nails. </w:t>
      </w:r>
      <w:r w:rsidR="00464F24" w:rsidRPr="00D07E71">
        <w:rPr>
          <w:bCs/>
        </w:rPr>
        <w:t>One paper reminds us that</w:t>
      </w:r>
      <w:r w:rsidR="00D724D1" w:rsidRPr="00D07E71">
        <w:rPr>
          <w:bCs/>
        </w:rPr>
        <w:t xml:space="preserve"> as early as the Minoan period, the smallest of cosmetic devices, such as tweezers and scrapers, cou</w:t>
      </w:r>
      <w:r w:rsidR="007A736C" w:rsidRPr="00D07E71">
        <w:rPr>
          <w:bCs/>
        </w:rPr>
        <w:t>ld in fact be status symbols (30</w:t>
      </w:r>
      <w:r w:rsidR="00D724D1" w:rsidRPr="00D07E71">
        <w:rPr>
          <w:bCs/>
        </w:rPr>
        <w:t xml:space="preserve">). </w:t>
      </w:r>
      <w:r w:rsidR="00D8183E" w:rsidRPr="00D07E71">
        <w:rPr>
          <w:bCs/>
        </w:rPr>
        <w:t>Similarly</w:t>
      </w:r>
      <w:r w:rsidR="007A736C" w:rsidRPr="00D07E71">
        <w:rPr>
          <w:bCs/>
        </w:rPr>
        <w:t xml:space="preserve">, </w:t>
      </w:r>
      <w:r w:rsidR="00D8183E" w:rsidRPr="00D07E71">
        <w:rPr>
          <w:bCs/>
        </w:rPr>
        <w:t xml:space="preserve">bronze </w:t>
      </w:r>
      <w:r w:rsidR="0057054E">
        <w:rPr>
          <w:bCs/>
        </w:rPr>
        <w:t xml:space="preserve">cases for </w:t>
      </w:r>
      <w:r w:rsidR="00D8183E" w:rsidRPr="00D07E71">
        <w:rPr>
          <w:bCs/>
        </w:rPr>
        <w:t xml:space="preserve">writing and medical </w:t>
      </w:r>
      <w:r w:rsidR="0057054E">
        <w:rPr>
          <w:bCs/>
        </w:rPr>
        <w:t>implements</w:t>
      </w:r>
      <w:r w:rsidR="0057054E" w:rsidRPr="00D07E71">
        <w:rPr>
          <w:bCs/>
        </w:rPr>
        <w:t xml:space="preserve"> </w:t>
      </w:r>
      <w:r w:rsidR="007A736C" w:rsidRPr="00D07E71">
        <w:rPr>
          <w:bCs/>
        </w:rPr>
        <w:t xml:space="preserve">found </w:t>
      </w:r>
      <w:r w:rsidR="00D8183E" w:rsidRPr="00D07E71">
        <w:rPr>
          <w:bCs/>
        </w:rPr>
        <w:t xml:space="preserve">in </w:t>
      </w:r>
      <w:r w:rsidR="000D2D63" w:rsidRPr="00D07E71">
        <w:rPr>
          <w:bCs/>
        </w:rPr>
        <w:t>Hellenistic Macedonia</w:t>
      </w:r>
      <w:r w:rsidR="00D8183E" w:rsidRPr="00D07E71">
        <w:rPr>
          <w:bCs/>
        </w:rPr>
        <w:t xml:space="preserve">n tombs </w:t>
      </w:r>
      <w:r w:rsidR="0057054E">
        <w:rPr>
          <w:bCs/>
        </w:rPr>
        <w:t>formed</w:t>
      </w:r>
      <w:r w:rsidR="0057054E" w:rsidRPr="00D07E71">
        <w:rPr>
          <w:bCs/>
        </w:rPr>
        <w:t xml:space="preserve"> </w:t>
      </w:r>
      <w:r w:rsidR="00D8183E" w:rsidRPr="00D07E71">
        <w:rPr>
          <w:bCs/>
        </w:rPr>
        <w:t xml:space="preserve">part of </w:t>
      </w:r>
      <w:r w:rsidR="000D2D63" w:rsidRPr="00D07E71">
        <w:rPr>
          <w:bCs/>
        </w:rPr>
        <w:t xml:space="preserve">elite </w:t>
      </w:r>
      <w:r w:rsidR="00D8183E" w:rsidRPr="00D07E71">
        <w:rPr>
          <w:bCs/>
        </w:rPr>
        <w:t>burials</w:t>
      </w:r>
      <w:r w:rsidR="00887BD0" w:rsidRPr="00D07E71">
        <w:rPr>
          <w:bCs/>
        </w:rPr>
        <w:t xml:space="preserve"> </w:t>
      </w:r>
      <w:r w:rsidR="007A736C" w:rsidRPr="00D07E71">
        <w:rPr>
          <w:bCs/>
        </w:rPr>
        <w:t>(32)</w:t>
      </w:r>
      <w:r w:rsidR="000D2D63" w:rsidRPr="00D07E71">
        <w:rPr>
          <w:bCs/>
        </w:rPr>
        <w:t xml:space="preserve">. </w:t>
      </w:r>
      <w:r w:rsidR="00F11FA9" w:rsidRPr="00D07E71">
        <w:rPr>
          <w:bCs/>
        </w:rPr>
        <w:t>Among</w:t>
      </w:r>
      <w:r w:rsidR="00295000" w:rsidRPr="00D07E71">
        <w:rPr>
          <w:bCs/>
        </w:rPr>
        <w:t xml:space="preserve"> the</w:t>
      </w:r>
      <w:r w:rsidR="00F11FA9" w:rsidRPr="00D07E71">
        <w:rPr>
          <w:bCs/>
        </w:rPr>
        <w:t xml:space="preserve"> n</w:t>
      </w:r>
      <w:r w:rsidR="00887BD0" w:rsidRPr="00D07E71">
        <w:rPr>
          <w:bCs/>
        </w:rPr>
        <w:t>ew material</w:t>
      </w:r>
      <w:r w:rsidR="00F11FA9" w:rsidRPr="00D07E71">
        <w:rPr>
          <w:bCs/>
        </w:rPr>
        <w:t xml:space="preserve"> presented</w:t>
      </w:r>
      <w:r w:rsidR="00295000" w:rsidRPr="00D07E71">
        <w:rPr>
          <w:bCs/>
        </w:rPr>
        <w:t xml:space="preserve"> in this section—either</w:t>
      </w:r>
      <w:r w:rsidR="00887BD0" w:rsidRPr="00D07E71">
        <w:rPr>
          <w:bCs/>
        </w:rPr>
        <w:t xml:space="preserve"> unpublished or </w:t>
      </w:r>
      <w:r w:rsidR="00295000" w:rsidRPr="00D07E71">
        <w:rPr>
          <w:bCs/>
        </w:rPr>
        <w:t xml:space="preserve">hitherto </w:t>
      </w:r>
      <w:r w:rsidR="00887BD0" w:rsidRPr="00D07E71">
        <w:rPr>
          <w:bCs/>
        </w:rPr>
        <w:t>misinterpreted</w:t>
      </w:r>
      <w:r w:rsidR="00295000" w:rsidRPr="00D07E71">
        <w:rPr>
          <w:bCs/>
        </w:rPr>
        <w:t>—were</w:t>
      </w:r>
      <w:r w:rsidR="00887BD0" w:rsidRPr="00D07E71">
        <w:rPr>
          <w:bCs/>
        </w:rPr>
        <w:t xml:space="preserve"> engraved bronze inlays</w:t>
      </w:r>
      <w:r w:rsidR="00295000" w:rsidRPr="00D07E71">
        <w:rPr>
          <w:bCs/>
        </w:rPr>
        <w:t>, modest products by themselves but</w:t>
      </w:r>
      <w:r w:rsidR="00887BD0" w:rsidRPr="00D07E71">
        <w:rPr>
          <w:bCs/>
        </w:rPr>
        <w:t xml:space="preserve"> </w:t>
      </w:r>
      <w:r w:rsidR="00295000" w:rsidRPr="00D07E71">
        <w:rPr>
          <w:bCs/>
        </w:rPr>
        <w:t xml:space="preserve">now understood as decorations for </w:t>
      </w:r>
      <w:r w:rsidR="00887BD0" w:rsidRPr="00D07E71">
        <w:rPr>
          <w:bCs/>
        </w:rPr>
        <w:t>elaborate musical instruments (34).</w:t>
      </w:r>
    </w:p>
    <w:p w14:paraId="4ACACDDB" w14:textId="77777777" w:rsidR="00D724D1" w:rsidRPr="00D07E71" w:rsidRDefault="00D724D1" w:rsidP="009F46C7">
      <w:pPr>
        <w:pStyle w:val="NormalWeb"/>
        <w:spacing w:before="0" w:beforeAutospacing="0" w:after="0" w:afterAutospacing="0" w:line="360" w:lineRule="auto"/>
        <w:rPr>
          <w:bCs/>
        </w:rPr>
      </w:pPr>
    </w:p>
    <w:p w14:paraId="61482D3D" w14:textId="77777777" w:rsidR="00065336" w:rsidRPr="00EA1E22" w:rsidRDefault="00EA1E22" w:rsidP="009F46C7">
      <w:pPr>
        <w:pStyle w:val="NormalWeb"/>
        <w:spacing w:before="0" w:beforeAutospacing="0" w:after="0" w:afterAutospacing="0" w:line="360" w:lineRule="auto"/>
        <w:rPr>
          <w:bCs/>
        </w:rPr>
      </w:pPr>
      <w:r>
        <w:rPr>
          <w:bCs/>
        </w:rPr>
        <w:t>[A-head]</w:t>
      </w:r>
      <w:r w:rsidR="00313A67" w:rsidRPr="00313A67">
        <w:rPr>
          <w:bCs/>
        </w:rPr>
        <w:t xml:space="preserve">Conservation and Analysis </w:t>
      </w:r>
    </w:p>
    <w:p w14:paraId="28FC5F78" w14:textId="77777777" w:rsidR="00EA1E22" w:rsidRDefault="00EA1E22" w:rsidP="009F46C7">
      <w:pPr>
        <w:pStyle w:val="NormalWeb"/>
        <w:spacing w:before="0" w:beforeAutospacing="0" w:after="0" w:afterAutospacing="0" w:line="360" w:lineRule="auto"/>
        <w:rPr>
          <w:bCs/>
        </w:rPr>
      </w:pPr>
    </w:p>
    <w:p w14:paraId="74E73E0E" w14:textId="77777777" w:rsidR="008B391F" w:rsidRPr="00D07E71" w:rsidRDefault="00AC6BBB" w:rsidP="009F46C7">
      <w:pPr>
        <w:pStyle w:val="NormalWeb"/>
        <w:spacing w:before="0" w:beforeAutospacing="0" w:after="0" w:afterAutospacing="0" w:line="360" w:lineRule="auto"/>
        <w:rPr>
          <w:bCs/>
        </w:rPr>
      </w:pPr>
      <w:r w:rsidRPr="00D07E71">
        <w:rPr>
          <w:bCs/>
        </w:rPr>
        <w:t xml:space="preserve">One of the defining </w:t>
      </w:r>
      <w:r w:rsidR="009133A3" w:rsidRPr="00D07E71">
        <w:rPr>
          <w:bCs/>
        </w:rPr>
        <w:t>roles</w:t>
      </w:r>
      <w:r w:rsidRPr="00D07E71">
        <w:rPr>
          <w:bCs/>
        </w:rPr>
        <w:t xml:space="preserve"> of</w:t>
      </w:r>
      <w:r w:rsidR="001D4D9C" w:rsidRPr="00D07E71">
        <w:rPr>
          <w:bCs/>
        </w:rPr>
        <w:t xml:space="preserve"> Bronze Congresses has been </w:t>
      </w:r>
      <w:r w:rsidR="009133A3" w:rsidRPr="00D07E71">
        <w:rPr>
          <w:bCs/>
        </w:rPr>
        <w:t>as</w:t>
      </w:r>
      <w:r w:rsidR="001D4D9C" w:rsidRPr="00D07E71">
        <w:rPr>
          <w:bCs/>
        </w:rPr>
        <w:t xml:space="preserve"> a platform for </w:t>
      </w:r>
      <w:r w:rsidR="009133A3" w:rsidRPr="00D07E71">
        <w:rPr>
          <w:bCs/>
        </w:rPr>
        <w:t>direct</w:t>
      </w:r>
      <w:r w:rsidR="001D4D9C" w:rsidRPr="00D07E71">
        <w:rPr>
          <w:bCs/>
        </w:rPr>
        <w:t xml:space="preserve"> exchange between art historians, archaeologists, conservators</w:t>
      </w:r>
      <w:r w:rsidR="0057054E">
        <w:rPr>
          <w:bCs/>
        </w:rPr>
        <w:t>,</w:t>
      </w:r>
      <w:r w:rsidR="001D4D9C" w:rsidRPr="00D07E71">
        <w:rPr>
          <w:bCs/>
        </w:rPr>
        <w:t xml:space="preserve"> and scientists from a wide range of disciplines and specialized fields. </w:t>
      </w:r>
      <w:r w:rsidR="009D2AF3" w:rsidRPr="00D07E71">
        <w:rPr>
          <w:bCs/>
        </w:rPr>
        <w:t>Research presented in almost every session included projects conducted collaboratively with metal conservators and/or material</w:t>
      </w:r>
      <w:r w:rsidR="00E56AC1" w:rsidRPr="00D07E71">
        <w:rPr>
          <w:bCs/>
        </w:rPr>
        <w:t>s</w:t>
      </w:r>
      <w:r w:rsidR="009D2AF3" w:rsidRPr="00D07E71">
        <w:rPr>
          <w:bCs/>
        </w:rPr>
        <w:t xml:space="preserve"> scientists</w:t>
      </w:r>
      <w:r w:rsidR="0063435A" w:rsidRPr="00D07E71">
        <w:rPr>
          <w:bCs/>
        </w:rPr>
        <w:t xml:space="preserve">. Bundled here are the </w:t>
      </w:r>
      <w:r w:rsidR="0063435A" w:rsidRPr="008B135B">
        <w:rPr>
          <w:bCs/>
        </w:rPr>
        <w:t xml:space="preserve">manifold contributions whose main focus is </w:t>
      </w:r>
      <w:r w:rsidRPr="008B135B">
        <w:rPr>
          <w:bCs/>
        </w:rPr>
        <w:t>on</w:t>
      </w:r>
      <w:r w:rsidR="009931EB" w:rsidRPr="008B135B">
        <w:rPr>
          <w:bCs/>
        </w:rPr>
        <w:t xml:space="preserve"> the</w:t>
      </w:r>
      <w:r w:rsidRPr="008B135B">
        <w:rPr>
          <w:bCs/>
        </w:rPr>
        <w:t xml:space="preserve"> metallurgy, chemistry</w:t>
      </w:r>
      <w:r w:rsidR="0063435A" w:rsidRPr="008B135B">
        <w:rPr>
          <w:bCs/>
        </w:rPr>
        <w:t>,</w:t>
      </w:r>
      <w:r w:rsidRPr="008B135B">
        <w:rPr>
          <w:bCs/>
        </w:rPr>
        <w:t xml:space="preserve"> </w:t>
      </w:r>
      <w:r w:rsidR="00AB4C39" w:rsidRPr="008B135B">
        <w:rPr>
          <w:bCs/>
        </w:rPr>
        <w:t xml:space="preserve">technology, </w:t>
      </w:r>
      <w:r w:rsidR="0063435A" w:rsidRPr="008B135B">
        <w:rPr>
          <w:bCs/>
        </w:rPr>
        <w:t>or</w:t>
      </w:r>
      <w:r w:rsidRPr="008B135B">
        <w:rPr>
          <w:bCs/>
        </w:rPr>
        <w:t xml:space="preserve"> conservation of ancient bronzes. </w:t>
      </w:r>
      <w:r w:rsidR="00E56AC1" w:rsidRPr="008B135B">
        <w:rPr>
          <w:bCs/>
        </w:rPr>
        <w:t xml:space="preserve">Papers and posters in this section dovetailed closely with the </w:t>
      </w:r>
      <w:r w:rsidR="00E56AC1" w:rsidRPr="008B135B">
        <w:rPr>
          <w:bCs/>
          <w:i/>
        </w:rPr>
        <w:t>Power and Pathos</w:t>
      </w:r>
      <w:r w:rsidR="00E56AC1" w:rsidRPr="008B135B">
        <w:rPr>
          <w:bCs/>
        </w:rPr>
        <w:t xml:space="preserve"> exhibition, discussing metal analytics and manufacturing process</w:t>
      </w:r>
      <w:r w:rsidR="005F3B93" w:rsidRPr="008B135B">
        <w:rPr>
          <w:bCs/>
        </w:rPr>
        <w:t>es</w:t>
      </w:r>
      <w:r w:rsidR="00E56AC1" w:rsidRPr="008B135B">
        <w:rPr>
          <w:bCs/>
        </w:rPr>
        <w:t xml:space="preserve"> of the Medici Riccardi Horse (</w:t>
      </w:r>
      <w:r w:rsidR="00EA1E22" w:rsidRPr="008B135B">
        <w:rPr>
          <w:bCs/>
        </w:rPr>
        <w:t>39</w:t>
      </w:r>
      <w:r w:rsidR="00E56AC1" w:rsidRPr="008B135B">
        <w:rPr>
          <w:bCs/>
        </w:rPr>
        <w:t>), Alexander on Horseback (</w:t>
      </w:r>
      <w:r w:rsidR="00EA1E22" w:rsidRPr="008B135B">
        <w:rPr>
          <w:bCs/>
        </w:rPr>
        <w:t>44</w:t>
      </w:r>
      <w:r w:rsidR="00E56AC1" w:rsidRPr="008B135B">
        <w:rPr>
          <w:bCs/>
        </w:rPr>
        <w:t>), the Getty Herm (</w:t>
      </w:r>
      <w:r w:rsidR="00A77683" w:rsidRPr="008B135B">
        <w:rPr>
          <w:bCs/>
        </w:rPr>
        <w:t>41</w:t>
      </w:r>
      <w:r w:rsidR="00E56AC1" w:rsidRPr="008B135B">
        <w:rPr>
          <w:bCs/>
        </w:rPr>
        <w:t>), and the Apoxyomenos statue from Croatia (</w:t>
      </w:r>
      <w:r w:rsidR="00A77683" w:rsidRPr="008B135B">
        <w:rPr>
          <w:bCs/>
        </w:rPr>
        <w:t>43</w:t>
      </w:r>
      <w:r w:rsidR="00E56AC1" w:rsidRPr="008B135B">
        <w:rPr>
          <w:bCs/>
        </w:rPr>
        <w:t>)</w:t>
      </w:r>
      <w:r w:rsidR="0009210F" w:rsidRPr="008B135B">
        <w:rPr>
          <w:bCs/>
        </w:rPr>
        <w:t xml:space="preserve">, all of which were on display </w:t>
      </w:r>
      <w:r w:rsidR="0057054E" w:rsidRPr="008B135B">
        <w:rPr>
          <w:bCs/>
        </w:rPr>
        <w:t xml:space="preserve">in </w:t>
      </w:r>
      <w:r w:rsidR="0009210F" w:rsidRPr="008B135B">
        <w:rPr>
          <w:bCs/>
        </w:rPr>
        <w:t>the exhibition</w:t>
      </w:r>
      <w:r w:rsidR="00E56AC1" w:rsidRPr="008B135B">
        <w:rPr>
          <w:bCs/>
        </w:rPr>
        <w:t>.</w:t>
      </w:r>
      <w:r w:rsidR="00CC5EA1" w:rsidRPr="008B135B">
        <w:rPr>
          <w:bCs/>
        </w:rPr>
        <w:t xml:space="preserve"> As critical awareness of the fallibilities in sampling and testing methods has grown over the past decades,</w:t>
      </w:r>
      <w:r w:rsidR="0046410F" w:rsidRPr="008B135B">
        <w:rPr>
          <w:bCs/>
        </w:rPr>
        <w:t xml:space="preserve"> </w:t>
      </w:r>
      <w:r w:rsidR="00CC5EA1" w:rsidRPr="008B135B">
        <w:rPr>
          <w:bCs/>
        </w:rPr>
        <w:t>a number of important bronzes have recently been reanalyzed, for instance the Piombino Apollo</w:t>
      </w:r>
      <w:r w:rsidR="0057054E" w:rsidRPr="008B135B">
        <w:rPr>
          <w:bCs/>
        </w:rPr>
        <w:t xml:space="preserve"> (</w:t>
      </w:r>
      <w:r w:rsidR="00A77683" w:rsidRPr="008B135B">
        <w:rPr>
          <w:bCs/>
        </w:rPr>
        <w:t>42</w:t>
      </w:r>
      <w:r w:rsidR="0057054E" w:rsidRPr="008B135B">
        <w:rPr>
          <w:bCs/>
        </w:rPr>
        <w:t>)</w:t>
      </w:r>
      <w:r w:rsidR="000A10AF" w:rsidRPr="008B135B">
        <w:rPr>
          <w:bCs/>
        </w:rPr>
        <w:t>, whose alloy was first tested in 19</w:t>
      </w:r>
      <w:r w:rsidR="00CC5EA1" w:rsidRPr="008B135B">
        <w:rPr>
          <w:bCs/>
        </w:rPr>
        <w:t>6</w:t>
      </w:r>
      <w:r w:rsidR="000A10AF" w:rsidRPr="008B135B">
        <w:rPr>
          <w:bCs/>
        </w:rPr>
        <w:t>7</w:t>
      </w:r>
      <w:r w:rsidR="00CC5EA1" w:rsidRPr="008B135B">
        <w:rPr>
          <w:bCs/>
        </w:rPr>
        <w:t>, and the Nelidow Alexander</w:t>
      </w:r>
      <w:r w:rsidR="000C4557" w:rsidRPr="008B135B">
        <w:rPr>
          <w:bCs/>
        </w:rPr>
        <w:t xml:space="preserve"> </w:t>
      </w:r>
      <w:r w:rsidR="00CC5EA1" w:rsidRPr="008B135B">
        <w:rPr>
          <w:bCs/>
        </w:rPr>
        <w:t>statuette</w:t>
      </w:r>
      <w:r w:rsidR="0057054E" w:rsidRPr="008B135B">
        <w:rPr>
          <w:bCs/>
        </w:rPr>
        <w:t xml:space="preserve"> (</w:t>
      </w:r>
      <w:r w:rsidR="009931EB" w:rsidRPr="008B135B">
        <w:rPr>
          <w:bCs/>
        </w:rPr>
        <w:t>47</w:t>
      </w:r>
      <w:r w:rsidR="0057054E" w:rsidRPr="008B135B">
        <w:rPr>
          <w:bCs/>
        </w:rPr>
        <w:t>)</w:t>
      </w:r>
      <w:r w:rsidR="000A10AF" w:rsidRPr="008B135B">
        <w:rPr>
          <w:bCs/>
        </w:rPr>
        <w:t>,</w:t>
      </w:r>
      <w:r w:rsidR="00CC5EA1" w:rsidRPr="008B135B">
        <w:rPr>
          <w:bCs/>
        </w:rPr>
        <w:t xml:space="preserve"> whose authenticity</w:t>
      </w:r>
      <w:r w:rsidR="00CC5EA1" w:rsidRPr="00D07E71">
        <w:rPr>
          <w:bCs/>
        </w:rPr>
        <w:t xml:space="preserve"> </w:t>
      </w:r>
      <w:r w:rsidR="00257B01" w:rsidRPr="00D07E71">
        <w:rPr>
          <w:bCs/>
        </w:rPr>
        <w:t>had</w:t>
      </w:r>
      <w:r w:rsidR="00CC5EA1" w:rsidRPr="00D07E71">
        <w:rPr>
          <w:bCs/>
        </w:rPr>
        <w:t xml:space="preserve"> </w:t>
      </w:r>
      <w:r w:rsidR="00A912C0">
        <w:rPr>
          <w:bCs/>
        </w:rPr>
        <w:t>for some time</w:t>
      </w:r>
      <w:r w:rsidR="00CC5EA1" w:rsidRPr="00D07E71">
        <w:rPr>
          <w:bCs/>
        </w:rPr>
        <w:t xml:space="preserve"> </w:t>
      </w:r>
      <w:r w:rsidR="0057054E">
        <w:rPr>
          <w:bCs/>
        </w:rPr>
        <w:t>been questioned.</w:t>
      </w:r>
    </w:p>
    <w:p w14:paraId="66449984" w14:textId="77777777" w:rsidR="00DB1ED5" w:rsidRDefault="00401C0D" w:rsidP="009F46C7">
      <w:pPr>
        <w:pStyle w:val="NormalWeb"/>
        <w:spacing w:before="0" w:beforeAutospacing="0" w:after="0" w:afterAutospacing="0" w:line="360" w:lineRule="auto"/>
        <w:rPr>
          <w:bCs/>
        </w:rPr>
      </w:pPr>
      <w:r>
        <w:rPr>
          <w:bCs/>
        </w:rPr>
        <w:t>[break]</w:t>
      </w:r>
    </w:p>
    <w:p w14:paraId="70C255A9" w14:textId="77777777" w:rsidR="005A2BDE" w:rsidRDefault="00257B01" w:rsidP="009F46C7">
      <w:pPr>
        <w:pStyle w:val="NormalWeb"/>
        <w:spacing w:before="0" w:beforeAutospacing="0" w:after="0" w:afterAutospacing="0" w:line="360" w:lineRule="auto"/>
      </w:pPr>
      <w:r w:rsidRPr="00D07E71">
        <w:rPr>
          <w:bCs/>
        </w:rPr>
        <w:t xml:space="preserve">Among the newer </w:t>
      </w:r>
      <w:r w:rsidR="00C25DFF" w:rsidRPr="00D07E71">
        <w:rPr>
          <w:bCs/>
        </w:rPr>
        <w:t>developments</w:t>
      </w:r>
      <w:r w:rsidRPr="00D07E71">
        <w:rPr>
          <w:bCs/>
        </w:rPr>
        <w:t xml:space="preserve"> in ancient bronze studies </w:t>
      </w:r>
      <w:r w:rsidR="00925679" w:rsidRPr="00D07E71">
        <w:rPr>
          <w:bCs/>
        </w:rPr>
        <w:t>is</w:t>
      </w:r>
      <w:r w:rsidRPr="00D07E71">
        <w:rPr>
          <w:bCs/>
        </w:rPr>
        <w:t xml:space="preserve"> a</w:t>
      </w:r>
      <w:r w:rsidR="00CC5EA1" w:rsidRPr="00D07E71">
        <w:rPr>
          <w:bCs/>
        </w:rPr>
        <w:t xml:space="preserve"> heightened</w:t>
      </w:r>
      <w:r w:rsidR="00034435" w:rsidRPr="00D07E71">
        <w:rPr>
          <w:bCs/>
        </w:rPr>
        <w:t xml:space="preserve"> awareness </w:t>
      </w:r>
      <w:r w:rsidR="00CC5EA1" w:rsidRPr="00D07E71">
        <w:rPr>
          <w:bCs/>
        </w:rPr>
        <w:t xml:space="preserve">of </w:t>
      </w:r>
      <w:r w:rsidRPr="00D07E71">
        <w:rPr>
          <w:bCs/>
        </w:rPr>
        <w:t xml:space="preserve">the limitations of </w:t>
      </w:r>
      <w:r w:rsidR="00AF0468">
        <w:rPr>
          <w:bCs/>
        </w:rPr>
        <w:t xml:space="preserve">the </w:t>
      </w:r>
      <w:r w:rsidRPr="00D07E71">
        <w:rPr>
          <w:bCs/>
        </w:rPr>
        <w:t xml:space="preserve">investigative tools available to us, </w:t>
      </w:r>
      <w:r w:rsidR="00CC5EA1" w:rsidRPr="00D07E71">
        <w:rPr>
          <w:bCs/>
        </w:rPr>
        <w:t>not only the</w:t>
      </w:r>
      <w:r w:rsidRPr="00D07E71">
        <w:rPr>
          <w:bCs/>
        </w:rPr>
        <w:t>ir</w:t>
      </w:r>
      <w:r w:rsidR="00CC5EA1" w:rsidRPr="00D07E71">
        <w:rPr>
          <w:bCs/>
        </w:rPr>
        <w:t xml:space="preserve"> promises and opportunities</w:t>
      </w:r>
      <w:r w:rsidRPr="00D07E71">
        <w:rPr>
          <w:bCs/>
        </w:rPr>
        <w:t>.</w:t>
      </w:r>
      <w:r w:rsidR="00CC5EA1" w:rsidRPr="00D07E71">
        <w:rPr>
          <w:bCs/>
        </w:rPr>
        <w:t xml:space="preserve"> </w:t>
      </w:r>
      <w:r w:rsidR="0057054E">
        <w:rPr>
          <w:bCs/>
        </w:rPr>
        <w:t xml:space="preserve">With </w:t>
      </w:r>
      <w:r w:rsidRPr="00D07E71">
        <w:rPr>
          <w:bCs/>
        </w:rPr>
        <w:t>this</w:t>
      </w:r>
      <w:r w:rsidR="008B391F" w:rsidRPr="00D07E71">
        <w:rPr>
          <w:bCs/>
        </w:rPr>
        <w:t xml:space="preserve"> comes </w:t>
      </w:r>
      <w:r w:rsidR="007E2F0B" w:rsidRPr="00D07E71">
        <w:rPr>
          <w:bCs/>
        </w:rPr>
        <w:t>the need to accept the inconvenience that older analytical results</w:t>
      </w:r>
      <w:r w:rsidR="006978BC" w:rsidRPr="00D07E71">
        <w:rPr>
          <w:bCs/>
        </w:rPr>
        <w:t xml:space="preserve"> may not be as reliable as our </w:t>
      </w:r>
      <w:r w:rsidR="0057054E">
        <w:rPr>
          <w:bCs/>
        </w:rPr>
        <w:t>desire to</w:t>
      </w:r>
      <w:r w:rsidR="0057054E" w:rsidRPr="00D07E71">
        <w:rPr>
          <w:bCs/>
        </w:rPr>
        <w:t xml:space="preserve"> </w:t>
      </w:r>
      <w:r w:rsidR="006978BC" w:rsidRPr="00D07E71">
        <w:rPr>
          <w:bCs/>
        </w:rPr>
        <w:t>trust “hard science” would have us believe</w:t>
      </w:r>
      <w:r w:rsidRPr="00D07E71">
        <w:rPr>
          <w:bCs/>
        </w:rPr>
        <w:t>.</w:t>
      </w:r>
      <w:r w:rsidR="006978BC" w:rsidRPr="00D07E71">
        <w:rPr>
          <w:bCs/>
        </w:rPr>
        <w:t xml:space="preserve"> </w:t>
      </w:r>
      <w:r w:rsidR="0057054E">
        <w:rPr>
          <w:bCs/>
        </w:rPr>
        <w:t>Thus, we have</w:t>
      </w:r>
      <w:r w:rsidR="006978BC" w:rsidRPr="00D07E71">
        <w:rPr>
          <w:bCs/>
        </w:rPr>
        <w:t xml:space="preserve"> the </w:t>
      </w:r>
      <w:r w:rsidRPr="00D07E71">
        <w:rPr>
          <w:bCs/>
        </w:rPr>
        <w:t>responsibility</w:t>
      </w:r>
      <w:r w:rsidR="0057054E">
        <w:rPr>
          <w:bCs/>
        </w:rPr>
        <w:t xml:space="preserve"> and burden</w:t>
      </w:r>
      <w:r w:rsidR="006978BC" w:rsidRPr="00D07E71">
        <w:rPr>
          <w:bCs/>
        </w:rPr>
        <w:t xml:space="preserve"> </w:t>
      </w:r>
      <w:r w:rsidR="009931EB">
        <w:rPr>
          <w:bCs/>
        </w:rPr>
        <w:t>of</w:t>
      </w:r>
      <w:r w:rsidR="009931EB" w:rsidRPr="00D07E71">
        <w:rPr>
          <w:bCs/>
        </w:rPr>
        <w:t xml:space="preserve"> </w:t>
      </w:r>
      <w:r w:rsidR="0057054E">
        <w:rPr>
          <w:bCs/>
        </w:rPr>
        <w:t>seek</w:t>
      </w:r>
      <w:r w:rsidR="009931EB">
        <w:rPr>
          <w:bCs/>
        </w:rPr>
        <w:t>ing</w:t>
      </w:r>
      <w:r w:rsidR="0057054E" w:rsidRPr="00D07E71">
        <w:rPr>
          <w:bCs/>
        </w:rPr>
        <w:t xml:space="preserve"> </w:t>
      </w:r>
      <w:r w:rsidR="006978BC" w:rsidRPr="00D07E71">
        <w:rPr>
          <w:bCs/>
        </w:rPr>
        <w:t>the resources</w:t>
      </w:r>
      <w:r w:rsidR="00C66FF7" w:rsidRPr="00D07E71">
        <w:rPr>
          <w:bCs/>
        </w:rPr>
        <w:t>, institutional support,</w:t>
      </w:r>
      <w:r w:rsidR="006978BC" w:rsidRPr="00D07E71">
        <w:rPr>
          <w:bCs/>
        </w:rPr>
        <w:t xml:space="preserve"> and professional alliances to conduct new </w:t>
      </w:r>
      <w:r w:rsidRPr="00D07E71">
        <w:rPr>
          <w:bCs/>
        </w:rPr>
        <w:t xml:space="preserve">series of analyses where such investigations are </w:t>
      </w:r>
      <w:r w:rsidR="0057054E">
        <w:rPr>
          <w:bCs/>
        </w:rPr>
        <w:t>warranted</w:t>
      </w:r>
      <w:r w:rsidRPr="00D07E71">
        <w:rPr>
          <w:bCs/>
        </w:rPr>
        <w:t xml:space="preserve">. </w:t>
      </w:r>
      <w:r w:rsidR="00C66FF7" w:rsidRPr="00D07E71">
        <w:rPr>
          <w:bCs/>
        </w:rPr>
        <w:t xml:space="preserve">In this </w:t>
      </w:r>
      <w:r w:rsidR="00C66FF7" w:rsidRPr="00D07E71">
        <w:rPr>
          <w:bCs/>
        </w:rPr>
        <w:lastRenderedPageBreak/>
        <w:t>regard</w:t>
      </w:r>
      <w:r w:rsidR="00925679" w:rsidRPr="00D07E71">
        <w:rPr>
          <w:bCs/>
        </w:rPr>
        <w:t>, t</w:t>
      </w:r>
      <w:r w:rsidR="00107629" w:rsidRPr="00D07E71">
        <w:rPr>
          <w:bCs/>
        </w:rPr>
        <w:t xml:space="preserve">he </w:t>
      </w:r>
      <w:r w:rsidR="00C66FF7" w:rsidRPr="00D07E71">
        <w:rPr>
          <w:bCs/>
        </w:rPr>
        <w:t>International Bronze Congresses—</w:t>
      </w:r>
      <w:r w:rsidR="0057054E" w:rsidRPr="00D07E71">
        <w:rPr>
          <w:bCs/>
        </w:rPr>
        <w:t xml:space="preserve">being </w:t>
      </w:r>
      <w:r w:rsidR="00C66FF7" w:rsidRPr="00D07E71">
        <w:rPr>
          <w:bCs/>
        </w:rPr>
        <w:t>more than</w:t>
      </w:r>
      <w:r w:rsidR="0057054E">
        <w:rPr>
          <w:bCs/>
        </w:rPr>
        <w:t xml:space="preserve"> just</w:t>
      </w:r>
      <w:r w:rsidR="00C66FF7" w:rsidRPr="00D07E71">
        <w:rPr>
          <w:bCs/>
        </w:rPr>
        <w:t xml:space="preserve"> a forum for</w:t>
      </w:r>
      <w:r w:rsidR="00C66FF7" w:rsidRPr="00D07E71">
        <w:t xml:space="preserve"> scholarly exchange—</w:t>
      </w:r>
      <w:r w:rsidR="00925679" w:rsidRPr="00D07E71">
        <w:t>can</w:t>
      </w:r>
      <w:r w:rsidR="00EE08D1" w:rsidRPr="00D07E71">
        <w:t xml:space="preserve"> be</w:t>
      </w:r>
      <w:r w:rsidR="007F5EF6">
        <w:t xml:space="preserve"> an</w:t>
      </w:r>
      <w:r w:rsidR="00EE08D1" w:rsidRPr="00D07E71">
        <w:t xml:space="preserve"> </w:t>
      </w:r>
      <w:r w:rsidR="00C66FF7" w:rsidRPr="00D07E71">
        <w:t xml:space="preserve">effective </w:t>
      </w:r>
      <w:r w:rsidR="00EE08D1" w:rsidRPr="00D07E71">
        <w:t>cata</w:t>
      </w:r>
      <w:r w:rsidR="007F5EF6">
        <w:t>lyst</w:t>
      </w:r>
      <w:r w:rsidR="00EE08D1" w:rsidRPr="00D07E71">
        <w:t xml:space="preserve"> </w:t>
      </w:r>
      <w:r w:rsidR="00925679" w:rsidRPr="00D07E71">
        <w:t>for advanced research agendas</w:t>
      </w:r>
      <w:r w:rsidR="00C66FF7" w:rsidRPr="00D07E71">
        <w:t>.</w:t>
      </w:r>
      <w:r w:rsidR="00925679" w:rsidRPr="00D07E71">
        <w:t xml:space="preserve"> </w:t>
      </w:r>
    </w:p>
    <w:p w14:paraId="6A5D2622" w14:textId="77777777" w:rsidR="008A7FAD" w:rsidRDefault="00A77683" w:rsidP="00401C0D">
      <w:pPr>
        <w:pStyle w:val="NormalWeb"/>
        <w:spacing w:before="0" w:beforeAutospacing="0" w:after="0" w:afterAutospacing="0" w:line="360" w:lineRule="auto"/>
      </w:pPr>
      <w:r>
        <w:t>In t</w:t>
      </w:r>
      <w:r w:rsidR="00804FDD" w:rsidRPr="00D07E71">
        <w:t>he way it has evolved, the field of Ancient Bronze Studies</w:t>
      </w:r>
      <w:r w:rsidR="00C25DFF" w:rsidRPr="00D07E71">
        <w:t xml:space="preserve"> as a whole may be recognized </w:t>
      </w:r>
      <w:r w:rsidR="005A74D2" w:rsidRPr="00D07E71">
        <w:t xml:space="preserve">as a role model </w:t>
      </w:r>
      <w:r w:rsidR="0023365A" w:rsidRPr="00D07E71">
        <w:t>for other disciplines</w:t>
      </w:r>
      <w:r w:rsidR="007F2614" w:rsidRPr="00D07E71">
        <w:t>: it</w:t>
      </w:r>
      <w:r w:rsidR="00980D90" w:rsidRPr="00D07E71">
        <w:t xml:space="preserve"> embrace</w:t>
      </w:r>
      <w:r w:rsidR="007F2614" w:rsidRPr="00D07E71">
        <w:t>s the utmost diversity in perspectives and methodologies—practiced, shared,</w:t>
      </w:r>
      <w:r w:rsidR="00BB65E6">
        <w:t xml:space="preserve"> and ado</w:t>
      </w:r>
      <w:r w:rsidR="007F2614" w:rsidRPr="00D07E71">
        <w:t xml:space="preserve">pted by experts </w:t>
      </w:r>
      <w:r w:rsidR="00ED4B6A" w:rsidRPr="00D07E71">
        <w:t>at home in</w:t>
      </w:r>
      <w:r w:rsidR="00980D90" w:rsidRPr="00D07E71">
        <w:t xml:space="preserve"> the humanities</w:t>
      </w:r>
      <w:r w:rsidR="007F2614" w:rsidRPr="00D07E71">
        <w:t>,</w:t>
      </w:r>
      <w:r w:rsidR="00980D90" w:rsidRPr="00D07E71">
        <w:t xml:space="preserve"> </w:t>
      </w:r>
      <w:r w:rsidR="00B0666C" w:rsidRPr="00D07E71">
        <w:t>metallurgy</w:t>
      </w:r>
      <w:r w:rsidR="00B0666C">
        <w:t xml:space="preserve">, and </w:t>
      </w:r>
      <w:r w:rsidR="007F2614" w:rsidRPr="00D07E71">
        <w:t>engineering</w:t>
      </w:r>
      <w:r w:rsidR="00B0666C">
        <w:t xml:space="preserve"> </w:t>
      </w:r>
      <w:r w:rsidR="00ED4B6A" w:rsidRPr="00D07E71">
        <w:t>as well as</w:t>
      </w:r>
      <w:r w:rsidR="007F2614" w:rsidRPr="00D07E71">
        <w:t xml:space="preserve"> </w:t>
      </w:r>
      <w:r w:rsidR="00980D90" w:rsidRPr="00D07E71">
        <w:t>nuclear physics</w:t>
      </w:r>
      <w:r>
        <w:t xml:space="preserve"> and</w:t>
      </w:r>
      <w:r w:rsidR="00980D90" w:rsidRPr="00D07E71">
        <w:t xml:space="preserve"> </w:t>
      </w:r>
      <w:r w:rsidR="009931EB">
        <w:t xml:space="preserve">even </w:t>
      </w:r>
      <w:r w:rsidR="00980D90" w:rsidRPr="00D07E71">
        <w:t xml:space="preserve">traditional crafts. </w:t>
      </w:r>
      <w:r w:rsidR="00D07E71">
        <w:t>This is</w:t>
      </w:r>
      <w:r>
        <w:t xml:space="preserve"> in part </w:t>
      </w:r>
      <w:r w:rsidR="00D07E71">
        <w:t xml:space="preserve">a function of bronze </w:t>
      </w:r>
      <w:r w:rsidR="0059067B">
        <w:t>being</w:t>
      </w:r>
      <w:r w:rsidR="00D07E71">
        <w:t xml:space="preserve"> a man-made material, </w:t>
      </w:r>
      <w:r w:rsidR="00935527">
        <w:t xml:space="preserve">but </w:t>
      </w:r>
      <w:r w:rsidR="00D07E71">
        <w:t xml:space="preserve">it is </w:t>
      </w:r>
      <w:r w:rsidR="00935527">
        <w:t xml:space="preserve">mostly due to </w:t>
      </w:r>
      <w:r w:rsidR="0059067B">
        <w:t xml:space="preserve">a culture of </w:t>
      </w:r>
      <w:r w:rsidR="00935527">
        <w:t xml:space="preserve">curiosity, openness, and </w:t>
      </w:r>
      <w:r w:rsidR="0059067B">
        <w:t>innovation</w:t>
      </w:r>
      <w:r w:rsidR="00935527">
        <w:t xml:space="preserve"> </w:t>
      </w:r>
      <w:r w:rsidR="0059067B">
        <w:t>among bronze’s</w:t>
      </w:r>
      <w:r w:rsidR="00D07E71">
        <w:t xml:space="preserve"> </w:t>
      </w:r>
      <w:r w:rsidR="006166B8">
        <w:t xml:space="preserve">enthusiastic </w:t>
      </w:r>
      <w:r w:rsidR="00D07E71">
        <w:t>scholars and practitioners. Future congresses will celebrate and advance this legacy, beginning with the 2</w:t>
      </w:r>
      <w:r>
        <w:t>0th</w:t>
      </w:r>
      <w:r w:rsidR="00D07E71">
        <w:t xml:space="preserve"> International Congress o</w:t>
      </w:r>
      <w:r w:rsidR="00B0666C">
        <w:t>n</w:t>
      </w:r>
      <w:r w:rsidR="00D07E71">
        <w:t xml:space="preserve"> Ancient Bronzes </w:t>
      </w:r>
      <w:r w:rsidR="00B0666C">
        <w:t xml:space="preserve">planned </w:t>
      </w:r>
      <w:r w:rsidR="00935527">
        <w:t>for early 2018</w:t>
      </w:r>
    </w:p>
    <w:p w14:paraId="128CDC5E" w14:textId="77777777" w:rsidR="008A7FAD" w:rsidRDefault="008A7FAD" w:rsidP="00401C0D">
      <w:pPr>
        <w:pStyle w:val="NormalWeb"/>
        <w:spacing w:before="0" w:beforeAutospacing="0" w:after="0" w:afterAutospacing="0" w:line="360" w:lineRule="auto"/>
      </w:pPr>
    </w:p>
    <w:p w14:paraId="40EEB8D9" w14:textId="77777777" w:rsidR="00FD3F47" w:rsidRDefault="00401C0D" w:rsidP="00401C0D">
      <w:pPr>
        <w:pStyle w:val="NormalWeb"/>
        <w:spacing w:before="0" w:beforeAutospacing="0" w:after="0" w:afterAutospacing="0" w:line="360" w:lineRule="auto"/>
      </w:pPr>
      <w:r>
        <w:t>[break]</w:t>
      </w:r>
    </w:p>
    <w:p w14:paraId="2136273D" w14:textId="77777777" w:rsidR="00C80E61" w:rsidRDefault="00597BBE" w:rsidP="009F46C7">
      <w:pP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lang w:eastAsia="en-US"/>
        </w:rPr>
        <w:t xml:space="preserve">The Los Angeles </w:t>
      </w:r>
      <w:r w:rsidR="00A77683">
        <w:rPr>
          <w:rFonts w:ascii="Times New Roman" w:eastAsiaTheme="minorHAnsi" w:hAnsi="Times New Roman" w:cs="Times New Roman"/>
          <w:lang w:eastAsia="en-US"/>
        </w:rPr>
        <w:t>C</w:t>
      </w:r>
      <w:r>
        <w:rPr>
          <w:rFonts w:ascii="Times New Roman" w:eastAsiaTheme="minorHAnsi" w:hAnsi="Times New Roman" w:cs="Times New Roman"/>
          <w:lang w:eastAsia="en-US"/>
        </w:rPr>
        <w:t xml:space="preserve">ongress owed its success to the hard work and ingenuity of many </w:t>
      </w:r>
      <w:r w:rsidR="0093144F">
        <w:rPr>
          <w:rFonts w:ascii="Times New Roman" w:eastAsiaTheme="minorHAnsi" w:hAnsi="Times New Roman" w:cs="Times New Roman"/>
          <w:lang w:eastAsia="en-US"/>
        </w:rPr>
        <w:t xml:space="preserve">colleagues and </w:t>
      </w:r>
      <w:r>
        <w:rPr>
          <w:rFonts w:ascii="Times New Roman" w:eastAsiaTheme="minorHAnsi" w:hAnsi="Times New Roman" w:cs="Times New Roman"/>
          <w:lang w:eastAsia="en-US"/>
        </w:rPr>
        <w:t xml:space="preserve">collaborators </w:t>
      </w:r>
      <w:r w:rsidR="0093144F">
        <w:rPr>
          <w:rFonts w:ascii="Times New Roman" w:eastAsiaTheme="minorHAnsi" w:hAnsi="Times New Roman" w:cs="Times New Roman"/>
          <w:lang w:eastAsia="en-US"/>
        </w:rPr>
        <w:t>and</w:t>
      </w:r>
      <w:r>
        <w:rPr>
          <w:rFonts w:ascii="Times New Roman" w:eastAsiaTheme="minorHAnsi" w:hAnsi="Times New Roman" w:cs="Times New Roman"/>
          <w:lang w:eastAsia="en-US"/>
        </w:rPr>
        <w:t xml:space="preserve"> the generosity of crucial supporters.</w:t>
      </w:r>
      <w:r w:rsidR="004A4EE2">
        <w:rPr>
          <w:rFonts w:ascii="Times New Roman" w:eastAsiaTheme="minorHAnsi" w:hAnsi="Times New Roman" w:cs="Times New Roman"/>
          <w:lang w:eastAsia="en-US"/>
        </w:rPr>
        <w:t xml:space="preserve"> </w:t>
      </w:r>
      <w:r w:rsidR="0093144F">
        <w:rPr>
          <w:rFonts w:ascii="Times New Roman" w:eastAsiaTheme="minorHAnsi" w:hAnsi="Times New Roman" w:cs="Times New Roman"/>
          <w:lang w:eastAsia="en-US"/>
        </w:rPr>
        <w:t>F</w:t>
      </w:r>
      <w:r w:rsidR="00C22258">
        <w:rPr>
          <w:rFonts w:ascii="Times New Roman" w:eastAsiaTheme="minorHAnsi" w:hAnsi="Times New Roman" w:cs="Times New Roman"/>
          <w:lang w:eastAsia="en-US"/>
        </w:rPr>
        <w:t>unding was provided by the</w:t>
      </w:r>
      <w:r w:rsidR="0093144F">
        <w:rPr>
          <w:rFonts w:ascii="Times New Roman" w:eastAsiaTheme="minorHAnsi" w:hAnsi="Times New Roman" w:cs="Times New Roman"/>
          <w:lang w:eastAsia="en-US"/>
        </w:rPr>
        <w:t xml:space="preserve"> Getty’s Villa Programming Committee, the</w:t>
      </w:r>
      <w:r w:rsidR="00C22258">
        <w:rPr>
          <w:rFonts w:ascii="Times New Roman" w:eastAsiaTheme="minorHAnsi" w:hAnsi="Times New Roman" w:cs="Times New Roman"/>
          <w:lang w:eastAsia="en-US"/>
        </w:rPr>
        <w:t xml:space="preserve"> Villa Council</w:t>
      </w:r>
      <w:r w:rsidR="0093144F">
        <w:rPr>
          <w:rFonts w:ascii="Times New Roman" w:eastAsiaTheme="minorHAnsi" w:hAnsi="Times New Roman" w:cs="Times New Roman"/>
          <w:lang w:eastAsia="en-US"/>
        </w:rPr>
        <w:t>,</w:t>
      </w:r>
      <w:r w:rsidR="00C22258">
        <w:rPr>
          <w:rFonts w:ascii="Times New Roman" w:eastAsiaTheme="minorHAnsi" w:hAnsi="Times New Roman" w:cs="Times New Roman"/>
          <w:lang w:eastAsia="en-US"/>
        </w:rPr>
        <w:t xml:space="preserve"> and the Getty Conservation Institute. </w:t>
      </w:r>
      <w:r w:rsidR="006873E4">
        <w:rPr>
          <w:rFonts w:ascii="Times New Roman" w:eastAsiaTheme="minorHAnsi" w:hAnsi="Times New Roman" w:cs="Times New Roman"/>
          <w:lang w:eastAsia="en-US"/>
        </w:rPr>
        <w:t xml:space="preserve">As organizers we are most indebted to Lisa Guzzetta, whose </w:t>
      </w:r>
      <w:r w:rsidR="000D3D5F">
        <w:rPr>
          <w:rFonts w:ascii="Times New Roman" w:eastAsiaTheme="minorHAnsi" w:hAnsi="Times New Roman" w:cs="Times New Roman"/>
          <w:lang w:eastAsia="en-US"/>
        </w:rPr>
        <w:t xml:space="preserve">coordination </w:t>
      </w:r>
      <w:r w:rsidR="006873E4">
        <w:rPr>
          <w:rFonts w:ascii="Times New Roman" w:eastAsiaTheme="minorHAnsi" w:hAnsi="Times New Roman" w:cs="Times New Roman"/>
          <w:lang w:eastAsia="en-US"/>
        </w:rPr>
        <w:t>skill</w:t>
      </w:r>
      <w:r w:rsidR="000D3D5F">
        <w:rPr>
          <w:rFonts w:ascii="Times New Roman" w:eastAsiaTheme="minorHAnsi" w:hAnsi="Times New Roman" w:cs="Times New Roman"/>
          <w:lang w:eastAsia="en-US"/>
        </w:rPr>
        <w:t>s</w:t>
      </w:r>
      <w:r w:rsidR="006873E4">
        <w:rPr>
          <w:rFonts w:ascii="Times New Roman" w:eastAsiaTheme="minorHAnsi" w:hAnsi="Times New Roman" w:cs="Times New Roman"/>
          <w:lang w:eastAsia="en-US"/>
        </w:rPr>
        <w:t xml:space="preserve"> and </w:t>
      </w:r>
      <w:r w:rsidR="000D3D5F">
        <w:rPr>
          <w:rFonts w:ascii="Times New Roman" w:eastAsiaTheme="minorHAnsi" w:hAnsi="Times New Roman" w:cs="Times New Roman"/>
          <w:lang w:eastAsia="en-US"/>
        </w:rPr>
        <w:t xml:space="preserve">programming </w:t>
      </w:r>
      <w:r w:rsidR="006873E4">
        <w:rPr>
          <w:rFonts w:ascii="Times New Roman" w:eastAsiaTheme="minorHAnsi" w:hAnsi="Times New Roman" w:cs="Times New Roman"/>
          <w:lang w:eastAsia="en-US"/>
        </w:rPr>
        <w:t xml:space="preserve">experience </w:t>
      </w:r>
      <w:r w:rsidR="000D3D5F">
        <w:rPr>
          <w:rFonts w:ascii="Times New Roman" w:eastAsiaTheme="minorHAnsi" w:hAnsi="Times New Roman" w:cs="Times New Roman"/>
          <w:lang w:eastAsia="en-US"/>
        </w:rPr>
        <w:t>were</w:t>
      </w:r>
      <w:r w:rsidR="006873E4">
        <w:rPr>
          <w:rFonts w:ascii="Times New Roman" w:eastAsiaTheme="minorHAnsi" w:hAnsi="Times New Roman" w:cs="Times New Roman"/>
          <w:lang w:eastAsia="en-US"/>
        </w:rPr>
        <w:t xml:space="preserve"> indispensable in the preparation of the </w:t>
      </w:r>
      <w:r w:rsidR="0093144F">
        <w:rPr>
          <w:rFonts w:ascii="Times New Roman" w:eastAsiaTheme="minorHAnsi" w:hAnsi="Times New Roman" w:cs="Times New Roman"/>
          <w:lang w:eastAsia="en-US"/>
        </w:rPr>
        <w:t>C</w:t>
      </w:r>
      <w:r w:rsidR="006873E4">
        <w:rPr>
          <w:rFonts w:ascii="Times New Roman" w:eastAsiaTheme="minorHAnsi" w:hAnsi="Times New Roman" w:cs="Times New Roman"/>
          <w:lang w:eastAsia="en-US"/>
        </w:rPr>
        <w:t xml:space="preserve">ongress and whose equanimity guaranteed that it ran smoothly. </w:t>
      </w:r>
      <w:r w:rsidR="0093144F">
        <w:rPr>
          <w:rFonts w:ascii="Times New Roman" w:eastAsiaTheme="minorHAnsi" w:hAnsi="Times New Roman" w:cs="Times New Roman"/>
          <w:lang w:eastAsia="en-US"/>
        </w:rPr>
        <w:t>We also</w:t>
      </w:r>
      <w:r w:rsidR="006873E4">
        <w:rPr>
          <w:rFonts w:ascii="Times New Roman" w:eastAsiaTheme="minorHAnsi" w:hAnsi="Times New Roman" w:cs="Times New Roman"/>
          <w:lang w:eastAsia="en-US"/>
        </w:rPr>
        <w:t xml:space="preserve"> relied on the support of several </w:t>
      </w:r>
      <w:r w:rsidR="00DF169D">
        <w:rPr>
          <w:rFonts w:ascii="Times New Roman" w:eastAsiaTheme="minorHAnsi" w:hAnsi="Times New Roman" w:cs="Times New Roman"/>
          <w:lang w:eastAsia="en-US"/>
        </w:rPr>
        <w:t>colleagues</w:t>
      </w:r>
      <w:r w:rsidR="00584C45">
        <w:rPr>
          <w:rFonts w:ascii="Times New Roman" w:eastAsiaTheme="minorHAnsi" w:hAnsi="Times New Roman" w:cs="Times New Roman"/>
          <w:lang w:eastAsia="en-US"/>
        </w:rPr>
        <w:t>, including</w:t>
      </w:r>
      <w:r w:rsidR="000C4557">
        <w:rPr>
          <w:rFonts w:ascii="Times New Roman" w:eastAsiaTheme="minorHAnsi" w:hAnsi="Times New Roman" w:cs="Times New Roman"/>
          <w:lang w:eastAsia="en-US"/>
        </w:rPr>
        <w:t xml:space="preserve"> </w:t>
      </w:r>
      <w:r w:rsidR="00584C45">
        <w:rPr>
          <w:rFonts w:ascii="Times New Roman" w:eastAsiaTheme="minorHAnsi" w:hAnsi="Times New Roman" w:cs="Times New Roman"/>
          <w:lang w:eastAsia="en-US"/>
        </w:rPr>
        <w:t xml:space="preserve">James Cuno, Heather Leisy, Andrea Bestow, </w:t>
      </w:r>
      <w:r w:rsidR="00924AA4">
        <w:rPr>
          <w:rFonts w:ascii="Times New Roman" w:eastAsiaTheme="minorHAnsi" w:hAnsi="Times New Roman" w:cs="Times New Roman"/>
          <w:lang w:eastAsia="en-US"/>
        </w:rPr>
        <w:t xml:space="preserve">Lorin Green, </w:t>
      </w:r>
      <w:r w:rsidR="00584C45">
        <w:rPr>
          <w:rFonts w:ascii="Times New Roman" w:eastAsiaTheme="minorHAnsi" w:hAnsi="Times New Roman" w:cs="Times New Roman"/>
          <w:lang w:eastAsia="en-US"/>
        </w:rPr>
        <w:t xml:space="preserve">and Danielle Espino </w:t>
      </w:r>
      <w:r w:rsidR="000D3D5F">
        <w:rPr>
          <w:rFonts w:ascii="Times New Roman" w:eastAsiaTheme="minorHAnsi" w:hAnsi="Times New Roman" w:cs="Times New Roman"/>
          <w:lang w:eastAsia="en-US"/>
        </w:rPr>
        <w:t>at the Trust</w:t>
      </w:r>
      <w:r w:rsidR="00584C45">
        <w:rPr>
          <w:rFonts w:ascii="Times New Roman" w:eastAsiaTheme="minorHAnsi" w:hAnsi="Times New Roman" w:cs="Times New Roman"/>
          <w:lang w:eastAsia="en-US"/>
        </w:rPr>
        <w:t>;</w:t>
      </w:r>
      <w:r w:rsidR="000D3D5F">
        <w:rPr>
          <w:rFonts w:ascii="Times New Roman" w:eastAsiaTheme="minorHAnsi" w:hAnsi="Times New Roman" w:cs="Times New Roman"/>
          <w:lang w:eastAsia="en-US"/>
        </w:rPr>
        <w:t xml:space="preserve"> </w:t>
      </w:r>
      <w:r w:rsidR="00584C45">
        <w:rPr>
          <w:rFonts w:ascii="Times New Roman" w:eastAsiaTheme="minorHAnsi" w:hAnsi="Times New Roman" w:cs="Times New Roman"/>
          <w:lang w:eastAsia="en-US"/>
        </w:rPr>
        <w:t xml:space="preserve">Timothy Potts, Jerry Podany, Jeffrey Maish, Jeffrey Spier, Claire Lyons, Nicole Budrovich, Paige-Marie Ketner, and Emma Sachs at </w:t>
      </w:r>
      <w:r w:rsidR="000D3D5F">
        <w:rPr>
          <w:rFonts w:ascii="Times New Roman" w:eastAsiaTheme="minorHAnsi" w:hAnsi="Times New Roman" w:cs="Times New Roman"/>
          <w:lang w:eastAsia="en-US"/>
        </w:rPr>
        <w:t xml:space="preserve">the Museum, and </w:t>
      </w:r>
      <w:r w:rsidR="0093144F">
        <w:rPr>
          <w:rFonts w:ascii="Times New Roman" w:eastAsiaTheme="minorHAnsi" w:hAnsi="Times New Roman" w:cs="Times New Roman"/>
          <w:lang w:eastAsia="en-US"/>
        </w:rPr>
        <w:t>Tim Whalen, Jeanne Marie Teutonico, and Gary Mattison</w:t>
      </w:r>
      <w:r w:rsidR="00584C45" w:rsidRPr="00584C45">
        <w:rPr>
          <w:rFonts w:ascii="Times New Roman" w:eastAsiaTheme="minorHAnsi" w:hAnsi="Times New Roman" w:cs="Times New Roman"/>
          <w:lang w:eastAsia="en-US"/>
        </w:rPr>
        <w:t xml:space="preserve"> </w:t>
      </w:r>
      <w:r w:rsidR="00584C45">
        <w:rPr>
          <w:rFonts w:ascii="Times New Roman" w:eastAsiaTheme="minorHAnsi" w:hAnsi="Times New Roman" w:cs="Times New Roman"/>
          <w:lang w:eastAsia="en-US"/>
        </w:rPr>
        <w:t xml:space="preserve">at the Conservation Institute. </w:t>
      </w:r>
      <w:r w:rsidR="0093144F">
        <w:rPr>
          <w:rFonts w:ascii="Times New Roman" w:eastAsiaTheme="minorHAnsi" w:hAnsi="Times New Roman" w:cs="Times New Roman"/>
          <w:lang w:eastAsia="en-US"/>
        </w:rPr>
        <w:t xml:space="preserve">In the middle of the Congress, </w:t>
      </w:r>
      <w:r w:rsidR="0044650B">
        <w:rPr>
          <w:rFonts w:ascii="Times New Roman" w:eastAsiaTheme="minorHAnsi" w:hAnsi="Times New Roman" w:cs="Times New Roman"/>
          <w:lang w:eastAsia="en-US"/>
        </w:rPr>
        <w:t xml:space="preserve">we imposed our large group on two </w:t>
      </w:r>
      <w:r w:rsidR="0093144F">
        <w:rPr>
          <w:rFonts w:ascii="Times New Roman" w:eastAsiaTheme="minorHAnsi" w:hAnsi="Times New Roman" w:cs="Times New Roman"/>
          <w:lang w:eastAsia="en-US"/>
        </w:rPr>
        <w:t xml:space="preserve">neighboring </w:t>
      </w:r>
      <w:r w:rsidR="0044650B">
        <w:rPr>
          <w:rFonts w:ascii="Times New Roman" w:eastAsiaTheme="minorHAnsi" w:hAnsi="Times New Roman" w:cs="Times New Roman"/>
          <w:lang w:eastAsia="en-US"/>
        </w:rPr>
        <w:t>institutions, namely the Norton Simon Museum of Art in Pasadena and the Huntington Library</w:t>
      </w:r>
      <w:r w:rsidR="00FB7E5D">
        <w:rPr>
          <w:rFonts w:ascii="Times New Roman" w:eastAsiaTheme="minorHAnsi" w:hAnsi="Times New Roman" w:cs="Times New Roman"/>
          <w:lang w:eastAsia="en-US"/>
        </w:rPr>
        <w:t>, Art Collections,</w:t>
      </w:r>
      <w:r w:rsidR="0044650B">
        <w:rPr>
          <w:rFonts w:ascii="Times New Roman" w:eastAsiaTheme="minorHAnsi" w:hAnsi="Times New Roman" w:cs="Times New Roman"/>
          <w:lang w:eastAsia="en-US"/>
        </w:rPr>
        <w:t xml:space="preserve"> and Botanical Gardens in San Marino</w:t>
      </w:r>
      <w:r w:rsidR="00FF06B5">
        <w:rPr>
          <w:rFonts w:ascii="Times New Roman" w:eastAsiaTheme="minorHAnsi" w:hAnsi="Times New Roman" w:cs="Times New Roman"/>
          <w:lang w:eastAsia="en-US"/>
        </w:rPr>
        <w:t>. We are extremely grateful to Carol Togneri, Gloria Williams, Emily Beeny,</w:t>
      </w:r>
      <w:r w:rsidR="0044650B">
        <w:rPr>
          <w:rFonts w:ascii="Times New Roman" w:eastAsiaTheme="minorHAnsi" w:hAnsi="Times New Roman" w:cs="Times New Roman"/>
          <w:lang w:eastAsia="en-US"/>
        </w:rPr>
        <w:t xml:space="preserve"> </w:t>
      </w:r>
      <w:r w:rsidR="0044650B" w:rsidRPr="00DB0E1D">
        <w:rPr>
          <w:rFonts w:ascii="Times New Roman" w:hAnsi="Times New Roman" w:cs="Times New Roman"/>
          <w:color w:val="262626"/>
        </w:rPr>
        <w:t>Elizabeth Clingerman</w:t>
      </w:r>
      <w:r w:rsidR="0044650B" w:rsidRPr="00DB0E1D">
        <w:rPr>
          <w:rFonts w:ascii="Times New Roman" w:hAnsi="Times New Roman" w:cs="Times New Roman"/>
          <w:color w:val="000000"/>
        </w:rPr>
        <w:t xml:space="preserve">, Catherine </w:t>
      </w:r>
      <w:r w:rsidR="0044650B" w:rsidRPr="00286B71">
        <w:rPr>
          <w:rFonts w:ascii="Times New Roman" w:hAnsi="Times New Roman" w:cs="Times New Roman"/>
          <w:color w:val="000000"/>
        </w:rPr>
        <w:t xml:space="preserve">Hess, </w:t>
      </w:r>
      <w:r w:rsidR="0044650B">
        <w:rPr>
          <w:rFonts w:ascii="Times New Roman" w:hAnsi="Times New Roman" w:cs="Times New Roman"/>
          <w:color w:val="000000"/>
        </w:rPr>
        <w:t xml:space="preserve">and </w:t>
      </w:r>
      <w:r w:rsidR="0044650B" w:rsidRPr="00286B71">
        <w:rPr>
          <w:rFonts w:ascii="Times New Roman" w:hAnsi="Times New Roman" w:cs="Times New Roman"/>
          <w:color w:val="262626"/>
        </w:rPr>
        <w:t>Melinda McCurdy</w:t>
      </w:r>
      <w:r w:rsidR="00FF06B5">
        <w:rPr>
          <w:rFonts w:ascii="Times New Roman" w:hAnsi="Times New Roman" w:cs="Times New Roman"/>
          <w:color w:val="262626"/>
        </w:rPr>
        <w:t xml:space="preserve"> for welcoming us.</w:t>
      </w:r>
    </w:p>
    <w:p w14:paraId="358C10CC" w14:textId="77777777" w:rsidR="00C80E61" w:rsidRDefault="00A678A5" w:rsidP="009F46C7">
      <w:pP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life of a congress are </w:t>
      </w:r>
      <w:r w:rsidR="00CB35E8">
        <w:rPr>
          <w:rFonts w:ascii="Times New Roman" w:hAnsi="Times New Roman" w:cs="Times New Roman"/>
          <w:color w:val="000000"/>
        </w:rPr>
        <w:t>its</w:t>
      </w:r>
      <w:r>
        <w:rPr>
          <w:rFonts w:ascii="Times New Roman" w:hAnsi="Times New Roman" w:cs="Times New Roman"/>
          <w:color w:val="000000"/>
        </w:rPr>
        <w:t xml:space="preserve"> </w:t>
      </w:r>
      <w:r w:rsidR="00C22258">
        <w:rPr>
          <w:rFonts w:ascii="Times New Roman" w:hAnsi="Times New Roman" w:cs="Times New Roman"/>
          <w:color w:val="000000"/>
        </w:rPr>
        <w:t>papers</w:t>
      </w:r>
      <w:r>
        <w:rPr>
          <w:rFonts w:ascii="Times New Roman" w:hAnsi="Times New Roman" w:cs="Times New Roman"/>
          <w:color w:val="000000"/>
        </w:rPr>
        <w:t xml:space="preserve"> and the discussions and debates they inspire. It was an honor to host so many distinguished colleagues on this occasion, most of </w:t>
      </w:r>
      <w:r w:rsidR="00FF06B5">
        <w:rPr>
          <w:rFonts w:ascii="Times New Roman" w:hAnsi="Times New Roman" w:cs="Times New Roman"/>
          <w:color w:val="000000"/>
        </w:rPr>
        <w:t xml:space="preserve">whom </w:t>
      </w:r>
      <w:r>
        <w:rPr>
          <w:rFonts w:ascii="Times New Roman" w:hAnsi="Times New Roman" w:cs="Times New Roman"/>
          <w:color w:val="000000"/>
        </w:rPr>
        <w:t xml:space="preserve">traveled far to come to Los Angeles. Their </w:t>
      </w:r>
      <w:r w:rsidR="00C22258">
        <w:rPr>
          <w:rFonts w:ascii="Times New Roman" w:hAnsi="Times New Roman" w:cs="Times New Roman"/>
          <w:color w:val="000000"/>
        </w:rPr>
        <w:t xml:space="preserve">professional </w:t>
      </w:r>
      <w:r>
        <w:rPr>
          <w:rFonts w:ascii="Times New Roman" w:hAnsi="Times New Roman" w:cs="Times New Roman"/>
          <w:color w:val="000000"/>
        </w:rPr>
        <w:t xml:space="preserve">enthusiasm and </w:t>
      </w:r>
      <w:r w:rsidR="00C22258">
        <w:rPr>
          <w:rFonts w:ascii="Times New Roman" w:hAnsi="Times New Roman" w:cs="Times New Roman"/>
          <w:color w:val="000000"/>
        </w:rPr>
        <w:t xml:space="preserve">thoughtful, lively </w:t>
      </w:r>
      <w:r w:rsidR="00C84B51">
        <w:rPr>
          <w:rFonts w:ascii="Times New Roman" w:hAnsi="Times New Roman" w:cs="Times New Roman"/>
          <w:color w:val="000000"/>
        </w:rPr>
        <w:t>presentations</w:t>
      </w:r>
      <w:r w:rsidR="00CB35E8">
        <w:rPr>
          <w:rFonts w:ascii="Times New Roman" w:hAnsi="Times New Roman" w:cs="Times New Roman"/>
          <w:color w:val="000000"/>
        </w:rPr>
        <w:t xml:space="preserve"> enriched this meeting for every participant. </w:t>
      </w:r>
      <w:r w:rsidR="00C22258">
        <w:rPr>
          <w:rFonts w:ascii="Times New Roman" w:hAnsi="Times New Roman" w:cs="Times New Roman"/>
          <w:color w:val="000000"/>
        </w:rPr>
        <w:t xml:space="preserve">We express our thanks to </w:t>
      </w:r>
      <w:r w:rsidR="00C84B51">
        <w:rPr>
          <w:rFonts w:ascii="Times New Roman" w:hAnsi="Times New Roman" w:cs="Times New Roman"/>
          <w:color w:val="000000"/>
        </w:rPr>
        <w:t xml:space="preserve">all authors and presenters. In addition, we would like to acknowledge </w:t>
      </w:r>
      <w:r w:rsidR="00C22258">
        <w:rPr>
          <w:rFonts w:ascii="Times New Roman" w:hAnsi="Times New Roman" w:cs="Times New Roman"/>
          <w:color w:val="000000"/>
        </w:rPr>
        <w:t xml:space="preserve">Beryl Barr-Sharrar, Carol Mattusch, and Salvatore Siano, who </w:t>
      </w:r>
      <w:r w:rsidR="00C22258">
        <w:rPr>
          <w:rFonts w:ascii="Times New Roman" w:hAnsi="Times New Roman" w:cs="Times New Roman"/>
          <w:color w:val="000000"/>
        </w:rPr>
        <w:lastRenderedPageBreak/>
        <w:t xml:space="preserve">agreed to present keynote addresses, </w:t>
      </w:r>
      <w:r w:rsidR="00FF06B5">
        <w:rPr>
          <w:rFonts w:ascii="Times New Roman" w:hAnsi="Times New Roman" w:cs="Times New Roman"/>
          <w:color w:val="000000"/>
        </w:rPr>
        <w:t>and</w:t>
      </w:r>
      <w:r w:rsidR="00C22258">
        <w:rPr>
          <w:rFonts w:ascii="Times New Roman" w:hAnsi="Times New Roman" w:cs="Times New Roman"/>
          <w:color w:val="000000"/>
        </w:rPr>
        <w:t xml:space="preserve"> </w:t>
      </w:r>
      <w:r w:rsidR="00C84B51">
        <w:rPr>
          <w:rFonts w:ascii="Times New Roman" w:hAnsi="Times New Roman" w:cs="Times New Roman"/>
          <w:color w:val="000000"/>
        </w:rPr>
        <w:t xml:space="preserve">to </w:t>
      </w:r>
      <w:r w:rsidR="00C22258">
        <w:rPr>
          <w:rFonts w:ascii="Times New Roman" w:hAnsi="Times New Roman" w:cs="Times New Roman"/>
          <w:color w:val="000000"/>
        </w:rPr>
        <w:t xml:space="preserve">Giorgos Koutsouflakis, who delivered a sold-out public lecture on the latest underwater discoveries in the Aegean. </w:t>
      </w:r>
      <w:r w:rsidR="00FF06B5">
        <w:rPr>
          <w:rFonts w:ascii="Times New Roman" w:hAnsi="Times New Roman" w:cs="Times New Roman"/>
          <w:color w:val="000000"/>
        </w:rPr>
        <w:t>T</w:t>
      </w:r>
      <w:r w:rsidR="00C22258">
        <w:rPr>
          <w:rFonts w:ascii="Times New Roman" w:hAnsi="Times New Roman" w:cs="Times New Roman"/>
          <w:color w:val="000000"/>
        </w:rPr>
        <w:t>heir contributions</w:t>
      </w:r>
      <w:r w:rsidR="00FF06B5">
        <w:rPr>
          <w:rFonts w:ascii="Times New Roman" w:hAnsi="Times New Roman" w:cs="Times New Roman"/>
          <w:color w:val="000000"/>
        </w:rPr>
        <w:t>, too,</w:t>
      </w:r>
      <w:r w:rsidR="00C22258">
        <w:rPr>
          <w:rFonts w:ascii="Times New Roman" w:hAnsi="Times New Roman" w:cs="Times New Roman"/>
          <w:color w:val="000000"/>
        </w:rPr>
        <w:t xml:space="preserve"> are published in these proceedings.</w:t>
      </w:r>
      <w:r w:rsidR="00C84B51">
        <w:rPr>
          <w:rFonts w:ascii="Times New Roman" w:hAnsi="Times New Roman" w:cs="Times New Roman"/>
          <w:color w:val="000000"/>
        </w:rPr>
        <w:t xml:space="preserve"> </w:t>
      </w:r>
    </w:p>
    <w:p w14:paraId="596D4071" w14:textId="77777777" w:rsidR="007A0FF7" w:rsidRDefault="009F5BAA" w:rsidP="009F46C7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The </w:t>
      </w:r>
      <w:r w:rsidR="00C84B51">
        <w:rPr>
          <w:rFonts w:ascii="Times New Roman" w:eastAsia="Times New Roman" w:hAnsi="Times New Roman" w:cs="Times New Roman"/>
          <w:color w:val="222222"/>
        </w:rPr>
        <w:t>production of</w:t>
      </w:r>
      <w:r>
        <w:rPr>
          <w:rFonts w:ascii="Times New Roman" w:eastAsia="Times New Roman" w:hAnsi="Times New Roman" w:cs="Times New Roman"/>
          <w:color w:val="222222"/>
        </w:rPr>
        <w:t xml:space="preserve"> this </w:t>
      </w:r>
      <w:r w:rsidR="00F9524E">
        <w:rPr>
          <w:rFonts w:ascii="Times New Roman" w:eastAsia="Times New Roman" w:hAnsi="Times New Roman" w:cs="Times New Roman"/>
          <w:color w:val="222222"/>
        </w:rPr>
        <w:t xml:space="preserve">digital </w:t>
      </w:r>
      <w:r w:rsidR="00021A20">
        <w:rPr>
          <w:rFonts w:ascii="Times New Roman" w:eastAsia="Times New Roman" w:hAnsi="Times New Roman" w:cs="Times New Roman"/>
          <w:color w:val="222222"/>
        </w:rPr>
        <w:t>volume—the first in the history of the Bronze Congress</w:t>
      </w:r>
      <w:r w:rsidR="005C1C85">
        <w:rPr>
          <w:rFonts w:ascii="Times New Roman" w:eastAsia="Times New Roman" w:hAnsi="Times New Roman" w:cs="Times New Roman"/>
          <w:color w:val="222222"/>
        </w:rPr>
        <w:t>!</w:t>
      </w:r>
      <w:r w:rsidR="00021A20">
        <w:rPr>
          <w:rFonts w:ascii="Times New Roman" w:eastAsia="Times New Roman" w:hAnsi="Times New Roman" w:cs="Times New Roman"/>
          <w:color w:val="222222"/>
        </w:rPr>
        <w:t xml:space="preserve">—was in the expert hands </w:t>
      </w:r>
      <w:r w:rsidR="00C84B51">
        <w:rPr>
          <w:rFonts w:ascii="Times New Roman" w:eastAsia="Times New Roman" w:hAnsi="Times New Roman" w:cs="Times New Roman"/>
          <w:color w:val="222222"/>
        </w:rPr>
        <w:t xml:space="preserve">of the staff at Getty Publications, in particular Kara Kirk, Karen Levine, </w:t>
      </w:r>
      <w:r w:rsidR="00C034DF">
        <w:rPr>
          <w:rFonts w:ascii="Times New Roman" w:eastAsia="Times New Roman" w:hAnsi="Times New Roman" w:cs="Times New Roman"/>
          <w:color w:val="222222"/>
        </w:rPr>
        <w:t xml:space="preserve">Greg Albers, Eric Gardner, Nick Geller, </w:t>
      </w:r>
      <w:bookmarkStart w:id="0" w:name="_GoBack"/>
      <w:bookmarkEnd w:id="0"/>
      <w:r w:rsidR="00924AA4">
        <w:rPr>
          <w:rFonts w:ascii="Times New Roman" w:eastAsia="Times New Roman" w:hAnsi="Times New Roman" w:cs="Times New Roman"/>
          <w:color w:val="222222"/>
        </w:rPr>
        <w:t xml:space="preserve">Elizabeth Kahn, </w:t>
      </w:r>
      <w:r w:rsidR="00C84B51">
        <w:rPr>
          <w:rFonts w:ascii="Times New Roman" w:eastAsia="Times New Roman" w:hAnsi="Times New Roman" w:cs="Times New Roman"/>
          <w:color w:val="222222"/>
        </w:rPr>
        <w:t>Lesl</w:t>
      </w:r>
      <w:r w:rsidR="00924AA4">
        <w:rPr>
          <w:rFonts w:ascii="Times New Roman" w:eastAsia="Times New Roman" w:hAnsi="Times New Roman" w:cs="Times New Roman"/>
          <w:color w:val="222222"/>
        </w:rPr>
        <w:t xml:space="preserve">ie </w:t>
      </w:r>
      <w:r w:rsidR="00C84B51">
        <w:rPr>
          <w:rFonts w:ascii="Times New Roman" w:eastAsia="Times New Roman" w:hAnsi="Times New Roman" w:cs="Times New Roman"/>
          <w:color w:val="222222"/>
        </w:rPr>
        <w:t xml:space="preserve">Rollins, </w:t>
      </w:r>
      <w:r w:rsidR="00924AA4">
        <w:rPr>
          <w:rFonts w:ascii="Times New Roman" w:eastAsia="Times New Roman" w:hAnsi="Times New Roman" w:cs="Times New Roman"/>
          <w:color w:val="222222"/>
        </w:rPr>
        <w:t xml:space="preserve">and </w:t>
      </w:r>
      <w:r w:rsidR="00C84B51">
        <w:rPr>
          <w:rFonts w:ascii="Times New Roman" w:eastAsia="Times New Roman" w:hAnsi="Times New Roman" w:cs="Times New Roman"/>
          <w:color w:val="222222"/>
        </w:rPr>
        <w:t>Nina Damavandi</w:t>
      </w:r>
      <w:r w:rsidR="00924AA4">
        <w:rPr>
          <w:rFonts w:ascii="Times New Roman" w:eastAsia="Times New Roman" w:hAnsi="Times New Roman" w:cs="Times New Roman"/>
          <w:color w:val="222222"/>
        </w:rPr>
        <w:t xml:space="preserve">. </w:t>
      </w:r>
      <w:r w:rsidR="008200AB">
        <w:rPr>
          <w:rFonts w:ascii="Times New Roman" w:eastAsia="Times New Roman" w:hAnsi="Times New Roman" w:cs="Times New Roman"/>
          <w:color w:val="222222"/>
        </w:rPr>
        <w:t xml:space="preserve">Project editor Ruth </w:t>
      </w:r>
      <w:r w:rsidR="00924AA4">
        <w:rPr>
          <w:rFonts w:ascii="Times New Roman" w:eastAsia="Times New Roman" w:hAnsi="Times New Roman" w:cs="Times New Roman"/>
          <w:color w:val="222222"/>
        </w:rPr>
        <w:t xml:space="preserve">Evans </w:t>
      </w:r>
      <w:r w:rsidR="008200AB">
        <w:rPr>
          <w:rFonts w:ascii="Times New Roman" w:eastAsia="Times New Roman" w:hAnsi="Times New Roman" w:cs="Times New Roman"/>
          <w:color w:val="222222"/>
        </w:rPr>
        <w:t xml:space="preserve">Lane </w:t>
      </w:r>
      <w:r w:rsidR="009D3E08">
        <w:rPr>
          <w:rFonts w:ascii="Times New Roman" w:eastAsia="Times New Roman" w:hAnsi="Times New Roman" w:cs="Times New Roman"/>
          <w:color w:val="222222"/>
        </w:rPr>
        <w:t>forcefully</w:t>
      </w:r>
      <w:r w:rsidR="00527243">
        <w:rPr>
          <w:rFonts w:ascii="Times New Roman" w:eastAsia="Times New Roman" w:hAnsi="Times New Roman" w:cs="Times New Roman"/>
          <w:color w:val="222222"/>
        </w:rPr>
        <w:t xml:space="preserve"> </w:t>
      </w:r>
      <w:r w:rsidR="008200AB">
        <w:rPr>
          <w:rFonts w:ascii="Times New Roman" w:eastAsia="Times New Roman" w:hAnsi="Times New Roman" w:cs="Times New Roman"/>
          <w:color w:val="222222"/>
        </w:rPr>
        <w:t xml:space="preserve">tackled the multiple challenges of </w:t>
      </w:r>
      <w:r w:rsidR="00527243">
        <w:rPr>
          <w:rFonts w:ascii="Times New Roman" w:eastAsia="Times New Roman" w:hAnsi="Times New Roman" w:cs="Times New Roman"/>
          <w:color w:val="222222"/>
        </w:rPr>
        <w:t>this undertaking, a veritable beast with many tentacles</w:t>
      </w:r>
      <w:r w:rsidR="003F605C">
        <w:rPr>
          <w:rFonts w:ascii="Times New Roman" w:eastAsia="Times New Roman" w:hAnsi="Times New Roman" w:cs="Times New Roman"/>
          <w:color w:val="222222"/>
        </w:rPr>
        <w:t xml:space="preserve">, </w:t>
      </w:r>
      <w:r w:rsidR="00C80E61">
        <w:rPr>
          <w:rFonts w:ascii="Times New Roman" w:eastAsia="Times New Roman" w:hAnsi="Times New Roman" w:cs="Times New Roman"/>
          <w:color w:val="222222"/>
        </w:rPr>
        <w:t>which were</w:t>
      </w:r>
      <w:r w:rsidR="00FF06B5">
        <w:rPr>
          <w:rFonts w:ascii="Times New Roman" w:eastAsia="Times New Roman" w:hAnsi="Times New Roman" w:cs="Times New Roman"/>
          <w:color w:val="222222"/>
        </w:rPr>
        <w:t xml:space="preserve"> untangled and</w:t>
      </w:r>
      <w:r w:rsidR="00C80E61">
        <w:rPr>
          <w:rFonts w:ascii="Times New Roman" w:eastAsia="Times New Roman" w:hAnsi="Times New Roman" w:cs="Times New Roman"/>
          <w:color w:val="222222"/>
        </w:rPr>
        <w:t xml:space="preserve"> </w:t>
      </w:r>
      <w:r w:rsidR="003F605C">
        <w:rPr>
          <w:rFonts w:ascii="Times New Roman" w:eastAsia="Times New Roman" w:hAnsi="Times New Roman" w:cs="Times New Roman"/>
          <w:color w:val="222222"/>
        </w:rPr>
        <w:t>tamed by</w:t>
      </w:r>
      <w:r w:rsidR="008200AB">
        <w:rPr>
          <w:rFonts w:ascii="Times New Roman" w:eastAsia="Times New Roman" w:hAnsi="Times New Roman" w:cs="Times New Roman"/>
          <w:color w:val="222222"/>
        </w:rPr>
        <w:t xml:space="preserve"> </w:t>
      </w:r>
      <w:r w:rsidR="003F605C">
        <w:rPr>
          <w:rFonts w:ascii="Times New Roman" w:eastAsia="Times New Roman" w:hAnsi="Times New Roman" w:cs="Times New Roman"/>
          <w:color w:val="222222"/>
        </w:rPr>
        <w:t>Rob</w:t>
      </w:r>
      <w:r w:rsidR="00A77683">
        <w:rPr>
          <w:rFonts w:ascii="Times New Roman" w:eastAsia="Times New Roman" w:hAnsi="Times New Roman" w:cs="Times New Roman"/>
          <w:color w:val="222222"/>
        </w:rPr>
        <w:t>i</w:t>
      </w:r>
      <w:r w:rsidR="003F605C">
        <w:rPr>
          <w:rFonts w:ascii="Times New Roman" w:eastAsia="Times New Roman" w:hAnsi="Times New Roman" w:cs="Times New Roman"/>
          <w:color w:val="222222"/>
        </w:rPr>
        <w:t>n Ray,</w:t>
      </w:r>
      <w:r w:rsidR="00B44658">
        <w:rPr>
          <w:rFonts w:ascii="Times New Roman" w:eastAsia="Times New Roman" w:hAnsi="Times New Roman" w:cs="Times New Roman"/>
          <w:color w:val="222222"/>
        </w:rPr>
        <w:t xml:space="preserve"> </w:t>
      </w:r>
      <w:r w:rsidR="00FF06B5">
        <w:rPr>
          <w:rFonts w:ascii="Times New Roman" w:eastAsia="Times New Roman" w:hAnsi="Times New Roman" w:cs="Times New Roman"/>
          <w:color w:val="222222"/>
        </w:rPr>
        <w:t xml:space="preserve">our </w:t>
      </w:r>
      <w:r w:rsidR="00B44658">
        <w:rPr>
          <w:rFonts w:ascii="Times New Roman" w:eastAsia="Times New Roman" w:hAnsi="Times New Roman" w:cs="Times New Roman"/>
          <w:color w:val="222222"/>
        </w:rPr>
        <w:t xml:space="preserve">competent and sympathetic </w:t>
      </w:r>
      <w:r w:rsidR="00C84B51">
        <w:rPr>
          <w:rFonts w:ascii="Times New Roman" w:eastAsia="Times New Roman" w:hAnsi="Times New Roman" w:cs="Times New Roman"/>
          <w:color w:val="222222"/>
        </w:rPr>
        <w:t xml:space="preserve">copy editor. </w:t>
      </w:r>
      <w:r w:rsidR="00FF06B5">
        <w:rPr>
          <w:rFonts w:ascii="Times New Roman" w:eastAsia="Times New Roman" w:hAnsi="Times New Roman" w:cs="Times New Roman"/>
          <w:color w:val="222222"/>
        </w:rPr>
        <w:t xml:space="preserve">Each of them </w:t>
      </w:r>
      <w:r w:rsidR="00126718">
        <w:rPr>
          <w:rFonts w:ascii="Times New Roman" w:eastAsia="Times New Roman" w:hAnsi="Times New Roman" w:cs="Times New Roman"/>
          <w:color w:val="222222"/>
        </w:rPr>
        <w:t>deserve</w:t>
      </w:r>
      <w:r w:rsidR="00FF06B5">
        <w:rPr>
          <w:rFonts w:ascii="Times New Roman" w:eastAsia="Times New Roman" w:hAnsi="Times New Roman" w:cs="Times New Roman"/>
          <w:color w:val="222222"/>
        </w:rPr>
        <w:t>s</w:t>
      </w:r>
      <w:r w:rsidR="00126718">
        <w:rPr>
          <w:rFonts w:ascii="Times New Roman" w:eastAsia="Times New Roman" w:hAnsi="Times New Roman" w:cs="Times New Roman"/>
          <w:color w:val="222222"/>
        </w:rPr>
        <w:t xml:space="preserve"> a</w:t>
      </w:r>
      <w:r w:rsidR="00FF06B5">
        <w:rPr>
          <w:rFonts w:ascii="Times New Roman" w:eastAsia="Times New Roman" w:hAnsi="Times New Roman" w:cs="Times New Roman"/>
          <w:color w:val="222222"/>
        </w:rPr>
        <w:t>n honorific</w:t>
      </w:r>
      <w:r w:rsidR="00126718">
        <w:rPr>
          <w:rFonts w:ascii="Times New Roman" w:eastAsia="Times New Roman" w:hAnsi="Times New Roman" w:cs="Times New Roman"/>
          <w:color w:val="222222"/>
        </w:rPr>
        <w:t xml:space="preserve"> bronze statue!</w:t>
      </w:r>
    </w:p>
    <w:p w14:paraId="4F4E2330" w14:textId="77777777" w:rsidR="00126718" w:rsidRDefault="00126718" w:rsidP="009F46C7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</w:p>
    <w:p w14:paraId="03A8D71C" w14:textId="77777777" w:rsidR="00126718" w:rsidRDefault="00126718" w:rsidP="009F46C7">
      <w:pPr>
        <w:spacing w:line="360" w:lineRule="auto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Los Angeles </w:t>
      </w:r>
    </w:p>
    <w:p w14:paraId="7F510B82" w14:textId="77777777" w:rsidR="00126718" w:rsidRPr="00C84B51" w:rsidRDefault="00126718" w:rsidP="009F46C7">
      <w:pP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222222"/>
        </w:rPr>
        <w:t>January 2017</w:t>
      </w:r>
    </w:p>
    <w:sectPr w:rsidR="00126718" w:rsidRPr="00C84B51" w:rsidSect="005C1604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F5B3C9" w14:textId="77777777" w:rsidR="00497AAC" w:rsidRDefault="00497AAC" w:rsidP="00AE7045">
      <w:r>
        <w:separator/>
      </w:r>
    </w:p>
  </w:endnote>
  <w:endnote w:type="continuationSeparator" w:id="0">
    <w:p w14:paraId="5F2A42FB" w14:textId="77777777" w:rsidR="00497AAC" w:rsidRDefault="00497AAC" w:rsidP="00AE7045">
      <w:r>
        <w:continuationSeparator/>
      </w:r>
    </w:p>
  </w:endnote>
  <w:endnote w:id="1">
    <w:p w14:paraId="3009E107" w14:textId="77777777" w:rsidR="008B135B" w:rsidRDefault="008B135B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rFonts w:ascii="Times New Roman" w:hAnsi="Times New Roman" w:cs="Times New Roman"/>
        </w:rPr>
        <w:t xml:space="preserve">The original program can be found in the book of abstracts distributed at the time of the meeting and remains available online: </w:t>
      </w:r>
      <w:r w:rsidRPr="000A2A9E">
        <w:rPr>
          <w:rFonts w:ascii="Times New Roman" w:hAnsi="Times New Roman" w:cs="Times New Roman"/>
        </w:rPr>
        <w:t>getty.edu/museum/symposia/pdfs_bronze/bronzecongress_getty_schedule.pdf</w:t>
      </w:r>
      <w:r>
        <w:rPr>
          <w:rFonts w:ascii="Times New Roman" w:hAnsi="Times New Roman" w:cs="Times New Roman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DokChampa">
    <w:altName w:val="Arial Unicode MS"/>
    <w:charset w:val="00"/>
    <w:family w:val="swiss"/>
    <w:pitch w:val="variable"/>
    <w:sig w:usb0="03000003" w:usb1="00000000" w:usb2="00000000" w:usb3="00000000" w:csb0="0001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TSyntax Regular">
    <w:altName w:val="Calibri"/>
    <w:charset w:val="00"/>
    <w:family w:val="auto"/>
    <w:pitch w:val="variable"/>
    <w:sig w:usb0="800000A7" w:usb1="0000004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DAE1E" w14:textId="77777777" w:rsidR="00497AAC" w:rsidRDefault="00497AAC" w:rsidP="00AE7045">
      <w:r>
        <w:separator/>
      </w:r>
    </w:p>
  </w:footnote>
  <w:footnote w:type="continuationSeparator" w:id="0">
    <w:p w14:paraId="2EB5B632" w14:textId="77777777" w:rsidR="00497AAC" w:rsidRDefault="00497AAC" w:rsidP="00AE7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D7327"/>
    <w:multiLevelType w:val="hybridMultilevel"/>
    <w:tmpl w:val="636ECC9C"/>
    <w:lvl w:ilvl="0" w:tplc="3C3638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02072"/>
    <w:multiLevelType w:val="hybridMultilevel"/>
    <w:tmpl w:val="D7C065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33645"/>
    <w:multiLevelType w:val="hybridMultilevel"/>
    <w:tmpl w:val="6E3EAC12"/>
    <w:lvl w:ilvl="0" w:tplc="EE12D964">
      <w:start w:val="2017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D85D77"/>
    <w:multiLevelType w:val="hybridMultilevel"/>
    <w:tmpl w:val="BFF6C742"/>
    <w:lvl w:ilvl="0" w:tplc="EE12D964">
      <w:start w:val="2017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</w:compat>
  <w:rsids>
    <w:rsidRoot w:val="00983503"/>
    <w:rsid w:val="00010F63"/>
    <w:rsid w:val="000114AD"/>
    <w:rsid w:val="000216EC"/>
    <w:rsid w:val="00021A20"/>
    <w:rsid w:val="00034435"/>
    <w:rsid w:val="00045B11"/>
    <w:rsid w:val="0006167C"/>
    <w:rsid w:val="00065336"/>
    <w:rsid w:val="000840AB"/>
    <w:rsid w:val="0009210F"/>
    <w:rsid w:val="000A10AF"/>
    <w:rsid w:val="000A2A9E"/>
    <w:rsid w:val="000A5622"/>
    <w:rsid w:val="000C4557"/>
    <w:rsid w:val="000D2D63"/>
    <w:rsid w:val="000D3D5F"/>
    <w:rsid w:val="00107629"/>
    <w:rsid w:val="00121B8D"/>
    <w:rsid w:val="00124F11"/>
    <w:rsid w:val="00126718"/>
    <w:rsid w:val="00152863"/>
    <w:rsid w:val="00152B92"/>
    <w:rsid w:val="00171FF0"/>
    <w:rsid w:val="0017642B"/>
    <w:rsid w:val="001B3229"/>
    <w:rsid w:val="001B707E"/>
    <w:rsid w:val="001C1A41"/>
    <w:rsid w:val="001C6258"/>
    <w:rsid w:val="001D4D9C"/>
    <w:rsid w:val="0021119F"/>
    <w:rsid w:val="002157CE"/>
    <w:rsid w:val="00226967"/>
    <w:rsid w:val="0023365A"/>
    <w:rsid w:val="00257B01"/>
    <w:rsid w:val="0028036D"/>
    <w:rsid w:val="00284698"/>
    <w:rsid w:val="00295000"/>
    <w:rsid w:val="002A706E"/>
    <w:rsid w:val="002C12BC"/>
    <w:rsid w:val="002E57AA"/>
    <w:rsid w:val="002F535A"/>
    <w:rsid w:val="0030147A"/>
    <w:rsid w:val="00310B74"/>
    <w:rsid w:val="00313A67"/>
    <w:rsid w:val="00324C55"/>
    <w:rsid w:val="00337F97"/>
    <w:rsid w:val="0035394D"/>
    <w:rsid w:val="003625D9"/>
    <w:rsid w:val="00366EA2"/>
    <w:rsid w:val="0038261C"/>
    <w:rsid w:val="00383625"/>
    <w:rsid w:val="00384870"/>
    <w:rsid w:val="003B75DB"/>
    <w:rsid w:val="003B7E23"/>
    <w:rsid w:val="003C186A"/>
    <w:rsid w:val="003C67AA"/>
    <w:rsid w:val="003E09E3"/>
    <w:rsid w:val="003E7207"/>
    <w:rsid w:val="003F605C"/>
    <w:rsid w:val="00401C0D"/>
    <w:rsid w:val="00416C2E"/>
    <w:rsid w:val="00425C4C"/>
    <w:rsid w:val="00440EDE"/>
    <w:rsid w:val="0044650B"/>
    <w:rsid w:val="0045375E"/>
    <w:rsid w:val="0046410F"/>
    <w:rsid w:val="00464F24"/>
    <w:rsid w:val="00470FC1"/>
    <w:rsid w:val="004926C4"/>
    <w:rsid w:val="00497AAC"/>
    <w:rsid w:val="004A4EE2"/>
    <w:rsid w:val="004C3840"/>
    <w:rsid w:val="004D0011"/>
    <w:rsid w:val="004D1BC8"/>
    <w:rsid w:val="004E613D"/>
    <w:rsid w:val="004F7F93"/>
    <w:rsid w:val="005065E4"/>
    <w:rsid w:val="00527243"/>
    <w:rsid w:val="00551FF9"/>
    <w:rsid w:val="00565250"/>
    <w:rsid w:val="0057054E"/>
    <w:rsid w:val="00570E8B"/>
    <w:rsid w:val="00572F4B"/>
    <w:rsid w:val="00584C45"/>
    <w:rsid w:val="0059067B"/>
    <w:rsid w:val="00597BBE"/>
    <w:rsid w:val="005A2BDE"/>
    <w:rsid w:val="005A74D2"/>
    <w:rsid w:val="005C1604"/>
    <w:rsid w:val="005C1C85"/>
    <w:rsid w:val="005D7E83"/>
    <w:rsid w:val="005F3B93"/>
    <w:rsid w:val="005F5B2C"/>
    <w:rsid w:val="00605268"/>
    <w:rsid w:val="0061365F"/>
    <w:rsid w:val="006166B8"/>
    <w:rsid w:val="006256CA"/>
    <w:rsid w:val="006272F3"/>
    <w:rsid w:val="0063435A"/>
    <w:rsid w:val="006372B9"/>
    <w:rsid w:val="00641337"/>
    <w:rsid w:val="0064398C"/>
    <w:rsid w:val="0066543E"/>
    <w:rsid w:val="00670B27"/>
    <w:rsid w:val="006873E4"/>
    <w:rsid w:val="00696925"/>
    <w:rsid w:val="006978BC"/>
    <w:rsid w:val="006C2598"/>
    <w:rsid w:val="006F647A"/>
    <w:rsid w:val="007202D5"/>
    <w:rsid w:val="00761DF1"/>
    <w:rsid w:val="00766C83"/>
    <w:rsid w:val="00767F66"/>
    <w:rsid w:val="007802C0"/>
    <w:rsid w:val="007928B6"/>
    <w:rsid w:val="00793F8C"/>
    <w:rsid w:val="007A0FF7"/>
    <w:rsid w:val="007A736C"/>
    <w:rsid w:val="007D673E"/>
    <w:rsid w:val="007E2F0B"/>
    <w:rsid w:val="007E75BB"/>
    <w:rsid w:val="007F2614"/>
    <w:rsid w:val="007F5EF6"/>
    <w:rsid w:val="00804FDD"/>
    <w:rsid w:val="00806BF8"/>
    <w:rsid w:val="0080761E"/>
    <w:rsid w:val="00816487"/>
    <w:rsid w:val="00816B88"/>
    <w:rsid w:val="008200AB"/>
    <w:rsid w:val="00887BD0"/>
    <w:rsid w:val="008A1B7A"/>
    <w:rsid w:val="008A7FAD"/>
    <w:rsid w:val="008B135B"/>
    <w:rsid w:val="008B391F"/>
    <w:rsid w:val="008C4349"/>
    <w:rsid w:val="00910533"/>
    <w:rsid w:val="009133A3"/>
    <w:rsid w:val="00916EAB"/>
    <w:rsid w:val="00924AA4"/>
    <w:rsid w:val="00925679"/>
    <w:rsid w:val="0093144F"/>
    <w:rsid w:val="00935527"/>
    <w:rsid w:val="00964342"/>
    <w:rsid w:val="0097051C"/>
    <w:rsid w:val="00980D90"/>
    <w:rsid w:val="00983503"/>
    <w:rsid w:val="009931EB"/>
    <w:rsid w:val="009A5F20"/>
    <w:rsid w:val="009C0537"/>
    <w:rsid w:val="009D2AF3"/>
    <w:rsid w:val="009D3E08"/>
    <w:rsid w:val="009F46C7"/>
    <w:rsid w:val="009F5BAA"/>
    <w:rsid w:val="00A00586"/>
    <w:rsid w:val="00A00F85"/>
    <w:rsid w:val="00A41FF2"/>
    <w:rsid w:val="00A50BE7"/>
    <w:rsid w:val="00A5220D"/>
    <w:rsid w:val="00A678A5"/>
    <w:rsid w:val="00A74A71"/>
    <w:rsid w:val="00A77683"/>
    <w:rsid w:val="00A912C0"/>
    <w:rsid w:val="00A92640"/>
    <w:rsid w:val="00AA59A0"/>
    <w:rsid w:val="00AB4C39"/>
    <w:rsid w:val="00AB6E5E"/>
    <w:rsid w:val="00AC2A98"/>
    <w:rsid w:val="00AC6BBB"/>
    <w:rsid w:val="00AE7045"/>
    <w:rsid w:val="00AF0468"/>
    <w:rsid w:val="00B01187"/>
    <w:rsid w:val="00B0666C"/>
    <w:rsid w:val="00B35153"/>
    <w:rsid w:val="00B44658"/>
    <w:rsid w:val="00B61897"/>
    <w:rsid w:val="00B7103B"/>
    <w:rsid w:val="00B74FBD"/>
    <w:rsid w:val="00BB3FB4"/>
    <w:rsid w:val="00BB65E6"/>
    <w:rsid w:val="00BD51CB"/>
    <w:rsid w:val="00BF7B4D"/>
    <w:rsid w:val="00C034DF"/>
    <w:rsid w:val="00C22258"/>
    <w:rsid w:val="00C25DFF"/>
    <w:rsid w:val="00C419A8"/>
    <w:rsid w:val="00C451AB"/>
    <w:rsid w:val="00C479AC"/>
    <w:rsid w:val="00C66FF7"/>
    <w:rsid w:val="00C72CE1"/>
    <w:rsid w:val="00C80E61"/>
    <w:rsid w:val="00C84B51"/>
    <w:rsid w:val="00C91F0D"/>
    <w:rsid w:val="00CA7CE6"/>
    <w:rsid w:val="00CB35E8"/>
    <w:rsid w:val="00CB4AFF"/>
    <w:rsid w:val="00CC3E34"/>
    <w:rsid w:val="00CC5EA1"/>
    <w:rsid w:val="00CE3637"/>
    <w:rsid w:val="00D07E71"/>
    <w:rsid w:val="00D54E54"/>
    <w:rsid w:val="00D564D8"/>
    <w:rsid w:val="00D57952"/>
    <w:rsid w:val="00D675EB"/>
    <w:rsid w:val="00D71879"/>
    <w:rsid w:val="00D724D1"/>
    <w:rsid w:val="00D8183E"/>
    <w:rsid w:val="00D833AA"/>
    <w:rsid w:val="00D9171C"/>
    <w:rsid w:val="00DA60D4"/>
    <w:rsid w:val="00DB052A"/>
    <w:rsid w:val="00DB1ED5"/>
    <w:rsid w:val="00DE453A"/>
    <w:rsid w:val="00DF0A0D"/>
    <w:rsid w:val="00DF169D"/>
    <w:rsid w:val="00DF2052"/>
    <w:rsid w:val="00DF2235"/>
    <w:rsid w:val="00E12DCF"/>
    <w:rsid w:val="00E4200A"/>
    <w:rsid w:val="00E45165"/>
    <w:rsid w:val="00E56AC1"/>
    <w:rsid w:val="00E85086"/>
    <w:rsid w:val="00EA1E22"/>
    <w:rsid w:val="00EB02A6"/>
    <w:rsid w:val="00EB5A61"/>
    <w:rsid w:val="00EC7C50"/>
    <w:rsid w:val="00ED4B6A"/>
    <w:rsid w:val="00ED5C38"/>
    <w:rsid w:val="00EE08D1"/>
    <w:rsid w:val="00EF23DA"/>
    <w:rsid w:val="00F11FA9"/>
    <w:rsid w:val="00F25CF5"/>
    <w:rsid w:val="00F37BA5"/>
    <w:rsid w:val="00F54DBE"/>
    <w:rsid w:val="00F578D4"/>
    <w:rsid w:val="00F655B5"/>
    <w:rsid w:val="00F7443C"/>
    <w:rsid w:val="00F83FB0"/>
    <w:rsid w:val="00F9524E"/>
    <w:rsid w:val="00FB7E5D"/>
    <w:rsid w:val="00FD27CB"/>
    <w:rsid w:val="00FD3F47"/>
    <w:rsid w:val="00FE2A45"/>
    <w:rsid w:val="00FF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CA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0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72B9"/>
    <w:pPr>
      <w:spacing w:before="100" w:beforeAutospacing="1" w:after="100" w:afterAutospacing="1"/>
    </w:pPr>
    <w:rPr>
      <w:rFonts w:ascii="Times New Roman" w:eastAsiaTheme="minorHAnsi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6372B9"/>
    <w:pPr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34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349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70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0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0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0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045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AE704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E704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E70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8F83077A-F571-BD48-9883-7147A140E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2184</Words>
  <Characters>12452</Characters>
  <Application>Microsoft Macintosh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14607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Daehner</dc:creator>
  <cp:lastModifiedBy>Ruth Lane</cp:lastModifiedBy>
  <cp:revision>3</cp:revision>
  <dcterms:created xsi:type="dcterms:W3CDTF">2017-01-30T19:37:00Z</dcterms:created>
  <dcterms:modified xsi:type="dcterms:W3CDTF">2017-01-31T20:04:00Z</dcterms:modified>
</cp:coreProperties>
</file>