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7018DF" w:rsidRPr="007018DF" w:rsidRDefault="00A671FE">
      <w:pPr>
        <w:spacing w:line="360" w:lineRule="auto"/>
        <w:jc w:val="center"/>
        <w:rPr>
          <w:rFonts w:ascii="Times New Roman" w:hAnsi="Times New Roman" w:cs="Times New Roman"/>
          <w:b/>
          <w:sz w:val="24"/>
          <w:szCs w:val="24"/>
        </w:rPr>
      </w:pPr>
      <w:r w:rsidRPr="007018DF">
        <w:rPr>
          <w:rFonts w:ascii="Times New Roman" w:hAnsi="Times New Roman" w:cs="Times New Roman"/>
          <w:b/>
          <w:sz w:val="24"/>
          <w:szCs w:val="24"/>
        </w:rPr>
        <w:t>[title]</w:t>
      </w:r>
      <w:r w:rsidR="00920F11" w:rsidRPr="007018DF">
        <w:rPr>
          <w:rFonts w:ascii="Times New Roman" w:hAnsi="Times New Roman" w:cs="Times New Roman"/>
          <w:b/>
          <w:sz w:val="24"/>
          <w:szCs w:val="24"/>
        </w:rPr>
        <w:t>Mobility and Migration: Issues Concerning Itinerant Sculptors</w:t>
      </w:r>
    </w:p>
    <w:p w:rsidR="007018DF" w:rsidRPr="007018DF" w:rsidRDefault="00981F54">
      <w:pPr>
        <w:spacing w:line="360" w:lineRule="auto"/>
        <w:jc w:val="center"/>
        <w:rPr>
          <w:rFonts w:ascii="Times New Roman" w:hAnsi="Times New Roman" w:cs="Times New Roman"/>
          <w:sz w:val="24"/>
          <w:szCs w:val="24"/>
        </w:rPr>
      </w:pPr>
      <w:r w:rsidRPr="007018DF">
        <w:rPr>
          <w:rFonts w:ascii="Times New Roman" w:hAnsi="Times New Roman" w:cs="Times New Roman"/>
          <w:sz w:val="24"/>
          <w:szCs w:val="24"/>
        </w:rPr>
        <w:t>[author]Martin Horne</w:t>
      </w:r>
      <w:r w:rsidRPr="007018DF">
        <w:rPr>
          <w:rFonts w:ascii="Times New Roman" w:hAnsi="Times New Roman" w:cs="Times New Roman"/>
          <w:sz w:val="24"/>
          <w:szCs w:val="24"/>
        </w:rPr>
        <w:br/>
        <w:t>[affiliation]Indiana University</w:t>
      </w:r>
      <w:r w:rsidRPr="007018DF">
        <w:rPr>
          <w:rFonts w:ascii="Times New Roman" w:hAnsi="Times New Roman" w:cs="Times New Roman"/>
          <w:sz w:val="24"/>
          <w:szCs w:val="24"/>
        </w:rPr>
        <w:br/>
      </w:r>
    </w:p>
    <w:p w:rsidR="007018DF" w:rsidRPr="007018DF" w:rsidRDefault="007018DF">
      <w:pPr>
        <w:spacing w:line="360" w:lineRule="auto"/>
        <w:jc w:val="center"/>
        <w:rPr>
          <w:rFonts w:ascii="Times New Roman" w:hAnsi="Times New Roman" w:cs="Times New Roman"/>
          <w:b/>
          <w:sz w:val="24"/>
          <w:szCs w:val="24"/>
        </w:rPr>
      </w:pPr>
    </w:p>
    <w:p w:rsidR="007018DF" w:rsidRPr="007018DF" w:rsidRDefault="00A671FE">
      <w:pPr>
        <w:spacing w:line="360" w:lineRule="auto"/>
        <w:jc w:val="center"/>
        <w:rPr>
          <w:rFonts w:ascii="Times New Roman" w:hAnsi="Times New Roman" w:cs="Times New Roman"/>
          <w:b/>
          <w:sz w:val="24"/>
          <w:szCs w:val="24"/>
        </w:rPr>
      </w:pPr>
      <w:r w:rsidRPr="007018DF">
        <w:rPr>
          <w:rFonts w:ascii="Times New Roman" w:hAnsi="Times New Roman" w:cs="Times New Roman"/>
          <w:b/>
          <w:sz w:val="24"/>
          <w:szCs w:val="24"/>
        </w:rPr>
        <w:t>[</w:t>
      </w:r>
      <w:r w:rsidR="002E6CA7" w:rsidRPr="007018DF">
        <w:rPr>
          <w:rFonts w:ascii="Times New Roman" w:hAnsi="Times New Roman" w:cs="Times New Roman"/>
          <w:b/>
          <w:sz w:val="24"/>
          <w:szCs w:val="24"/>
        </w:rPr>
        <w:t>A-</w:t>
      </w:r>
      <w:r w:rsidR="00981F54" w:rsidRPr="007018DF">
        <w:rPr>
          <w:rFonts w:ascii="Times New Roman" w:hAnsi="Times New Roman" w:cs="Times New Roman"/>
          <w:b/>
          <w:sz w:val="24"/>
          <w:szCs w:val="24"/>
        </w:rPr>
        <w:t>head]Abstract</w:t>
      </w:r>
    </w:p>
    <w:p w:rsidR="007018DF" w:rsidRPr="007018DF" w:rsidRDefault="00981F54">
      <w:pPr>
        <w:pStyle w:val="NormalWeb"/>
        <w:spacing w:line="360" w:lineRule="auto"/>
        <w:rPr>
          <w:rFonts w:ascii="Times New Roman" w:hAnsi="Times New Roman"/>
          <w:sz w:val="24"/>
          <w:szCs w:val="24"/>
        </w:rPr>
      </w:pPr>
      <w:r w:rsidRPr="007018DF">
        <w:rPr>
          <w:rFonts w:ascii="Times New Roman" w:hAnsi="Times New Roman"/>
          <w:color w:val="000000"/>
          <w:sz w:val="24"/>
          <w:szCs w:val="24"/>
        </w:rPr>
        <w:t>[abstract]</w:t>
      </w:r>
    </w:p>
    <w:p w:rsidR="007018DF" w:rsidRPr="007018DF" w:rsidRDefault="00981F54">
      <w:pPr>
        <w:pStyle w:val="NormalWeb"/>
        <w:spacing w:line="360" w:lineRule="auto"/>
        <w:rPr>
          <w:rFonts w:ascii="Times New Roman" w:hAnsi="Times New Roman"/>
          <w:b/>
          <w:sz w:val="24"/>
          <w:szCs w:val="24"/>
        </w:rPr>
      </w:pPr>
      <w:r w:rsidRPr="007018DF">
        <w:rPr>
          <w:rFonts w:ascii="Times New Roman" w:hAnsi="Times New Roman"/>
          <w:sz w:val="24"/>
          <w:szCs w:val="24"/>
        </w:rPr>
        <w:t>The economic considerations involved in ancient sculptural production share recognizable characteristics with the concerns of sculptors from subsequent periods. Recent study of the modern “creative class” has led scholars of anthropology to examine additional factors affecting employment opportunity, such as cultural, logistical, and legal influences that motivate mobility. These same principles may help us to focus our perception of the ancient sculptors’ trade beyond the fragmentary body of epigraphic, archaeological, and literary evidence. This paper briefly considers the financial pressures upon sites of sculptural production before embarking on an analysis of legal factors that would affect individual sculptors seeking improved employment opportunities throughout the classical world. The wealth of epigraphic information from statue bases on Rhodes and logistical documents at Athens provide a body of evidence ideally suited to study how this broader conception of external pressures relates to sculptors and workshops of antiquity.</w:t>
      </w:r>
    </w:p>
    <w:p w:rsidR="00A671FE" w:rsidRPr="007018DF" w:rsidRDefault="00A671FE" w:rsidP="00A671FE">
      <w:pPr>
        <w:spacing w:line="360" w:lineRule="auto"/>
        <w:rPr>
          <w:rFonts w:ascii="Times New Roman" w:hAnsi="Times New Roman" w:cs="Times New Roman"/>
          <w:sz w:val="24"/>
          <w:szCs w:val="24"/>
        </w:rPr>
      </w:pPr>
      <w:r w:rsidRPr="007018DF">
        <w:rPr>
          <w:rFonts w:ascii="Times New Roman" w:hAnsi="Times New Roman" w:cs="Times New Roman"/>
          <w:sz w:val="24"/>
          <w:szCs w:val="24"/>
        </w:rPr>
        <w:lastRenderedPageBreak/>
        <w:t>[main text]</w:t>
      </w:r>
    </w:p>
    <w:p w:rsidR="00C8526F" w:rsidRPr="007018DF" w:rsidRDefault="00981F54" w:rsidP="00A671FE">
      <w:pPr>
        <w:spacing w:line="360" w:lineRule="auto"/>
        <w:rPr>
          <w:rFonts w:ascii="Times New Roman" w:hAnsi="Times New Roman" w:cs="Times New Roman"/>
          <w:sz w:val="24"/>
          <w:szCs w:val="24"/>
        </w:rPr>
      </w:pPr>
      <w:r w:rsidRPr="007018DF">
        <w:rPr>
          <w:rFonts w:ascii="Times New Roman" w:hAnsi="Times New Roman" w:cs="Times New Roman"/>
          <w:sz w:val="24"/>
          <w:szCs w:val="24"/>
        </w:rPr>
        <w:t xml:space="preserve">Our understanding of the ancient sculptor’s profession, like so much of ancient sculpture itself, is fragmentary. The particulars of ephemeral facets such as training and organization come primarily from literary sources, supplemented by meager evidence found at sites of bronze and marble sculpture production. As a result, the clearest picture forms around the major figures of antiquity such as Praxiteles and </w:t>
      </w:r>
      <w:proofErr w:type="spellStart"/>
      <w:r w:rsidRPr="007018DF">
        <w:rPr>
          <w:rFonts w:ascii="Times New Roman" w:hAnsi="Times New Roman" w:cs="Times New Roman"/>
          <w:sz w:val="24"/>
          <w:szCs w:val="24"/>
        </w:rPr>
        <w:t>Pheidias</w:t>
      </w:r>
      <w:proofErr w:type="spellEnd"/>
      <w:r w:rsidRPr="007018DF">
        <w:rPr>
          <w:rFonts w:ascii="Times New Roman" w:hAnsi="Times New Roman" w:cs="Times New Roman"/>
          <w:sz w:val="24"/>
          <w:szCs w:val="24"/>
        </w:rPr>
        <w:t>, who, according to ancient accounts, were sought out to complete major works across the Aegean.</w:t>
      </w:r>
      <w:r w:rsidR="00C8526F" w:rsidRPr="007018DF">
        <w:rPr>
          <w:rFonts w:ascii="Times New Roman" w:hAnsi="Times New Roman" w:cs="Times New Roman"/>
          <w:sz w:val="24"/>
          <w:szCs w:val="24"/>
          <w:vertAlign w:val="superscript"/>
        </w:rPr>
        <w:endnoteReference w:id="1"/>
      </w:r>
      <w:r w:rsidR="00C8526F" w:rsidRPr="007018DF">
        <w:rPr>
          <w:rFonts w:ascii="Times New Roman" w:hAnsi="Times New Roman" w:cs="Times New Roman"/>
          <w:sz w:val="24"/>
          <w:szCs w:val="24"/>
        </w:rPr>
        <w:t xml:space="preserve"> While we cannot fault </w:t>
      </w:r>
      <w:proofErr w:type="spellStart"/>
      <w:r w:rsidR="00C8526F" w:rsidRPr="007018DF">
        <w:rPr>
          <w:rFonts w:ascii="Times New Roman" w:hAnsi="Times New Roman" w:cs="Times New Roman"/>
          <w:sz w:val="24"/>
          <w:szCs w:val="24"/>
        </w:rPr>
        <w:t>encyclopedists</w:t>
      </w:r>
      <w:proofErr w:type="spellEnd"/>
      <w:r w:rsidR="00C8526F" w:rsidRPr="007018DF">
        <w:rPr>
          <w:rFonts w:ascii="Times New Roman" w:hAnsi="Times New Roman" w:cs="Times New Roman"/>
          <w:sz w:val="24"/>
          <w:szCs w:val="24"/>
        </w:rPr>
        <w:t>, principally Pliny the Elder and Pausanias, for</w:t>
      </w:r>
      <w:r w:rsidRPr="007018DF">
        <w:rPr>
          <w:rFonts w:ascii="Times New Roman" w:hAnsi="Times New Roman" w:cs="Times New Roman"/>
          <w:sz w:val="24"/>
          <w:szCs w:val="24"/>
        </w:rPr>
        <w:t xml:space="preserve"> focusing their comments on notable pieces and creators, their perspectives are their own; it is rather our understanding of their accounts that deserves critical reexamination. A passing analysis of these literary accounts skews our understanding of the broader system of employment for all sculptors toward a series of major commissions.</w:t>
      </w:r>
      <w:r w:rsidR="00C8526F" w:rsidRPr="007018DF">
        <w:rPr>
          <w:rFonts w:ascii="Times New Roman" w:hAnsi="Times New Roman" w:cs="Times New Roman"/>
          <w:sz w:val="24"/>
          <w:szCs w:val="24"/>
          <w:vertAlign w:val="superscript"/>
        </w:rPr>
        <w:endnoteReference w:id="2"/>
      </w:r>
      <w:r w:rsidR="00C8526F" w:rsidRPr="007018DF">
        <w:rPr>
          <w:rFonts w:ascii="Times New Roman" w:hAnsi="Times New Roman" w:cs="Times New Roman"/>
          <w:sz w:val="24"/>
          <w:szCs w:val="24"/>
        </w:rPr>
        <w:t xml:space="preserve"> It is perhaps more accurate to consider commissions, or </w:t>
      </w:r>
      <w:proofErr w:type="spellStart"/>
      <w:r w:rsidR="00C8526F" w:rsidRPr="007018DF">
        <w:rPr>
          <w:rFonts w:ascii="Times New Roman" w:hAnsi="Times New Roman" w:cs="Times New Roman"/>
          <w:i/>
          <w:sz w:val="24"/>
          <w:szCs w:val="24"/>
        </w:rPr>
        <w:t>patron</w:t>
      </w:r>
      <w:r w:rsidRPr="007018DF">
        <w:rPr>
          <w:rFonts w:ascii="Times New Roman" w:hAnsi="Times New Roman" w:cs="Times New Roman"/>
          <w:i/>
          <w:sz w:val="24"/>
          <w:szCs w:val="24"/>
        </w:rPr>
        <w:t>ed</w:t>
      </w:r>
      <w:proofErr w:type="spellEnd"/>
      <w:r w:rsidRPr="007018DF">
        <w:rPr>
          <w:rFonts w:ascii="Times New Roman" w:hAnsi="Times New Roman" w:cs="Times New Roman"/>
          <w:sz w:val="24"/>
          <w:szCs w:val="24"/>
        </w:rPr>
        <w:t xml:space="preserve"> work, as exceptional highlights rather than reflecting the trade</w:t>
      </w:r>
      <w:r w:rsidRPr="007018DF">
        <w:rPr>
          <w:rFonts w:ascii="Times New Roman" w:hAnsi="Times New Roman" w:cs="Times New Roman"/>
          <w:b/>
          <w:sz w:val="24"/>
          <w:szCs w:val="24"/>
        </w:rPr>
        <w:t xml:space="preserve"> </w:t>
      </w:r>
      <w:r w:rsidRPr="007018DF">
        <w:rPr>
          <w:rFonts w:ascii="Times New Roman" w:hAnsi="Times New Roman" w:cs="Times New Roman"/>
          <w:sz w:val="24"/>
          <w:szCs w:val="24"/>
        </w:rPr>
        <w:t>more generally</w:t>
      </w:r>
      <w:r w:rsidR="00C8526F" w:rsidRPr="007018DF">
        <w:rPr>
          <w:rFonts w:ascii="Times New Roman" w:hAnsi="Times New Roman" w:cs="Times New Roman"/>
          <w:sz w:val="24"/>
          <w:szCs w:val="24"/>
        </w:rPr>
        <w:t>.</w:t>
      </w:r>
      <w:r w:rsidR="00C8526F" w:rsidRPr="007018DF">
        <w:rPr>
          <w:rFonts w:ascii="Times New Roman" w:hAnsi="Times New Roman" w:cs="Times New Roman"/>
          <w:sz w:val="24"/>
          <w:szCs w:val="24"/>
          <w:vertAlign w:val="superscript"/>
        </w:rPr>
        <w:endnoteReference w:id="3"/>
      </w:r>
      <w:r w:rsidR="00C8526F" w:rsidRPr="007018DF">
        <w:rPr>
          <w:rFonts w:ascii="Times New Roman" w:hAnsi="Times New Roman" w:cs="Times New Roman"/>
          <w:sz w:val="24"/>
          <w:szCs w:val="24"/>
        </w:rPr>
        <w:t xml:space="preserve"> This perspective raises important questions such as: What would have occupied the intervening years of </w:t>
      </w:r>
      <w:r w:rsidRPr="007018DF">
        <w:rPr>
          <w:rFonts w:ascii="Times New Roman" w:hAnsi="Times New Roman" w:cs="Times New Roman"/>
          <w:sz w:val="24"/>
          <w:szCs w:val="24"/>
        </w:rPr>
        <w:t xml:space="preserve">a patron-less sculptor’s career? Were there periods during which he was actively seeking employment at sites of sculptural production? I will argue that in order to understand </w:t>
      </w:r>
      <w:r w:rsidRPr="007018DF">
        <w:rPr>
          <w:rFonts w:ascii="Times New Roman" w:hAnsi="Times New Roman" w:cs="Times New Roman"/>
          <w:i/>
          <w:sz w:val="24"/>
          <w:szCs w:val="24"/>
        </w:rPr>
        <w:t>un-patroned</w:t>
      </w:r>
      <w:r w:rsidRPr="007018DF">
        <w:rPr>
          <w:rFonts w:ascii="Times New Roman" w:hAnsi="Times New Roman" w:cs="Times New Roman"/>
          <w:sz w:val="24"/>
          <w:szCs w:val="24"/>
        </w:rPr>
        <w:t xml:space="preserve"> employment and its relation to mobility, it is prudent to turn to approaches typically considered ancillary to the study of art. These include the modern study of migration dynamics as well as logistical and contractual documents within the epigraphic record.</w:t>
      </w:r>
      <w:r w:rsidR="00C8526F" w:rsidRPr="007018DF">
        <w:rPr>
          <w:rFonts w:ascii="Times New Roman" w:hAnsi="Times New Roman" w:cs="Times New Roman"/>
          <w:sz w:val="24"/>
          <w:szCs w:val="24"/>
          <w:vertAlign w:val="superscript"/>
        </w:rPr>
        <w:endnoteReference w:id="4"/>
      </w:r>
      <w:r w:rsidR="00C8526F" w:rsidRPr="007018DF">
        <w:rPr>
          <w:rFonts w:ascii="Times New Roman" w:hAnsi="Times New Roman" w:cs="Times New Roman"/>
          <w:sz w:val="24"/>
          <w:szCs w:val="24"/>
        </w:rPr>
        <w:t xml:space="preserve"> Sculptors of the ancient world were, after all, engaged in a commercial enterprise and reliant upon monetizing their material output.</w:t>
      </w:r>
      <w:r w:rsidR="00C8526F" w:rsidRPr="007018DF">
        <w:rPr>
          <w:rFonts w:ascii="Times New Roman" w:hAnsi="Times New Roman" w:cs="Times New Roman"/>
          <w:sz w:val="24"/>
          <w:szCs w:val="24"/>
          <w:vertAlign w:val="superscript"/>
        </w:rPr>
        <w:endnoteReference w:id="5"/>
      </w:r>
      <w:r w:rsidR="00C8526F" w:rsidRPr="007018DF">
        <w:rPr>
          <w:rFonts w:ascii="Times New Roman" w:hAnsi="Times New Roman" w:cs="Times New Roman"/>
          <w:sz w:val="24"/>
          <w:szCs w:val="24"/>
        </w:rPr>
        <w:t xml:space="preserve"> In the case of sculpting for large-scale architectural projects, we are fortunate to have documentation pertaining </w:t>
      </w:r>
      <w:r w:rsidRPr="007018DF">
        <w:rPr>
          <w:rFonts w:ascii="Times New Roman" w:hAnsi="Times New Roman" w:cs="Times New Roman"/>
          <w:sz w:val="24"/>
          <w:szCs w:val="24"/>
        </w:rPr>
        <w:t>to the experiences of such individuals. This essay draws on these important bodies of evidence, identifying where pay rate, job type, and civic status affected the employment of sculptors and their apparent movement to locations of opportunity. These sources of information can be correlated with epigraphic evidence from Athens and Rhodes, which demonstrate the economic pressures on two diverse types of work settings: architectural projects and static workshops. By identifying common legal and economic catalysts, it becomes possible to broaden our understanding of the working lives of bronze and marble sculptors in antiquity.</w:t>
      </w:r>
      <w:r w:rsidR="00C8526F" w:rsidRPr="007018DF">
        <w:rPr>
          <w:rFonts w:ascii="Times New Roman" w:hAnsi="Times New Roman" w:cs="Times New Roman"/>
          <w:sz w:val="24"/>
          <w:szCs w:val="24"/>
          <w:vertAlign w:val="superscript"/>
        </w:rPr>
        <w:endnoteReference w:id="6"/>
      </w:r>
      <w:r w:rsidR="00C8526F" w:rsidRPr="007018DF">
        <w:rPr>
          <w:rFonts w:ascii="Times New Roman" w:hAnsi="Times New Roman" w:cs="Times New Roman"/>
          <w:sz w:val="24"/>
          <w:szCs w:val="24"/>
        </w:rPr>
        <w:br/>
        <w:t>As previously mentioned, our sources on the ephemeral aspects of production are limited; even</w:t>
      </w:r>
      <w:r w:rsidRPr="007018DF">
        <w:rPr>
          <w:rFonts w:ascii="Times New Roman" w:hAnsi="Times New Roman" w:cs="Times New Roman"/>
          <w:sz w:val="24"/>
          <w:szCs w:val="24"/>
        </w:rPr>
        <w:t xml:space="preserve"> Lucian’s colorful account of stone sculpting is largely devoid of useful details.</w:t>
      </w:r>
      <w:r w:rsidR="00C8526F" w:rsidRPr="007018DF">
        <w:rPr>
          <w:rFonts w:ascii="Times New Roman" w:hAnsi="Times New Roman" w:cs="Times New Roman"/>
          <w:sz w:val="24"/>
          <w:szCs w:val="24"/>
          <w:vertAlign w:val="superscript"/>
        </w:rPr>
        <w:endnoteReference w:id="7"/>
      </w:r>
      <w:r w:rsidR="00C8526F" w:rsidRPr="007018DF">
        <w:rPr>
          <w:rFonts w:ascii="Times New Roman" w:hAnsi="Times New Roman" w:cs="Times New Roman"/>
          <w:sz w:val="24"/>
          <w:szCs w:val="24"/>
        </w:rPr>
        <w:t xml:space="preserve"> </w:t>
      </w:r>
      <w:r w:rsidR="004F631D" w:rsidRPr="007018DF">
        <w:rPr>
          <w:rFonts w:ascii="Times New Roman" w:hAnsi="Times New Roman" w:cs="Times New Roman"/>
          <w:sz w:val="24"/>
          <w:szCs w:val="24"/>
        </w:rPr>
        <w:t xml:space="preserve">We will see in </w:t>
      </w:r>
      <w:r w:rsidR="004F631D" w:rsidRPr="007018DF">
        <w:rPr>
          <w:rFonts w:ascii="Times New Roman" w:hAnsi="Times New Roman" w:cs="Times New Roman"/>
          <w:sz w:val="24"/>
          <w:szCs w:val="24"/>
        </w:rPr>
        <w:lastRenderedPageBreak/>
        <w:t>Athens that, i</w:t>
      </w:r>
      <w:r w:rsidR="00C8526F" w:rsidRPr="007018DF">
        <w:rPr>
          <w:rFonts w:ascii="Times New Roman" w:hAnsi="Times New Roman" w:cs="Times New Roman"/>
          <w:sz w:val="24"/>
          <w:szCs w:val="24"/>
        </w:rPr>
        <w:t>n the case of large-scale architectural projects</w:t>
      </w:r>
      <w:r w:rsidRPr="007018DF">
        <w:rPr>
          <w:rFonts w:ascii="Times New Roman" w:hAnsi="Times New Roman" w:cs="Times New Roman"/>
          <w:sz w:val="24"/>
          <w:szCs w:val="24"/>
        </w:rPr>
        <w:t>, the practice of documenting expenditures provides valuable information regarding employment of figural sculptors. The temporary nature of such projects adds an additional consideration when contemplating the effect upon workmen with niche skills. The Athenian Building Commission’s records of the Erechtheion’s construction from 409–405 BC, found on fragmentary marble slabs, include individual workman’s roles, pay, period of employment, and civic status (</w:t>
      </w:r>
      <w:r w:rsidRPr="007018DF">
        <w:rPr>
          <w:rFonts w:ascii="Times New Roman" w:hAnsi="Times New Roman" w:cs="Times New Roman"/>
          <w:b/>
          <w:sz w:val="24"/>
          <w:szCs w:val="24"/>
        </w:rPr>
        <w:t>fig. 12.1</w:t>
      </w:r>
      <w:r w:rsidR="00C8526F" w:rsidRPr="007018DF">
        <w:rPr>
          <w:rFonts w:ascii="Times New Roman" w:hAnsi="Times New Roman" w:cs="Times New Roman"/>
          <w:sz w:val="24"/>
          <w:szCs w:val="24"/>
        </w:rPr>
        <w:t>).</w:t>
      </w:r>
      <w:r w:rsidR="00C8526F" w:rsidRPr="007018DF">
        <w:rPr>
          <w:rFonts w:ascii="Times New Roman" w:hAnsi="Times New Roman" w:cs="Times New Roman"/>
          <w:sz w:val="24"/>
          <w:szCs w:val="24"/>
          <w:vertAlign w:val="superscript"/>
        </w:rPr>
        <w:endnoteReference w:id="8"/>
      </w:r>
      <w:r w:rsidR="00C8526F" w:rsidRPr="007018DF">
        <w:rPr>
          <w:rFonts w:ascii="Times New Roman" w:hAnsi="Times New Roman" w:cs="Times New Roman"/>
          <w:sz w:val="24"/>
          <w:szCs w:val="24"/>
        </w:rPr>
        <w:t xml:space="preserve"> Richard Randall</w:t>
      </w:r>
      <w:r w:rsidR="00D524E8" w:rsidRPr="007018DF">
        <w:rPr>
          <w:rFonts w:ascii="Times New Roman" w:hAnsi="Times New Roman" w:cs="Times New Roman"/>
          <w:sz w:val="24"/>
          <w:szCs w:val="24"/>
        </w:rPr>
        <w:t>,</w:t>
      </w:r>
      <w:r w:rsidR="00C8526F" w:rsidRPr="007018DF">
        <w:rPr>
          <w:rFonts w:ascii="Times New Roman" w:hAnsi="Times New Roman" w:cs="Times New Roman"/>
          <w:sz w:val="24"/>
          <w:szCs w:val="24"/>
        </w:rPr>
        <w:t xml:space="preserve"> Jr.</w:t>
      </w:r>
      <w:r w:rsidRPr="007018DF">
        <w:rPr>
          <w:rFonts w:ascii="Times New Roman" w:hAnsi="Times New Roman" w:cs="Times New Roman"/>
          <w:sz w:val="24"/>
          <w:szCs w:val="24"/>
        </w:rPr>
        <w:t xml:space="preserve">, has drawn several important conclusions about the organization of these laborers, sculptors included. First, workmen of mixed status (slave, </w:t>
      </w:r>
      <w:r w:rsidRPr="007018DF">
        <w:rPr>
          <w:rFonts w:ascii="Times New Roman" w:hAnsi="Times New Roman" w:cs="Times New Roman"/>
          <w:i/>
          <w:sz w:val="24"/>
          <w:szCs w:val="24"/>
        </w:rPr>
        <w:t>metic</w:t>
      </w:r>
      <w:r w:rsidRPr="007018DF">
        <w:rPr>
          <w:rFonts w:ascii="Times New Roman" w:hAnsi="Times New Roman" w:cs="Times New Roman"/>
          <w:sz w:val="24"/>
          <w:szCs w:val="24"/>
        </w:rPr>
        <w:t>, and citizen) labored side-by-side on tasks of similar complexity while earning an equal sum during this third phase of construction.</w:t>
      </w:r>
      <w:r w:rsidR="00C8526F" w:rsidRPr="007018DF">
        <w:rPr>
          <w:rFonts w:ascii="Times New Roman" w:hAnsi="Times New Roman" w:cs="Times New Roman"/>
          <w:sz w:val="24"/>
          <w:szCs w:val="24"/>
          <w:vertAlign w:val="superscript"/>
        </w:rPr>
        <w:endnoteReference w:id="9"/>
      </w:r>
      <w:r w:rsidR="00C8526F" w:rsidRPr="007018DF">
        <w:rPr>
          <w:rFonts w:ascii="Times New Roman" w:hAnsi="Times New Roman" w:cs="Times New Roman"/>
          <w:sz w:val="24"/>
          <w:szCs w:val="24"/>
        </w:rPr>
        <w:t xml:space="preserve"> In the case of skilled slave labor, earnings would have been given directly to the slave’s owner.</w:t>
      </w:r>
      <w:r w:rsidR="00C8526F" w:rsidRPr="007018DF">
        <w:rPr>
          <w:rFonts w:ascii="Times New Roman" w:hAnsi="Times New Roman" w:cs="Times New Roman"/>
          <w:sz w:val="24"/>
          <w:szCs w:val="24"/>
          <w:vertAlign w:val="superscript"/>
        </w:rPr>
        <w:endnoteReference w:id="10"/>
      </w:r>
      <w:r w:rsidR="00C8526F" w:rsidRPr="007018DF">
        <w:rPr>
          <w:rFonts w:ascii="Times New Roman" w:hAnsi="Times New Roman" w:cs="Times New Roman"/>
          <w:sz w:val="24"/>
          <w:szCs w:val="24"/>
        </w:rPr>
        <w:t xml:space="preserve"> Considering the eq</w:t>
      </w:r>
      <w:r w:rsidR="001250B5" w:rsidRPr="007018DF">
        <w:rPr>
          <w:rFonts w:ascii="Times New Roman" w:hAnsi="Times New Roman" w:cs="Times New Roman"/>
          <w:sz w:val="24"/>
          <w:szCs w:val="24"/>
        </w:rPr>
        <w:t>uality of pay, one must ask what</w:t>
      </w:r>
      <w:r w:rsidR="00C8526F" w:rsidRPr="007018DF">
        <w:rPr>
          <w:rFonts w:ascii="Times New Roman" w:hAnsi="Times New Roman" w:cs="Times New Roman"/>
          <w:sz w:val="24"/>
          <w:szCs w:val="24"/>
        </w:rPr>
        <w:t xml:space="preserve"> factors affected the initial selection of workmen. Were there factors outside of </w:t>
      </w:r>
      <w:r w:rsidRPr="007018DF">
        <w:rPr>
          <w:rFonts w:ascii="Times New Roman" w:hAnsi="Times New Roman" w:cs="Times New Roman"/>
          <w:sz w:val="24"/>
          <w:szCs w:val="24"/>
        </w:rPr>
        <w:t xml:space="preserve">the familiar facets of opportunity: resources (individuals possessing the necessary skills) and positional </w:t>
      </w:r>
      <w:r w:rsidR="00D524E8" w:rsidRPr="007018DF">
        <w:rPr>
          <w:rFonts w:ascii="Times New Roman" w:hAnsi="Times New Roman" w:cs="Times New Roman"/>
          <w:sz w:val="24"/>
          <w:szCs w:val="24"/>
        </w:rPr>
        <w:t xml:space="preserve">factors </w:t>
      </w:r>
      <w:r w:rsidR="00C8526F" w:rsidRPr="007018DF">
        <w:rPr>
          <w:rFonts w:ascii="Times New Roman" w:hAnsi="Times New Roman" w:cs="Times New Roman"/>
          <w:sz w:val="24"/>
          <w:szCs w:val="24"/>
        </w:rPr>
        <w:t xml:space="preserve">(availability of workers)? The second interesting piece of information gleaned from the marble fragments is that individual craftsmen engaged in more than one trade. The </w:t>
      </w:r>
      <w:r w:rsidR="00C8526F" w:rsidRPr="007018DF">
        <w:rPr>
          <w:rFonts w:ascii="Times New Roman" w:hAnsi="Times New Roman" w:cs="Times New Roman"/>
          <w:i/>
          <w:sz w:val="24"/>
          <w:szCs w:val="24"/>
        </w:rPr>
        <w:t xml:space="preserve">metic </w:t>
      </w:r>
      <w:r w:rsidR="00C8526F" w:rsidRPr="007018DF">
        <w:rPr>
          <w:rFonts w:ascii="Times New Roman" w:hAnsi="Times New Roman" w:cs="Times New Roman"/>
          <w:sz w:val="24"/>
          <w:szCs w:val="24"/>
        </w:rPr>
        <w:t>Agathanor, for example</w:t>
      </w:r>
      <w:r w:rsidRPr="007018DF">
        <w:rPr>
          <w:rFonts w:ascii="Times New Roman" w:hAnsi="Times New Roman" w:cs="Times New Roman"/>
          <w:sz w:val="24"/>
          <w:szCs w:val="24"/>
        </w:rPr>
        <w:t>, worked as a sculptor on two projects (likely carving the Erechtheion’s small frieze figures) and as a wax modeler for the ceiling coffers, as documented by job title and its associated pay (</w:t>
      </w:r>
      <w:r w:rsidRPr="007018DF">
        <w:rPr>
          <w:rFonts w:ascii="Times New Roman" w:hAnsi="Times New Roman" w:cs="Times New Roman"/>
          <w:b/>
          <w:sz w:val="24"/>
          <w:szCs w:val="24"/>
        </w:rPr>
        <w:t>fig. 12.2</w:t>
      </w:r>
      <w:r w:rsidR="00C8526F" w:rsidRPr="007018DF">
        <w:rPr>
          <w:rFonts w:ascii="Times New Roman" w:hAnsi="Times New Roman" w:cs="Times New Roman"/>
          <w:sz w:val="24"/>
          <w:szCs w:val="24"/>
        </w:rPr>
        <w:t xml:space="preserve">). Randall </w:t>
      </w:r>
      <w:r w:rsidR="004F631D" w:rsidRPr="007018DF">
        <w:rPr>
          <w:rFonts w:ascii="Times New Roman" w:hAnsi="Times New Roman" w:cs="Times New Roman"/>
          <w:sz w:val="24"/>
          <w:szCs w:val="24"/>
        </w:rPr>
        <w:t>goes on to point out that</w:t>
      </w:r>
      <w:r w:rsidRPr="007018DF">
        <w:rPr>
          <w:rFonts w:ascii="Times New Roman" w:hAnsi="Times New Roman" w:cs="Times New Roman"/>
          <w:sz w:val="24"/>
          <w:szCs w:val="24"/>
        </w:rPr>
        <w:t xml:space="preserve"> Agathanor was not the only individual engaged in multiple trades. These craftsmen sought to capitalize on the availability of work provided by complex multifaceted projects. With this information, one begins to see the value of investigating the context of logistical data as a corrective to preconceived notions of absolute trade specialization and assumptions privileging “artists” over craftspeople. </w:t>
      </w:r>
      <w:r w:rsidRPr="007018DF">
        <w:rPr>
          <w:rFonts w:ascii="PMingLiU" w:eastAsia="PMingLiU" w:hAnsi="PMingLiU" w:cs="PMingLiU"/>
          <w:sz w:val="24"/>
          <w:szCs w:val="24"/>
        </w:rPr>
        <w:br/>
      </w:r>
      <w:r w:rsidR="00C8526F" w:rsidRPr="007018DF">
        <w:rPr>
          <w:rFonts w:ascii="Times New Roman" w:hAnsi="Times New Roman" w:cs="Times New Roman"/>
          <w:sz w:val="24"/>
          <w:szCs w:val="24"/>
        </w:rPr>
        <w:t xml:space="preserve">Delving further into the numerical data of the Erechtheion construction project, the details of civic status, compensation, and tenure provide clues to the larger picture of the </w:t>
      </w:r>
      <w:r w:rsidRPr="007018DF">
        <w:rPr>
          <w:rFonts w:ascii="Times New Roman" w:hAnsi="Times New Roman" w:cs="Times New Roman"/>
          <w:i/>
          <w:sz w:val="24"/>
          <w:szCs w:val="24"/>
        </w:rPr>
        <w:t>un-patroned</w:t>
      </w:r>
      <w:r w:rsidRPr="007018DF">
        <w:rPr>
          <w:rFonts w:ascii="Times New Roman" w:hAnsi="Times New Roman" w:cs="Times New Roman"/>
          <w:sz w:val="24"/>
          <w:szCs w:val="24"/>
        </w:rPr>
        <w:t xml:space="preserve"> sculptor’s profession. It should be reiterated that these architectural engagements are by definition temporary; however, the specifics of sculptors’ terms of employment illustrate the necessity of constantly pursuing new opportunities. In this phase of construction attributed to the aforementioned inscriptions, the sculptors were carving small-scale figures for the frieze on the north porch.</w:t>
      </w:r>
      <w:r w:rsidR="00C8526F" w:rsidRPr="007018DF">
        <w:rPr>
          <w:rFonts w:ascii="Times New Roman" w:hAnsi="Times New Roman" w:cs="Times New Roman"/>
          <w:sz w:val="24"/>
          <w:szCs w:val="24"/>
          <w:vertAlign w:val="superscript"/>
        </w:rPr>
        <w:endnoteReference w:id="11"/>
      </w:r>
      <w:r w:rsidR="00C8526F" w:rsidRPr="007018DF">
        <w:rPr>
          <w:rFonts w:ascii="Times New Roman" w:hAnsi="Times New Roman" w:cs="Times New Roman"/>
          <w:sz w:val="24"/>
          <w:szCs w:val="24"/>
        </w:rPr>
        <w:t xml:space="preserve"> In Randall’s assessment, these nine sculptors were paid the rather modest sum of sixty drachmae </w:t>
      </w:r>
      <w:r w:rsidRPr="007018DF">
        <w:rPr>
          <w:rFonts w:ascii="Times New Roman" w:hAnsi="Times New Roman" w:cs="Times New Roman"/>
          <w:sz w:val="24"/>
          <w:szCs w:val="24"/>
        </w:rPr>
        <w:t>per figure, an amount comparable to what masons were paid for carving a similarly-sized block of stone.</w:t>
      </w:r>
      <w:r w:rsidR="00C8526F" w:rsidRPr="007018DF">
        <w:rPr>
          <w:rFonts w:ascii="Times New Roman" w:hAnsi="Times New Roman" w:cs="Times New Roman"/>
          <w:sz w:val="24"/>
          <w:szCs w:val="24"/>
          <w:vertAlign w:val="superscript"/>
        </w:rPr>
        <w:endnoteReference w:id="12"/>
      </w:r>
      <w:r w:rsidR="00C8526F" w:rsidRPr="007018DF">
        <w:rPr>
          <w:rFonts w:ascii="Times New Roman" w:hAnsi="Times New Roman" w:cs="Times New Roman"/>
          <w:sz w:val="24"/>
          <w:szCs w:val="24"/>
        </w:rPr>
        <w:t xml:space="preserve"> In looking at the sculptors on a neighboring project</w:t>
      </w:r>
      <w:r w:rsidR="00C8526F" w:rsidRPr="007018DF">
        <w:rPr>
          <w:rFonts w:ascii="Times New Roman" w:hAnsi="Times New Roman" w:cs="Times New Roman"/>
          <w:b/>
          <w:sz w:val="24"/>
          <w:szCs w:val="24"/>
        </w:rPr>
        <w:t>,</w:t>
      </w:r>
      <w:r w:rsidR="00C8526F" w:rsidRPr="007018DF">
        <w:rPr>
          <w:rFonts w:ascii="Times New Roman" w:hAnsi="Times New Roman" w:cs="Times New Roman"/>
          <w:sz w:val="24"/>
          <w:szCs w:val="24"/>
        </w:rPr>
        <w:t xml:space="preserve"> the </w:t>
      </w:r>
      <w:r w:rsidR="00C8526F" w:rsidRPr="007018DF">
        <w:rPr>
          <w:rFonts w:ascii="Times New Roman" w:hAnsi="Times New Roman" w:cs="Times New Roman"/>
          <w:sz w:val="24"/>
          <w:szCs w:val="24"/>
        </w:rPr>
        <w:lastRenderedPageBreak/>
        <w:t xml:space="preserve">Parthenon pediment, Alison Burford noted that sculptors were paid a sum </w:t>
      </w:r>
      <w:r w:rsidRPr="007018DF">
        <w:rPr>
          <w:rFonts w:ascii="Times New Roman" w:hAnsi="Times New Roman" w:cs="Times New Roman"/>
          <w:sz w:val="24"/>
          <w:szCs w:val="24"/>
        </w:rPr>
        <w:t>comparable to the woodworkers and masons, the equivalent of 1.5 to 2 drachmae per day.</w:t>
      </w:r>
      <w:r w:rsidR="00C8526F" w:rsidRPr="007018DF">
        <w:rPr>
          <w:rFonts w:ascii="Times New Roman" w:hAnsi="Times New Roman" w:cs="Times New Roman"/>
          <w:sz w:val="24"/>
          <w:szCs w:val="24"/>
          <w:vertAlign w:val="superscript"/>
        </w:rPr>
        <w:endnoteReference w:id="13"/>
      </w:r>
      <w:r w:rsidR="00C8526F" w:rsidRPr="007018DF">
        <w:rPr>
          <w:rFonts w:ascii="Times New Roman" w:hAnsi="Times New Roman" w:cs="Times New Roman"/>
          <w:sz w:val="24"/>
          <w:szCs w:val="24"/>
        </w:rPr>
        <w:t xml:space="preserve"> Simplifying the numbers in this way leads</w:t>
      </w:r>
      <w:r w:rsidRPr="007018DF">
        <w:rPr>
          <w:rFonts w:ascii="Times New Roman" w:hAnsi="Times New Roman" w:cs="Times New Roman"/>
          <w:sz w:val="24"/>
          <w:szCs w:val="24"/>
        </w:rPr>
        <w:t xml:space="preserve"> to the conclusion that workmen were similarly compensated regardless of their technical proficiency. The second point of concern is that the changing terms of payment—that is, wages payable on completion of individual frieze figures versus a contract or daily wage—suggest a day-to-day arrangement that was economically efficient for the project foremen but insecure for the sculptors</w:t>
      </w:r>
      <w:r w:rsidR="00C8526F" w:rsidRPr="007018DF">
        <w:rPr>
          <w:rFonts w:ascii="Times New Roman" w:hAnsi="Times New Roman" w:cs="Times New Roman"/>
          <w:sz w:val="24"/>
          <w:szCs w:val="24"/>
        </w:rPr>
        <w:t xml:space="preserve">. Here is where the modern study of migration dynamics can be most </w:t>
      </w:r>
      <w:r w:rsidR="004F631D" w:rsidRPr="007018DF">
        <w:rPr>
          <w:rFonts w:ascii="Times New Roman" w:hAnsi="Times New Roman" w:cs="Times New Roman"/>
          <w:sz w:val="24"/>
          <w:szCs w:val="24"/>
        </w:rPr>
        <w:t xml:space="preserve">effectively </w:t>
      </w:r>
      <w:r w:rsidR="00C8526F" w:rsidRPr="007018DF">
        <w:rPr>
          <w:rFonts w:ascii="Times New Roman" w:hAnsi="Times New Roman" w:cs="Times New Roman"/>
          <w:sz w:val="24"/>
          <w:szCs w:val="24"/>
        </w:rPr>
        <w:t>applied</w:t>
      </w:r>
      <w:r w:rsidRPr="007018DF">
        <w:rPr>
          <w:rFonts w:ascii="Times New Roman" w:hAnsi="Times New Roman" w:cs="Times New Roman"/>
          <w:sz w:val="24"/>
          <w:szCs w:val="24"/>
        </w:rPr>
        <w:t>, helping us understand how similar practices affected opportunity and motivated individuals’ mobility.</w:t>
      </w:r>
      <w:r w:rsidRPr="007018DF">
        <w:rPr>
          <w:rFonts w:ascii="Times New Roman" w:hAnsi="Times New Roman" w:cs="Times New Roman"/>
          <w:sz w:val="24"/>
          <w:szCs w:val="24"/>
        </w:rPr>
        <w:br/>
        <w:t>The movement of people for political, social, economic, and other reasons is clearly visible in the historical records of antiquity. Changing circumstances often motivated individuals to relocate to more stable and profitable environs.</w:t>
      </w:r>
      <w:r w:rsidR="00C8526F" w:rsidRPr="007018DF">
        <w:rPr>
          <w:rFonts w:ascii="Times New Roman" w:hAnsi="Times New Roman" w:cs="Times New Roman"/>
          <w:sz w:val="24"/>
          <w:szCs w:val="24"/>
          <w:vertAlign w:val="superscript"/>
        </w:rPr>
        <w:endnoteReference w:id="14"/>
      </w:r>
      <w:r w:rsidR="00C8526F" w:rsidRPr="007018DF">
        <w:rPr>
          <w:rFonts w:ascii="Times New Roman" w:hAnsi="Times New Roman" w:cs="Times New Roman"/>
          <w:sz w:val="24"/>
          <w:szCs w:val="24"/>
        </w:rPr>
        <w:t xml:space="preserve"> For those with financial motive</w:t>
      </w:r>
      <w:r w:rsidR="004F631D" w:rsidRPr="007018DF">
        <w:rPr>
          <w:rFonts w:ascii="Times New Roman" w:hAnsi="Times New Roman" w:cs="Times New Roman"/>
          <w:sz w:val="24"/>
          <w:szCs w:val="24"/>
        </w:rPr>
        <w:t>s, the primary governing factor</w:t>
      </w:r>
      <w:r w:rsidRPr="007018DF">
        <w:rPr>
          <w:rFonts w:ascii="Times New Roman" w:hAnsi="Times New Roman" w:cs="Times New Roman"/>
          <w:sz w:val="24"/>
          <w:szCs w:val="24"/>
        </w:rPr>
        <w:t xml:space="preserve"> remains improved opportunity. Scholars of the past decades have sought to elucidate and quantify the </w:t>
      </w:r>
      <w:proofErr w:type="spellStart"/>
      <w:r w:rsidRPr="007018DF">
        <w:rPr>
          <w:rFonts w:ascii="Times New Roman" w:hAnsi="Times New Roman" w:cs="Times New Roman"/>
          <w:sz w:val="24"/>
          <w:szCs w:val="24"/>
        </w:rPr>
        <w:t>extramonetary</w:t>
      </w:r>
      <w:proofErr w:type="spellEnd"/>
      <w:r w:rsidRPr="007018DF">
        <w:rPr>
          <w:rFonts w:ascii="Times New Roman" w:hAnsi="Times New Roman" w:cs="Times New Roman"/>
          <w:sz w:val="24"/>
          <w:szCs w:val="24"/>
        </w:rPr>
        <w:t xml:space="preserve"> motives that act upon those seeking permanent working situations, as well as those favoring a transient experience. In his 1984 article “The Logic of Opportunity and Mobility,” John Skvoretz seeks to refine the working model around which social scientists had constructed the study of upward movement within contemporary structured labor environments.</w:t>
      </w:r>
      <w:r w:rsidR="00C8526F" w:rsidRPr="007018DF">
        <w:rPr>
          <w:rFonts w:ascii="Times New Roman" w:hAnsi="Times New Roman" w:cs="Times New Roman"/>
          <w:sz w:val="24"/>
          <w:szCs w:val="24"/>
          <w:vertAlign w:val="superscript"/>
        </w:rPr>
        <w:endnoteReference w:id="15"/>
      </w:r>
      <w:r w:rsidR="00C8526F" w:rsidRPr="007018DF">
        <w:rPr>
          <w:rFonts w:ascii="Times New Roman" w:hAnsi="Times New Roman" w:cs="Times New Roman"/>
          <w:sz w:val="24"/>
          <w:szCs w:val="24"/>
        </w:rPr>
        <w:t xml:space="preserve"> Previous stud</w:t>
      </w:r>
      <w:r w:rsidR="00D115BD" w:rsidRPr="007018DF">
        <w:rPr>
          <w:rFonts w:ascii="Times New Roman" w:hAnsi="Times New Roman" w:cs="Times New Roman"/>
          <w:sz w:val="24"/>
          <w:szCs w:val="24"/>
        </w:rPr>
        <w:t>ies</w:t>
      </w:r>
      <w:r w:rsidRPr="007018DF">
        <w:rPr>
          <w:rFonts w:ascii="Times New Roman" w:hAnsi="Times New Roman" w:cs="Times New Roman"/>
          <w:sz w:val="24"/>
          <w:szCs w:val="24"/>
        </w:rPr>
        <w:t xml:space="preserve"> had been limited to considerations of position availability and numbers of applicants. Skvoretz suggests that additional facets play a significant role in calculating an individual’s potential for movement, principally (1) timing (as a function of periods of high demand versus low demand), (2) skills possessed by the individual, and (3) the availability of positions in a given environment.</w:t>
      </w:r>
      <w:r w:rsidR="00C8526F" w:rsidRPr="007018DF">
        <w:rPr>
          <w:rFonts w:ascii="Times New Roman" w:hAnsi="Times New Roman" w:cs="Times New Roman"/>
          <w:sz w:val="24"/>
          <w:szCs w:val="24"/>
          <w:vertAlign w:val="superscript"/>
        </w:rPr>
        <w:endnoteReference w:id="16"/>
      </w:r>
      <w:r w:rsidR="00C8526F" w:rsidRPr="007018DF">
        <w:rPr>
          <w:rFonts w:ascii="Times New Roman" w:hAnsi="Times New Roman" w:cs="Times New Roman"/>
          <w:sz w:val="24"/>
          <w:szCs w:val="24"/>
        </w:rPr>
        <w:t xml:space="preserve"> More recently, scholars have expanded considerations to include dim</w:t>
      </w:r>
      <w:r w:rsidR="004F631D" w:rsidRPr="007018DF">
        <w:rPr>
          <w:rFonts w:ascii="Times New Roman" w:hAnsi="Times New Roman" w:cs="Times New Roman"/>
          <w:sz w:val="24"/>
          <w:szCs w:val="24"/>
        </w:rPr>
        <w:t>ensions such as gender and race</w:t>
      </w:r>
      <w:r w:rsidR="00C8526F" w:rsidRPr="007018DF">
        <w:rPr>
          <w:rFonts w:ascii="Times New Roman" w:hAnsi="Times New Roman" w:cs="Times New Roman"/>
          <w:sz w:val="24"/>
          <w:szCs w:val="24"/>
        </w:rPr>
        <w:t>.</w:t>
      </w:r>
      <w:r w:rsidR="00C8526F" w:rsidRPr="007018DF">
        <w:rPr>
          <w:rFonts w:ascii="Times New Roman" w:hAnsi="Times New Roman" w:cs="Times New Roman"/>
          <w:sz w:val="24"/>
          <w:szCs w:val="24"/>
          <w:vertAlign w:val="superscript"/>
        </w:rPr>
        <w:endnoteReference w:id="17"/>
      </w:r>
      <w:r w:rsidR="00C8526F" w:rsidRPr="007018DF">
        <w:rPr>
          <w:rFonts w:ascii="Times New Roman" w:hAnsi="Times New Roman" w:cs="Times New Roman"/>
          <w:sz w:val="24"/>
          <w:szCs w:val="24"/>
        </w:rPr>
        <w:t xml:space="preserve"> The original tripartite conception of the governing factors must </w:t>
      </w:r>
      <w:r w:rsidRPr="007018DF">
        <w:rPr>
          <w:rFonts w:ascii="Times New Roman" w:hAnsi="Times New Roman" w:cs="Times New Roman"/>
          <w:sz w:val="24"/>
          <w:szCs w:val="24"/>
        </w:rPr>
        <w:t xml:space="preserve">thus be reconsidered as a matrix of dimensions, each of which exerts a degree of influence upon the modern or ancient laborer’s ability to pursue new opportunities. It is difficult to apply </w:t>
      </w:r>
      <w:proofErr w:type="spellStart"/>
      <w:r w:rsidRPr="007018DF">
        <w:rPr>
          <w:rFonts w:ascii="Times New Roman" w:hAnsi="Times New Roman" w:cs="Times New Roman"/>
          <w:sz w:val="24"/>
          <w:szCs w:val="24"/>
        </w:rPr>
        <w:t>Skvoretz’s</w:t>
      </w:r>
      <w:proofErr w:type="spellEnd"/>
      <w:r w:rsidRPr="007018DF">
        <w:rPr>
          <w:rFonts w:ascii="Times New Roman" w:hAnsi="Times New Roman" w:cs="Times New Roman"/>
          <w:sz w:val="24"/>
          <w:szCs w:val="24"/>
        </w:rPr>
        <w:t xml:space="preserve"> statistical models to an ancient context; however, incorporating dimensions of identity including citizenship, ethnicity, and civic status into a sculptor’s </w:t>
      </w:r>
      <w:r w:rsidRPr="007018DF">
        <w:rPr>
          <w:rFonts w:ascii="Times New Roman" w:hAnsi="Times New Roman" w:cs="Times New Roman"/>
          <w:i/>
          <w:sz w:val="24"/>
          <w:szCs w:val="24"/>
        </w:rPr>
        <w:t>opportunity exposure</w:t>
      </w:r>
      <w:r w:rsidRPr="007018DF">
        <w:rPr>
          <w:rFonts w:ascii="Times New Roman" w:hAnsi="Times New Roman" w:cs="Times New Roman"/>
          <w:sz w:val="24"/>
          <w:szCs w:val="24"/>
        </w:rPr>
        <w:t xml:space="preserve"> allows for a more complex understanding of forces acting upon </w:t>
      </w:r>
      <w:r w:rsidRPr="007018DF">
        <w:rPr>
          <w:rFonts w:ascii="Times New Roman" w:hAnsi="Times New Roman" w:cs="Times New Roman"/>
          <w:i/>
          <w:sz w:val="24"/>
          <w:szCs w:val="24"/>
        </w:rPr>
        <w:t>un-patroned</w:t>
      </w:r>
      <w:r w:rsidRPr="007018DF">
        <w:rPr>
          <w:rFonts w:ascii="Times New Roman" w:hAnsi="Times New Roman" w:cs="Times New Roman"/>
          <w:sz w:val="24"/>
          <w:szCs w:val="24"/>
        </w:rPr>
        <w:t xml:space="preserve"> practitioners of the sculptural trade.</w:t>
      </w:r>
    </w:p>
    <w:p w:rsidR="00957064" w:rsidRPr="007018DF" w:rsidRDefault="00981F54" w:rsidP="00A671FE">
      <w:pPr>
        <w:spacing w:line="360" w:lineRule="auto"/>
        <w:rPr>
          <w:rFonts w:ascii="Times New Roman" w:hAnsi="Times New Roman" w:cs="Times New Roman"/>
          <w:b/>
          <w:sz w:val="24"/>
          <w:szCs w:val="24"/>
        </w:rPr>
      </w:pPr>
      <w:r w:rsidRPr="007018DF">
        <w:rPr>
          <w:rFonts w:ascii="Times New Roman" w:hAnsi="Times New Roman" w:cs="Times New Roman"/>
          <w:sz w:val="24"/>
          <w:szCs w:val="24"/>
        </w:rPr>
        <w:lastRenderedPageBreak/>
        <w:t xml:space="preserve">The machinations of the Athenian bureaucracy would have placed added financial hardship on the </w:t>
      </w:r>
      <w:r w:rsidRPr="007018DF">
        <w:rPr>
          <w:rFonts w:ascii="Times New Roman" w:hAnsi="Times New Roman" w:cs="Times New Roman"/>
          <w:i/>
          <w:sz w:val="24"/>
          <w:szCs w:val="24"/>
        </w:rPr>
        <w:t>metic</w:t>
      </w:r>
      <w:r w:rsidRPr="007018DF">
        <w:rPr>
          <w:rFonts w:ascii="Times New Roman" w:hAnsi="Times New Roman" w:cs="Times New Roman"/>
          <w:sz w:val="24"/>
          <w:szCs w:val="24"/>
        </w:rPr>
        <w:t xml:space="preserve"> craftsmen residing in the city: foreign merchants and craftspeople were required to pay a special market tax in order to sell their wares on the Agora.</w:t>
      </w:r>
      <w:r w:rsidR="00C8526F" w:rsidRPr="007018DF">
        <w:rPr>
          <w:rFonts w:ascii="Times New Roman" w:hAnsi="Times New Roman" w:cs="Times New Roman"/>
          <w:sz w:val="24"/>
          <w:szCs w:val="24"/>
          <w:vertAlign w:val="superscript"/>
        </w:rPr>
        <w:endnoteReference w:id="18"/>
      </w:r>
      <w:r w:rsidR="00C341CB" w:rsidRPr="007018DF">
        <w:rPr>
          <w:rFonts w:ascii="Times New Roman" w:hAnsi="Times New Roman" w:cs="Times New Roman"/>
          <w:sz w:val="24"/>
          <w:szCs w:val="24"/>
        </w:rPr>
        <w:t xml:space="preserve"> </w:t>
      </w:r>
      <w:r w:rsidR="00C8526F" w:rsidRPr="007018DF">
        <w:rPr>
          <w:rFonts w:ascii="Times New Roman" w:hAnsi="Times New Roman" w:cs="Times New Roman"/>
          <w:sz w:val="24"/>
          <w:szCs w:val="24"/>
        </w:rPr>
        <w:t xml:space="preserve">While this would not have immediately affected the Erechtheion workmen, their counterparts working in terracotta and with small-scale bronzes would have felt this pressure. Those </w:t>
      </w:r>
      <w:r w:rsidRPr="007018DF">
        <w:rPr>
          <w:rFonts w:ascii="Times New Roman" w:hAnsi="Times New Roman" w:cs="Times New Roman"/>
          <w:i/>
          <w:sz w:val="24"/>
          <w:szCs w:val="24"/>
        </w:rPr>
        <w:t>metics</w:t>
      </w:r>
      <w:r w:rsidRPr="007018DF">
        <w:rPr>
          <w:rFonts w:ascii="Times New Roman" w:hAnsi="Times New Roman" w:cs="Times New Roman"/>
          <w:sz w:val="24"/>
          <w:szCs w:val="24"/>
        </w:rPr>
        <w:t xml:space="preserve"> who chose to reside in the city for any length of time were also required to pay a yearly poll tax, regardless of their employment status. In his study of mobility in ancient Greece, Robert Garland points to the writings of Xenophon to show that such taxes brought in a considerable sum to the Athenian treasury. These financial pressures contribute to our understanding of the complex matrix of legal and financial forces acting on non-citizen craftsmen. Despite these specific pressures, it appears that workmen were attracted to Athens as a site of employment, even if only on a temporary basis.</w:t>
      </w:r>
      <w:r w:rsidRPr="007018DF">
        <w:rPr>
          <w:rFonts w:ascii="Times New Roman" w:hAnsi="Times New Roman" w:cs="Times New Roman"/>
          <w:sz w:val="24"/>
          <w:szCs w:val="24"/>
        </w:rPr>
        <w:br/>
        <w:t xml:space="preserve">The prevalence of </w:t>
      </w:r>
      <w:r w:rsidRPr="007018DF">
        <w:rPr>
          <w:rFonts w:ascii="Times New Roman" w:hAnsi="Times New Roman" w:cs="Times New Roman"/>
          <w:i/>
          <w:sz w:val="24"/>
          <w:szCs w:val="24"/>
        </w:rPr>
        <w:t>metics</w:t>
      </w:r>
      <w:r w:rsidRPr="007018DF">
        <w:rPr>
          <w:rFonts w:ascii="Times New Roman" w:hAnsi="Times New Roman" w:cs="Times New Roman"/>
          <w:sz w:val="24"/>
          <w:szCs w:val="24"/>
        </w:rPr>
        <w:t xml:space="preserve"> in artisanal trades is mirrored in the now-familiar records of Erechtheion’s construction.</w:t>
      </w:r>
      <w:r w:rsidR="00C8526F" w:rsidRPr="007018DF">
        <w:rPr>
          <w:rFonts w:ascii="Times New Roman" w:hAnsi="Times New Roman" w:cs="Times New Roman"/>
          <w:sz w:val="24"/>
          <w:szCs w:val="24"/>
          <w:vertAlign w:val="superscript"/>
        </w:rPr>
        <w:endnoteReference w:id="19"/>
      </w:r>
      <w:r w:rsidR="00C8526F" w:rsidRPr="007018DF">
        <w:rPr>
          <w:rFonts w:ascii="Times New Roman" w:hAnsi="Times New Roman" w:cs="Times New Roman"/>
          <w:sz w:val="24"/>
          <w:szCs w:val="24"/>
        </w:rPr>
        <w:t xml:space="preserve"> Of the total workforce employed during </w:t>
      </w:r>
      <w:r w:rsidR="00A41BA5" w:rsidRPr="007018DF">
        <w:rPr>
          <w:rFonts w:ascii="Times New Roman" w:hAnsi="Times New Roman" w:cs="Times New Roman"/>
          <w:sz w:val="24"/>
          <w:szCs w:val="24"/>
        </w:rPr>
        <w:t>this</w:t>
      </w:r>
      <w:r w:rsidR="00C8526F" w:rsidRPr="007018DF">
        <w:rPr>
          <w:rFonts w:ascii="Times New Roman" w:hAnsi="Times New Roman" w:cs="Times New Roman"/>
          <w:sz w:val="24"/>
          <w:szCs w:val="24"/>
        </w:rPr>
        <w:t xml:space="preserve"> phase of construction, </w:t>
      </w:r>
      <w:r w:rsidR="00C8526F" w:rsidRPr="007018DF">
        <w:rPr>
          <w:rFonts w:ascii="Times New Roman" w:hAnsi="Times New Roman" w:cs="Times New Roman"/>
          <w:i/>
          <w:sz w:val="24"/>
          <w:szCs w:val="24"/>
        </w:rPr>
        <w:t>metics</w:t>
      </w:r>
      <w:r w:rsidRPr="007018DF">
        <w:rPr>
          <w:rFonts w:ascii="Times New Roman" w:hAnsi="Times New Roman" w:cs="Times New Roman"/>
          <w:sz w:val="24"/>
          <w:szCs w:val="24"/>
        </w:rPr>
        <w:t xml:space="preserve"> predominate: 42 </w:t>
      </w:r>
      <w:proofErr w:type="spellStart"/>
      <w:r w:rsidRPr="007018DF">
        <w:rPr>
          <w:rFonts w:ascii="Times New Roman" w:hAnsi="Times New Roman" w:cs="Times New Roman"/>
          <w:i/>
          <w:sz w:val="24"/>
          <w:szCs w:val="24"/>
        </w:rPr>
        <w:t>metics</w:t>
      </w:r>
      <w:proofErr w:type="spellEnd"/>
      <w:r w:rsidR="00957064" w:rsidRPr="007018DF">
        <w:rPr>
          <w:rFonts w:ascii="Times New Roman" w:hAnsi="Times New Roman" w:cs="Times New Roman"/>
          <w:sz w:val="24"/>
          <w:szCs w:val="24"/>
        </w:rPr>
        <w:t xml:space="preserve"> </w:t>
      </w:r>
      <w:r w:rsidR="00C8526F" w:rsidRPr="007018DF">
        <w:rPr>
          <w:rFonts w:ascii="Times New Roman" w:hAnsi="Times New Roman" w:cs="Times New Roman"/>
          <w:sz w:val="24"/>
          <w:szCs w:val="24"/>
        </w:rPr>
        <w:t>versus 24 citizens and 20 slaves (</w:t>
      </w:r>
      <w:r w:rsidRPr="007018DF">
        <w:rPr>
          <w:rFonts w:ascii="Times New Roman" w:hAnsi="Times New Roman" w:cs="Times New Roman"/>
          <w:b/>
          <w:sz w:val="24"/>
          <w:szCs w:val="24"/>
        </w:rPr>
        <w:t>fig. 12.3</w:t>
      </w:r>
      <w:r w:rsidR="00C8526F" w:rsidRPr="007018DF">
        <w:rPr>
          <w:rFonts w:ascii="Times New Roman" w:hAnsi="Times New Roman" w:cs="Times New Roman"/>
          <w:sz w:val="24"/>
          <w:szCs w:val="24"/>
        </w:rPr>
        <w:t xml:space="preserve">). A useful point of comparison is the construction of another monumental building project, the sanctuary at Eleusis dating </w:t>
      </w:r>
      <w:r w:rsidR="00957064" w:rsidRPr="007018DF">
        <w:rPr>
          <w:rFonts w:ascii="Times New Roman" w:hAnsi="Times New Roman" w:cs="Times New Roman"/>
          <w:sz w:val="24"/>
          <w:szCs w:val="24"/>
        </w:rPr>
        <w:t xml:space="preserve">between </w:t>
      </w:r>
      <w:r w:rsidRPr="007018DF">
        <w:rPr>
          <w:rFonts w:ascii="Times New Roman" w:hAnsi="Times New Roman" w:cs="Times New Roman"/>
          <w:sz w:val="24"/>
          <w:szCs w:val="24"/>
        </w:rPr>
        <w:t>329/8 and 319/8 BC.</w:t>
      </w:r>
      <w:r w:rsidR="00C8526F" w:rsidRPr="007018DF">
        <w:rPr>
          <w:rFonts w:ascii="Times New Roman" w:hAnsi="Times New Roman" w:cs="Times New Roman"/>
          <w:sz w:val="24"/>
          <w:szCs w:val="24"/>
          <w:vertAlign w:val="superscript"/>
        </w:rPr>
        <w:endnoteReference w:id="20"/>
      </w:r>
      <w:r w:rsidR="00C8526F" w:rsidRPr="007018DF">
        <w:rPr>
          <w:rFonts w:ascii="Times New Roman" w:hAnsi="Times New Roman" w:cs="Times New Roman"/>
          <w:sz w:val="24"/>
          <w:szCs w:val="24"/>
        </w:rPr>
        <w:t xml:space="preserve"> According to documentary inscriptions, </w:t>
      </w:r>
      <w:r w:rsidR="00C8526F" w:rsidRPr="007018DF">
        <w:rPr>
          <w:rFonts w:ascii="Times New Roman" w:hAnsi="Times New Roman" w:cs="Times New Roman"/>
          <w:i/>
          <w:sz w:val="24"/>
          <w:szCs w:val="24"/>
        </w:rPr>
        <w:t>metic</w:t>
      </w:r>
      <w:r w:rsidR="00C8526F" w:rsidRPr="007018DF">
        <w:rPr>
          <w:rFonts w:ascii="Times New Roman" w:hAnsi="Times New Roman" w:cs="Times New Roman"/>
          <w:sz w:val="24"/>
          <w:szCs w:val="24"/>
        </w:rPr>
        <w:t xml:space="preserve"> workmen once again outnumber citizens</w:t>
      </w:r>
      <w:r w:rsidRPr="007018DF">
        <w:rPr>
          <w:rFonts w:ascii="Times New Roman" w:hAnsi="Times New Roman" w:cs="Times New Roman"/>
          <w:sz w:val="24"/>
          <w:szCs w:val="24"/>
        </w:rPr>
        <w:t>, but here only by a small margin.</w:t>
      </w:r>
      <w:r w:rsidR="00C8526F" w:rsidRPr="007018DF">
        <w:rPr>
          <w:rFonts w:ascii="Times New Roman" w:hAnsi="Times New Roman" w:cs="Times New Roman"/>
          <w:sz w:val="24"/>
          <w:szCs w:val="24"/>
          <w:vertAlign w:val="superscript"/>
        </w:rPr>
        <w:endnoteReference w:id="21"/>
      </w:r>
      <w:r w:rsidR="00C8526F" w:rsidRPr="007018DF">
        <w:rPr>
          <w:rFonts w:ascii="Times New Roman" w:hAnsi="Times New Roman" w:cs="Times New Roman"/>
          <w:sz w:val="24"/>
          <w:szCs w:val="24"/>
        </w:rPr>
        <w:t xml:space="preserve"> The trend in civic status of workers on these two projects is reflected in the smaller sample of sculptors employed to carve the Erechtheion</w:t>
      </w:r>
      <w:r w:rsidR="00314FCB" w:rsidRPr="007018DF">
        <w:rPr>
          <w:rFonts w:ascii="Times New Roman" w:hAnsi="Times New Roman" w:cs="Times New Roman"/>
          <w:sz w:val="24"/>
          <w:szCs w:val="24"/>
        </w:rPr>
        <w:t>’s frieze</w:t>
      </w:r>
      <w:r w:rsidR="00C8526F" w:rsidRPr="007018DF">
        <w:rPr>
          <w:rFonts w:ascii="Times New Roman" w:hAnsi="Times New Roman" w:cs="Times New Roman"/>
          <w:sz w:val="24"/>
          <w:szCs w:val="24"/>
        </w:rPr>
        <w:t xml:space="preserve">: </w:t>
      </w:r>
      <w:r w:rsidRPr="007018DF">
        <w:rPr>
          <w:rFonts w:ascii="Times New Roman" w:hAnsi="Times New Roman" w:cs="Times New Roman"/>
          <w:sz w:val="24"/>
          <w:szCs w:val="24"/>
        </w:rPr>
        <w:t xml:space="preserve">of 9 total, 5 were </w:t>
      </w:r>
      <w:r w:rsidRPr="007018DF">
        <w:rPr>
          <w:rFonts w:ascii="Times New Roman" w:hAnsi="Times New Roman" w:cs="Times New Roman"/>
          <w:i/>
          <w:sz w:val="24"/>
          <w:szCs w:val="24"/>
        </w:rPr>
        <w:t>metic</w:t>
      </w:r>
      <w:r w:rsidRPr="007018DF">
        <w:rPr>
          <w:rFonts w:ascii="Times New Roman" w:hAnsi="Times New Roman" w:cs="Times New Roman"/>
          <w:sz w:val="24"/>
          <w:szCs w:val="24"/>
        </w:rPr>
        <w:t xml:space="preserve">, 3 were citizens, and 1 was of unknown status. The logistical concerns of the Commission’s records provide us with information on these individuals beyond just their names. Randall suggests that the bulk of the </w:t>
      </w:r>
      <w:r w:rsidRPr="007018DF">
        <w:rPr>
          <w:rFonts w:ascii="Times New Roman" w:hAnsi="Times New Roman" w:cs="Times New Roman"/>
          <w:i/>
          <w:sz w:val="24"/>
          <w:szCs w:val="24"/>
        </w:rPr>
        <w:t xml:space="preserve">metic </w:t>
      </w:r>
      <w:r w:rsidRPr="007018DF">
        <w:rPr>
          <w:rFonts w:ascii="Times New Roman" w:hAnsi="Times New Roman" w:cs="Times New Roman"/>
          <w:sz w:val="24"/>
          <w:szCs w:val="24"/>
        </w:rPr>
        <w:t>workforce did not remain in Athens waiting for more work.</w:t>
      </w:r>
      <w:r w:rsidR="00C8526F" w:rsidRPr="007018DF">
        <w:rPr>
          <w:rFonts w:ascii="Times New Roman" w:hAnsi="Times New Roman" w:cs="Times New Roman"/>
          <w:sz w:val="24"/>
          <w:szCs w:val="24"/>
          <w:vertAlign w:val="superscript"/>
        </w:rPr>
        <w:endnoteReference w:id="22"/>
      </w:r>
      <w:r w:rsidR="00C8526F" w:rsidRPr="007018DF">
        <w:rPr>
          <w:rFonts w:ascii="Times New Roman" w:hAnsi="Times New Roman" w:cs="Times New Roman"/>
          <w:sz w:val="24"/>
          <w:szCs w:val="24"/>
        </w:rPr>
        <w:t xml:space="preserve"> While his assessment is based on the relatively small detail of stylistic comparanda from a single other architectural project, the weight </w:t>
      </w:r>
      <w:r w:rsidRPr="007018DF">
        <w:rPr>
          <w:rFonts w:ascii="Times New Roman" w:hAnsi="Times New Roman" w:cs="Times New Roman"/>
          <w:sz w:val="24"/>
          <w:szCs w:val="24"/>
        </w:rPr>
        <w:t>of the aforementioned terms of employment and tax-related concerns provide strong supporting evidence for the sculptors’ itinerant lifestyle.</w:t>
      </w:r>
      <w:r w:rsidR="00C8526F" w:rsidRPr="007018DF">
        <w:rPr>
          <w:rFonts w:ascii="Times New Roman" w:hAnsi="Times New Roman" w:cs="Times New Roman"/>
          <w:sz w:val="24"/>
          <w:szCs w:val="24"/>
          <w:vertAlign w:val="superscript"/>
        </w:rPr>
        <w:endnoteReference w:id="23"/>
      </w:r>
      <w:r w:rsidR="00C8526F" w:rsidRPr="007018DF">
        <w:rPr>
          <w:rFonts w:ascii="Times New Roman" w:hAnsi="Times New Roman" w:cs="Times New Roman"/>
          <w:sz w:val="24"/>
          <w:szCs w:val="24"/>
        </w:rPr>
        <w:t xml:space="preserve"> It appears that Pliny’s celebrity sculptors differed from their compatriots not in their ability to travel but in the reasons for their mobility</w:t>
      </w:r>
      <w:r w:rsidRPr="007018DF">
        <w:rPr>
          <w:rFonts w:ascii="Times New Roman" w:hAnsi="Times New Roman" w:cs="Times New Roman"/>
          <w:sz w:val="24"/>
          <w:szCs w:val="24"/>
        </w:rPr>
        <w:t>: commissions by wealthy patrons, rather than external financial pressures.</w:t>
      </w:r>
      <w:r w:rsidRPr="007018DF">
        <w:rPr>
          <w:rFonts w:ascii="Times New Roman" w:hAnsi="Times New Roman" w:cs="Times New Roman"/>
          <w:b/>
          <w:sz w:val="24"/>
          <w:szCs w:val="24"/>
        </w:rPr>
        <w:t xml:space="preserve"> </w:t>
      </w:r>
    </w:p>
    <w:p w:rsidR="00C8526F" w:rsidRPr="007018DF" w:rsidRDefault="00981F54" w:rsidP="00A671FE">
      <w:pPr>
        <w:spacing w:line="360" w:lineRule="auto"/>
        <w:rPr>
          <w:rFonts w:ascii="Times New Roman" w:hAnsi="Times New Roman" w:cs="Times New Roman"/>
          <w:sz w:val="24"/>
          <w:szCs w:val="24"/>
        </w:rPr>
      </w:pPr>
      <w:r w:rsidRPr="007018DF">
        <w:rPr>
          <w:rFonts w:ascii="Times New Roman" w:hAnsi="Times New Roman" w:cs="Times New Roman"/>
          <w:sz w:val="24"/>
          <w:szCs w:val="24"/>
        </w:rPr>
        <w:t xml:space="preserve">In order to more fully understand the role of financial pressures in sculptors’ mobility, the scope of their settings must be widened to include a second source of non-commission </w:t>
      </w:r>
      <w:r w:rsidRPr="007018DF">
        <w:rPr>
          <w:rFonts w:ascii="Times New Roman" w:hAnsi="Times New Roman" w:cs="Times New Roman"/>
          <w:sz w:val="24"/>
          <w:szCs w:val="24"/>
        </w:rPr>
        <w:lastRenderedPageBreak/>
        <w:t xml:space="preserve">employment: static workshop sites such as Rhodes. Here the potential for sustained employment offered new opportunities to </w:t>
      </w:r>
      <w:r w:rsidRPr="007018DF">
        <w:rPr>
          <w:rFonts w:ascii="Times New Roman" w:hAnsi="Times New Roman" w:cs="Times New Roman"/>
          <w:i/>
          <w:sz w:val="24"/>
          <w:szCs w:val="24"/>
        </w:rPr>
        <w:t>metic</w:t>
      </w:r>
      <w:r w:rsidRPr="007018DF">
        <w:rPr>
          <w:rFonts w:ascii="Times New Roman" w:hAnsi="Times New Roman" w:cs="Times New Roman"/>
          <w:sz w:val="24"/>
          <w:szCs w:val="24"/>
        </w:rPr>
        <w:t xml:space="preserve"> sculptors in stone and bronze. </w:t>
      </w:r>
    </w:p>
    <w:p w:rsidR="00C8526F" w:rsidRPr="007018DF" w:rsidRDefault="00981F54" w:rsidP="00A671FE">
      <w:pPr>
        <w:spacing w:line="360" w:lineRule="auto"/>
        <w:rPr>
          <w:rFonts w:ascii="Times New Roman" w:hAnsi="Times New Roman" w:cs="Times New Roman"/>
          <w:sz w:val="24"/>
          <w:szCs w:val="24"/>
        </w:rPr>
      </w:pPr>
      <w:r w:rsidRPr="007018DF">
        <w:rPr>
          <w:rFonts w:ascii="Times New Roman" w:hAnsi="Times New Roman" w:cs="Times New Roman"/>
          <w:sz w:val="24"/>
          <w:szCs w:val="24"/>
        </w:rPr>
        <w:t>In stationary sculptural workshops, the financial concerns were generally similar to those in architectural projects, that is, the costs of materials and labor—of technicians, carvers, and/or painters. In the case of bronze sculpting, these concerns were evident in several measures for cutting material costs, such as hollow casting for large-scale pieces.</w:t>
      </w:r>
      <w:r w:rsidR="00C8526F" w:rsidRPr="007018DF">
        <w:rPr>
          <w:rFonts w:ascii="Times New Roman" w:hAnsi="Times New Roman" w:cs="Times New Roman"/>
          <w:sz w:val="24"/>
          <w:szCs w:val="24"/>
          <w:vertAlign w:val="superscript"/>
        </w:rPr>
        <w:endnoteReference w:id="24"/>
      </w:r>
      <w:r w:rsidR="00BA00C7" w:rsidRPr="007018DF">
        <w:rPr>
          <w:rFonts w:ascii="Times New Roman" w:hAnsi="Times New Roman" w:cs="Times New Roman"/>
          <w:sz w:val="24"/>
          <w:szCs w:val="24"/>
        </w:rPr>
        <w:t xml:space="preserve"> This and other innovations</w:t>
      </w:r>
      <w:r w:rsidR="00C8526F" w:rsidRPr="007018DF">
        <w:rPr>
          <w:rFonts w:ascii="Times New Roman" w:hAnsi="Times New Roman" w:cs="Times New Roman"/>
          <w:sz w:val="24"/>
          <w:szCs w:val="24"/>
        </w:rPr>
        <w:t xml:space="preserve"> demonstrate a clear financial</w:t>
      </w:r>
      <w:r w:rsidRPr="007018DF">
        <w:rPr>
          <w:rFonts w:ascii="Times New Roman" w:hAnsi="Times New Roman" w:cs="Times New Roman"/>
          <w:b/>
          <w:sz w:val="24"/>
          <w:szCs w:val="24"/>
        </w:rPr>
        <w:t xml:space="preserve"> </w:t>
      </w:r>
      <w:r w:rsidRPr="007018DF">
        <w:rPr>
          <w:rFonts w:ascii="Times New Roman" w:hAnsi="Times New Roman" w:cs="Times New Roman"/>
          <w:sz w:val="24"/>
          <w:szCs w:val="24"/>
        </w:rPr>
        <w:t>concern in the function of the bronze workshop at sites such as those on Rhodes, documented by Chris Kantzia and Gerhard Zimmer.</w:t>
      </w:r>
      <w:r w:rsidR="00C8526F" w:rsidRPr="007018DF">
        <w:rPr>
          <w:rFonts w:ascii="Times New Roman" w:hAnsi="Times New Roman" w:cs="Times New Roman"/>
          <w:sz w:val="24"/>
          <w:szCs w:val="24"/>
          <w:vertAlign w:val="superscript"/>
        </w:rPr>
        <w:endnoteReference w:id="25"/>
      </w:r>
      <w:r w:rsidR="00C8526F" w:rsidRPr="007018DF">
        <w:rPr>
          <w:rFonts w:ascii="Times New Roman" w:hAnsi="Times New Roman" w:cs="Times New Roman"/>
          <w:sz w:val="24"/>
          <w:szCs w:val="24"/>
        </w:rPr>
        <w:t xml:space="preserve"> While literary accounts attest to a high volume of production comparable to major civic centers, Rhodes is unique in that statue bases belonging to locally</w:t>
      </w:r>
      <w:r w:rsidRPr="007018DF">
        <w:rPr>
          <w:rFonts w:ascii="Times New Roman" w:hAnsi="Times New Roman" w:cs="Times New Roman"/>
          <w:sz w:val="24"/>
          <w:szCs w:val="24"/>
        </w:rPr>
        <w:t xml:space="preserve"> commissioned pieces provide</w:t>
      </w:r>
      <w:r w:rsidRPr="007018DF">
        <w:rPr>
          <w:rFonts w:ascii="Times New Roman" w:hAnsi="Times New Roman" w:cs="Times New Roman"/>
          <w:b/>
          <w:sz w:val="24"/>
          <w:szCs w:val="24"/>
        </w:rPr>
        <w:t xml:space="preserve"> </w:t>
      </w:r>
      <w:r w:rsidRPr="007018DF">
        <w:rPr>
          <w:rFonts w:ascii="Times New Roman" w:hAnsi="Times New Roman" w:cs="Times New Roman"/>
          <w:sz w:val="24"/>
          <w:szCs w:val="24"/>
        </w:rPr>
        <w:t xml:space="preserve">a detailed epigraphic record of production by specific named sculptors. The density of signatory inscriptions has allowed scholars such as Virginia Goodlett to reconstruct several Rhodian family workshops and to calculate the number of local and </w:t>
      </w:r>
      <w:r w:rsidRPr="007018DF">
        <w:rPr>
          <w:rFonts w:ascii="Times New Roman" w:hAnsi="Times New Roman" w:cs="Times New Roman"/>
          <w:i/>
          <w:sz w:val="24"/>
          <w:szCs w:val="24"/>
        </w:rPr>
        <w:t>metic</w:t>
      </w:r>
      <w:r w:rsidRPr="007018DF">
        <w:rPr>
          <w:rFonts w:ascii="Times New Roman" w:hAnsi="Times New Roman" w:cs="Times New Roman"/>
          <w:sz w:val="24"/>
          <w:szCs w:val="24"/>
        </w:rPr>
        <w:t xml:space="preserve"> sculptors, which appears to be considerable.</w:t>
      </w:r>
      <w:r w:rsidRPr="007018DF">
        <w:rPr>
          <w:rFonts w:ascii="Times New Roman" w:hAnsi="Times New Roman" w:cs="Times New Roman"/>
          <w:sz w:val="24"/>
          <w:szCs w:val="24"/>
          <w:vertAlign w:val="superscript"/>
        </w:rPr>
        <w:t xml:space="preserve"> </w:t>
      </w:r>
      <w:r w:rsidRPr="007018DF">
        <w:rPr>
          <w:rFonts w:ascii="Times New Roman" w:hAnsi="Times New Roman" w:cs="Times New Roman"/>
          <w:sz w:val="24"/>
          <w:szCs w:val="24"/>
        </w:rPr>
        <w:br/>
        <w:t>According to Goodlett’s calculations, the height of Rhodes’s sculptural production correlates to a numerical superiority of statue bases bearing foreign sculptors’ signatures (</w:t>
      </w:r>
      <w:r w:rsidRPr="007018DF">
        <w:rPr>
          <w:rFonts w:ascii="Times New Roman" w:hAnsi="Times New Roman" w:cs="Times New Roman"/>
          <w:b/>
          <w:sz w:val="24"/>
          <w:szCs w:val="24"/>
        </w:rPr>
        <w:t>fig. 12.4</w:t>
      </w:r>
      <w:r w:rsidR="00C8526F" w:rsidRPr="007018DF">
        <w:rPr>
          <w:rFonts w:ascii="Times New Roman" w:hAnsi="Times New Roman" w:cs="Times New Roman"/>
          <w:sz w:val="24"/>
          <w:szCs w:val="24"/>
        </w:rPr>
        <w:t>). The profusion of</w:t>
      </w:r>
      <w:r w:rsidRPr="007018DF">
        <w:rPr>
          <w:rFonts w:ascii="Times New Roman" w:hAnsi="Times New Roman" w:cs="Times New Roman"/>
          <w:sz w:val="24"/>
          <w:szCs w:val="24"/>
        </w:rPr>
        <w:t xml:space="preserve"> foreign craftsmen suggests an analogous environment of positional opportunity akin to the aforementioned architectural projects. Bronze sculptors were aware of these opportunities in Rhodes and sought to capitalize on the demand.</w:t>
      </w:r>
      <w:r w:rsidR="00C8526F" w:rsidRPr="007018DF">
        <w:rPr>
          <w:rFonts w:ascii="Times New Roman" w:hAnsi="Times New Roman" w:cs="Times New Roman"/>
          <w:sz w:val="24"/>
          <w:szCs w:val="24"/>
          <w:vertAlign w:val="superscript"/>
        </w:rPr>
        <w:endnoteReference w:id="26"/>
      </w:r>
      <w:r w:rsidR="00C8526F" w:rsidRPr="007018DF">
        <w:rPr>
          <w:rFonts w:ascii="Times New Roman" w:hAnsi="Times New Roman" w:cs="Times New Roman"/>
          <w:sz w:val="24"/>
          <w:szCs w:val="24"/>
        </w:rPr>
        <w:t xml:space="preserve"> The largest proportion of individuals came from Athens, and later Asia Minor. </w:t>
      </w:r>
      <w:r w:rsidR="00595242" w:rsidRPr="007018DF">
        <w:rPr>
          <w:rFonts w:ascii="Times New Roman" w:hAnsi="Times New Roman" w:cs="Times New Roman"/>
          <w:sz w:val="24"/>
          <w:szCs w:val="24"/>
        </w:rPr>
        <w:t xml:space="preserve">In </w:t>
      </w:r>
      <w:r w:rsidR="00C8526F" w:rsidRPr="007018DF">
        <w:rPr>
          <w:rFonts w:ascii="Times New Roman" w:hAnsi="Times New Roman" w:cs="Times New Roman"/>
          <w:sz w:val="24"/>
          <w:szCs w:val="24"/>
        </w:rPr>
        <w:t>the year</w:t>
      </w:r>
      <w:r w:rsidR="00595242" w:rsidRPr="007018DF">
        <w:rPr>
          <w:rFonts w:ascii="Times New Roman" w:hAnsi="Times New Roman" w:cs="Times New Roman"/>
          <w:sz w:val="24"/>
          <w:szCs w:val="24"/>
        </w:rPr>
        <w:t>s</w:t>
      </w:r>
      <w:r w:rsidRPr="007018DF">
        <w:rPr>
          <w:rFonts w:ascii="Times New Roman" w:hAnsi="Times New Roman" w:cs="Times New Roman"/>
          <w:sz w:val="24"/>
          <w:szCs w:val="24"/>
        </w:rPr>
        <w:t xml:space="preserve"> 250–200 BC, approximately 60 statues were produced and the same number in the following fifty years (</w:t>
      </w:r>
      <w:r w:rsidRPr="007018DF">
        <w:rPr>
          <w:rFonts w:ascii="Times New Roman" w:hAnsi="Times New Roman" w:cs="Times New Roman"/>
          <w:b/>
          <w:sz w:val="24"/>
          <w:szCs w:val="24"/>
        </w:rPr>
        <w:t>fig. 12.5</w:t>
      </w:r>
      <w:r w:rsidR="00C8526F" w:rsidRPr="007018DF">
        <w:rPr>
          <w:rFonts w:ascii="Times New Roman" w:hAnsi="Times New Roman" w:cs="Times New Roman"/>
          <w:sz w:val="24"/>
          <w:szCs w:val="24"/>
        </w:rPr>
        <w:t>).</w:t>
      </w:r>
      <w:r w:rsidR="00C8526F" w:rsidRPr="007018DF">
        <w:rPr>
          <w:rFonts w:ascii="Times New Roman" w:hAnsi="Times New Roman" w:cs="Times New Roman"/>
          <w:sz w:val="24"/>
          <w:szCs w:val="24"/>
          <w:vertAlign w:val="superscript"/>
        </w:rPr>
        <w:endnoteReference w:id="27"/>
      </w:r>
      <w:r w:rsidR="00D457A5" w:rsidRPr="007018DF">
        <w:rPr>
          <w:rFonts w:ascii="Times New Roman" w:hAnsi="Times New Roman" w:cs="Times New Roman"/>
          <w:sz w:val="24"/>
          <w:szCs w:val="24"/>
        </w:rPr>
        <w:t xml:space="preserve"> The same periods reveal</w:t>
      </w:r>
      <w:r w:rsidR="00C8526F" w:rsidRPr="007018DF">
        <w:rPr>
          <w:rFonts w:ascii="Times New Roman" w:hAnsi="Times New Roman" w:cs="Times New Roman"/>
          <w:sz w:val="24"/>
          <w:szCs w:val="24"/>
        </w:rPr>
        <w:t xml:space="preserve"> a sample of 11 citizen versus 19 fo</w:t>
      </w:r>
      <w:r w:rsidR="00A41BA5" w:rsidRPr="007018DF">
        <w:rPr>
          <w:rFonts w:ascii="Times New Roman" w:hAnsi="Times New Roman" w:cs="Times New Roman"/>
          <w:sz w:val="24"/>
          <w:szCs w:val="24"/>
        </w:rPr>
        <w:t>reign</w:t>
      </w:r>
      <w:r w:rsidRPr="007018DF">
        <w:rPr>
          <w:rFonts w:ascii="Times New Roman" w:hAnsi="Times New Roman" w:cs="Times New Roman"/>
          <w:sz w:val="24"/>
          <w:szCs w:val="24"/>
        </w:rPr>
        <w:t xml:space="preserve"> signatures, and 12 citizen versus 16 foreign signatures, respectively.</w:t>
      </w:r>
      <w:r w:rsidR="00C8526F" w:rsidRPr="007018DF">
        <w:rPr>
          <w:rFonts w:ascii="Times New Roman" w:hAnsi="Times New Roman" w:cs="Times New Roman"/>
          <w:sz w:val="24"/>
          <w:szCs w:val="24"/>
          <w:vertAlign w:val="superscript"/>
        </w:rPr>
        <w:endnoteReference w:id="28"/>
      </w:r>
      <w:r w:rsidR="00C8526F" w:rsidRPr="007018DF">
        <w:rPr>
          <w:rFonts w:ascii="Times New Roman" w:hAnsi="Times New Roman" w:cs="Times New Roman"/>
          <w:sz w:val="24"/>
          <w:szCs w:val="24"/>
        </w:rPr>
        <w:t xml:space="preserve"> Goodlett points out that during the specific period of 250</w:t>
      </w:r>
      <w:r w:rsidR="009E7810" w:rsidRPr="007018DF">
        <w:rPr>
          <w:rFonts w:ascii="Times New Roman" w:hAnsi="Times New Roman" w:cs="Times New Roman"/>
          <w:sz w:val="24"/>
          <w:szCs w:val="24"/>
        </w:rPr>
        <w:t>–</w:t>
      </w:r>
      <w:r w:rsidR="00C8526F" w:rsidRPr="007018DF">
        <w:rPr>
          <w:rFonts w:ascii="Times New Roman" w:hAnsi="Times New Roman" w:cs="Times New Roman"/>
          <w:sz w:val="24"/>
          <w:szCs w:val="24"/>
        </w:rPr>
        <w:t>167/6 BC</w:t>
      </w:r>
      <w:r w:rsidRPr="007018DF">
        <w:rPr>
          <w:rFonts w:ascii="Times New Roman" w:hAnsi="Times New Roman" w:cs="Times New Roman"/>
          <w:sz w:val="24"/>
          <w:szCs w:val="24"/>
        </w:rPr>
        <w:t xml:space="preserve">, the </w:t>
      </w:r>
      <w:proofErr w:type="spellStart"/>
      <w:r w:rsidRPr="007018DF">
        <w:rPr>
          <w:rFonts w:ascii="Times New Roman" w:hAnsi="Times New Roman" w:cs="Times New Roman"/>
          <w:i/>
          <w:sz w:val="24"/>
          <w:szCs w:val="24"/>
        </w:rPr>
        <w:t>metic</w:t>
      </w:r>
      <w:proofErr w:type="spellEnd"/>
      <w:r w:rsidRPr="007018DF">
        <w:rPr>
          <w:rFonts w:ascii="Times New Roman" w:hAnsi="Times New Roman" w:cs="Times New Roman"/>
          <w:sz w:val="24"/>
          <w:szCs w:val="24"/>
        </w:rPr>
        <w:t xml:space="preserve"> sculptors must have been itinerant, since their signatures appear on only one piece.</w:t>
      </w:r>
      <w:r w:rsidR="00C8526F" w:rsidRPr="007018DF">
        <w:rPr>
          <w:rFonts w:ascii="Times New Roman" w:hAnsi="Times New Roman" w:cs="Times New Roman"/>
          <w:sz w:val="24"/>
          <w:szCs w:val="24"/>
          <w:vertAlign w:val="superscript"/>
        </w:rPr>
        <w:endnoteReference w:id="29"/>
      </w:r>
      <w:r w:rsidR="00C8526F" w:rsidRPr="007018DF">
        <w:rPr>
          <w:rFonts w:ascii="Times New Roman" w:hAnsi="Times New Roman" w:cs="Times New Roman"/>
          <w:sz w:val="24"/>
          <w:szCs w:val="24"/>
        </w:rPr>
        <w:t xml:space="preserve"> Once again, we are confronted with the question: what affected these individuals’ short tenure? In this case the circumstances of production </w:t>
      </w:r>
      <w:r w:rsidR="00AC6B6D" w:rsidRPr="007018DF">
        <w:rPr>
          <w:rFonts w:ascii="Times New Roman" w:hAnsi="Times New Roman" w:cs="Times New Roman"/>
          <w:sz w:val="24"/>
          <w:szCs w:val="24"/>
        </w:rPr>
        <w:t>did not generate</w:t>
      </w:r>
      <w:r w:rsidR="00C8526F" w:rsidRPr="007018DF">
        <w:rPr>
          <w:rFonts w:ascii="Times New Roman" w:hAnsi="Times New Roman" w:cs="Times New Roman"/>
          <w:sz w:val="24"/>
          <w:szCs w:val="24"/>
        </w:rPr>
        <w:t xml:space="preserve"> the type of detailed logistical documentation seen at the Erechtheion’s construction; however</w:t>
      </w:r>
      <w:r w:rsidRPr="007018DF">
        <w:rPr>
          <w:rFonts w:ascii="Times New Roman" w:hAnsi="Times New Roman" w:cs="Times New Roman"/>
          <w:sz w:val="24"/>
          <w:szCs w:val="24"/>
        </w:rPr>
        <w:t>, the assumption that sculptors on Rhodes were employed under similar circumstances (e.g. per-unit compensation) is suggested by inscriptions detailing individual commissions from the fourth–second centuries.</w:t>
      </w:r>
      <w:r w:rsidR="00C8526F" w:rsidRPr="007018DF">
        <w:rPr>
          <w:rFonts w:ascii="Times New Roman" w:hAnsi="Times New Roman" w:cs="Times New Roman"/>
          <w:sz w:val="24"/>
          <w:szCs w:val="24"/>
          <w:vertAlign w:val="superscript"/>
        </w:rPr>
        <w:endnoteReference w:id="30"/>
      </w:r>
      <w:r w:rsidR="00C8526F" w:rsidRPr="007018DF">
        <w:rPr>
          <w:rFonts w:ascii="Times New Roman" w:hAnsi="Times New Roman" w:cs="Times New Roman"/>
          <w:sz w:val="24"/>
          <w:szCs w:val="24"/>
        </w:rPr>
        <w:t xml:space="preserve"> Another contributing factor to the transience of foreign sculptors on </w:t>
      </w:r>
      <w:r w:rsidRPr="007018DF">
        <w:rPr>
          <w:rFonts w:ascii="Times New Roman" w:hAnsi="Times New Roman" w:cs="Times New Roman"/>
          <w:sz w:val="24"/>
          <w:szCs w:val="24"/>
        </w:rPr>
        <w:t xml:space="preserve">Rhodes could have been the island’s economic downturn in the mid-second century BC, </w:t>
      </w:r>
      <w:r w:rsidRPr="007018DF">
        <w:rPr>
          <w:rFonts w:ascii="Times New Roman" w:hAnsi="Times New Roman" w:cs="Times New Roman"/>
          <w:sz w:val="24"/>
          <w:szCs w:val="24"/>
        </w:rPr>
        <w:lastRenderedPageBreak/>
        <w:t>which surely affected local demand. The latter circumstance explains the general decrease in production by way of decreased patronage, but does not directly address the short-term stay of itinerant sculptors during the earlier decades of prosperity. Goodlett provides a possible explanation in her analysis of the puzzling numerical inversion of foreign versus Rhodian signatures from 100 to 50 BC.</w:t>
      </w:r>
      <w:r w:rsidR="00C8526F" w:rsidRPr="007018DF">
        <w:rPr>
          <w:rFonts w:ascii="Times New Roman" w:hAnsi="Times New Roman" w:cs="Times New Roman"/>
          <w:sz w:val="24"/>
          <w:szCs w:val="24"/>
          <w:vertAlign w:val="superscript"/>
        </w:rPr>
        <w:endnoteReference w:id="31"/>
      </w:r>
      <w:r w:rsidR="00C8526F" w:rsidRPr="007018DF">
        <w:rPr>
          <w:rFonts w:ascii="Times New Roman" w:hAnsi="Times New Roman" w:cs="Times New Roman"/>
          <w:sz w:val="24"/>
          <w:szCs w:val="24"/>
        </w:rPr>
        <w:t xml:space="preserve"> She suggests that the structure of Rhodian citizenship followed Athenian precedent in regard to the exclusivity of land ownership, making it difficult for </w:t>
      </w:r>
      <w:r w:rsidRPr="007018DF">
        <w:rPr>
          <w:rFonts w:ascii="Times New Roman" w:hAnsi="Times New Roman" w:cs="Times New Roman"/>
          <w:i/>
          <w:sz w:val="24"/>
          <w:szCs w:val="24"/>
        </w:rPr>
        <w:t>metics</w:t>
      </w:r>
      <w:r w:rsidRPr="007018DF">
        <w:rPr>
          <w:rFonts w:ascii="Times New Roman" w:hAnsi="Times New Roman" w:cs="Times New Roman"/>
          <w:sz w:val="24"/>
          <w:szCs w:val="24"/>
        </w:rPr>
        <w:t xml:space="preserve"> to establish permanent workshop facilities. If these administrative systems were as closely related as Goodlett suggests, it is possible that there was an added tax burden on foreigners in Rhodes like the one described by Xenophon for Athens. As a hub of maritime commerce, Rhodes was well positioned to capitalize on this potential tax base of </w:t>
      </w:r>
      <w:r w:rsidRPr="007018DF">
        <w:rPr>
          <w:rFonts w:ascii="Times New Roman" w:hAnsi="Times New Roman" w:cs="Times New Roman"/>
          <w:i/>
          <w:sz w:val="24"/>
          <w:szCs w:val="24"/>
        </w:rPr>
        <w:t>metic</w:t>
      </w:r>
      <w:r w:rsidRPr="007018DF">
        <w:rPr>
          <w:rFonts w:ascii="Times New Roman" w:hAnsi="Times New Roman" w:cs="Times New Roman"/>
          <w:sz w:val="24"/>
          <w:szCs w:val="24"/>
        </w:rPr>
        <w:t xml:space="preserve"> merchants and craftsmen.</w:t>
      </w:r>
      <w:r w:rsidR="00C8526F" w:rsidRPr="007018DF">
        <w:rPr>
          <w:rFonts w:ascii="Times New Roman" w:hAnsi="Times New Roman" w:cs="Times New Roman"/>
          <w:sz w:val="24"/>
          <w:szCs w:val="24"/>
          <w:vertAlign w:val="superscript"/>
        </w:rPr>
        <w:endnoteReference w:id="32"/>
      </w:r>
      <w:r w:rsidR="00375100" w:rsidRPr="007018DF">
        <w:rPr>
          <w:rFonts w:ascii="Times New Roman" w:hAnsi="Times New Roman" w:cs="Times New Roman"/>
          <w:sz w:val="24"/>
          <w:szCs w:val="24"/>
        </w:rPr>
        <w:t xml:space="preserve"> </w:t>
      </w:r>
      <w:r w:rsidR="00C8526F" w:rsidRPr="007018DF">
        <w:rPr>
          <w:rFonts w:ascii="Times New Roman" w:hAnsi="Times New Roman" w:cs="Times New Roman"/>
          <w:sz w:val="24"/>
          <w:szCs w:val="24"/>
        </w:rPr>
        <w:t xml:space="preserve">With </w:t>
      </w:r>
      <w:r w:rsidR="00D457A5" w:rsidRPr="007018DF">
        <w:rPr>
          <w:rFonts w:ascii="Times New Roman" w:hAnsi="Times New Roman" w:cs="Times New Roman"/>
          <w:sz w:val="24"/>
          <w:szCs w:val="24"/>
        </w:rPr>
        <w:t>unpredictable</w:t>
      </w:r>
      <w:r w:rsidR="00C8526F" w:rsidRPr="007018DF">
        <w:rPr>
          <w:rFonts w:ascii="Times New Roman" w:hAnsi="Times New Roman" w:cs="Times New Roman"/>
          <w:sz w:val="24"/>
          <w:szCs w:val="24"/>
        </w:rPr>
        <w:t xml:space="preserve"> opportunities for employment and external financial pressures, sculptors would have felt compelled to </w:t>
      </w:r>
      <w:r w:rsidRPr="007018DF">
        <w:rPr>
          <w:rFonts w:ascii="Times New Roman" w:hAnsi="Times New Roman" w:cs="Times New Roman"/>
          <w:sz w:val="24"/>
          <w:szCs w:val="24"/>
        </w:rPr>
        <w:t xml:space="preserve">keep moving, seeking a more favorable positional opportunity. At this point the notion that mobility was key to sculptors of various media at temporary as well as static production sites becomes more attractive; yet there are far more questions to answer about the trade and other sites. </w:t>
      </w:r>
    </w:p>
    <w:p w:rsidR="00F1774F" w:rsidRPr="007018DF" w:rsidRDefault="00981F54" w:rsidP="00A671FE">
      <w:pPr>
        <w:spacing w:line="360" w:lineRule="auto"/>
        <w:rPr>
          <w:rFonts w:ascii="Times New Roman" w:hAnsi="Times New Roman" w:cs="Times New Roman"/>
          <w:sz w:val="24"/>
          <w:szCs w:val="24"/>
        </w:rPr>
      </w:pPr>
      <w:r w:rsidRPr="007018DF">
        <w:rPr>
          <w:rFonts w:ascii="Times New Roman" w:hAnsi="Times New Roman" w:cs="Times New Roman"/>
          <w:sz w:val="24"/>
          <w:szCs w:val="24"/>
        </w:rPr>
        <w:t xml:space="preserve">The full reality of the ancient sculptors’ trade is difficult to discern from the meager evidence left to us. Scholars have wrestled with literary testimony, visual documentation, and physical evidence associated with the constructive process. In many cases it has proven invaluable to our understanding of physical materials, yet the greater challenge remains in explaining the ephemeral facets of the trade. By adopting new approaches such as migration dynamics and analyzing ancillary data at sites of production, we can begin to reconstitute the working lives of sculptors and their mobility through their environment. These </w:t>
      </w:r>
      <w:r w:rsidRPr="007018DF">
        <w:rPr>
          <w:rFonts w:ascii="Times New Roman" w:hAnsi="Times New Roman" w:cs="Times New Roman"/>
          <w:i/>
          <w:sz w:val="24"/>
          <w:szCs w:val="24"/>
        </w:rPr>
        <w:t>un-patroned</w:t>
      </w:r>
      <w:r w:rsidRPr="007018DF">
        <w:rPr>
          <w:rFonts w:ascii="Times New Roman" w:hAnsi="Times New Roman" w:cs="Times New Roman"/>
          <w:sz w:val="24"/>
          <w:szCs w:val="24"/>
        </w:rPr>
        <w:t xml:space="preserve"> individuals certainly constitute a larger proportion of the workforce than those we know from literary accounts. After all, it was the </w:t>
      </w:r>
      <w:r w:rsidRPr="007018DF">
        <w:rPr>
          <w:rFonts w:ascii="Times New Roman" w:hAnsi="Times New Roman" w:cs="Times New Roman"/>
          <w:i/>
          <w:sz w:val="24"/>
          <w:szCs w:val="24"/>
        </w:rPr>
        <w:t>un-patroned</w:t>
      </w:r>
      <w:r w:rsidRPr="007018DF">
        <w:rPr>
          <w:rFonts w:ascii="Times New Roman" w:hAnsi="Times New Roman" w:cs="Times New Roman"/>
          <w:sz w:val="24"/>
          <w:szCs w:val="24"/>
        </w:rPr>
        <w:t xml:space="preserve"> sculptors and technicians whose assistance was required in the creation of Pliny’s masterworks.</w:t>
      </w:r>
    </w:p>
    <w:p w:rsidR="00590837" w:rsidRPr="007018DF" w:rsidRDefault="00590837" w:rsidP="00590837">
      <w:pPr>
        <w:spacing w:after="0" w:line="480" w:lineRule="auto"/>
        <w:rPr>
          <w:rFonts w:ascii="Times New Roman" w:hAnsi="Times New Roman" w:cs="Times New Roman"/>
          <w:sz w:val="24"/>
          <w:szCs w:val="24"/>
        </w:rPr>
      </w:pPr>
    </w:p>
    <w:p w:rsidR="00590837" w:rsidRPr="007018DF" w:rsidRDefault="00981F54" w:rsidP="00590837">
      <w:pPr>
        <w:spacing w:after="0" w:line="480" w:lineRule="auto"/>
        <w:rPr>
          <w:rFonts w:ascii="Times New Roman" w:hAnsi="Times New Roman" w:cs="Times New Roman"/>
          <w:sz w:val="24"/>
          <w:szCs w:val="24"/>
        </w:rPr>
      </w:pPr>
      <w:r w:rsidRPr="007018DF">
        <w:rPr>
          <w:rFonts w:ascii="Times New Roman" w:hAnsi="Times New Roman" w:cs="Times New Roman"/>
          <w:sz w:val="24"/>
          <w:szCs w:val="24"/>
        </w:rPr>
        <w:t>[A-head]Bibliography</w:t>
      </w:r>
    </w:p>
    <w:p w:rsidR="00590837" w:rsidRPr="007018DF" w:rsidRDefault="00981F54" w:rsidP="00590837">
      <w:pPr>
        <w:spacing w:after="0" w:line="480" w:lineRule="auto"/>
        <w:rPr>
          <w:rFonts w:ascii="Times New Roman" w:hAnsi="Times New Roman" w:cs="Times New Roman"/>
          <w:sz w:val="24"/>
          <w:szCs w:val="24"/>
        </w:rPr>
      </w:pPr>
      <w:r w:rsidRPr="007018DF">
        <w:rPr>
          <w:rFonts w:ascii="Times New Roman" w:hAnsi="Times New Roman" w:cs="Times New Roman"/>
          <w:sz w:val="24"/>
          <w:szCs w:val="24"/>
        </w:rPr>
        <w:t>[bibliography]</w:t>
      </w:r>
    </w:p>
    <w:p w:rsidR="00590837" w:rsidRPr="007018DF" w:rsidRDefault="00981F54" w:rsidP="00590837">
      <w:pPr>
        <w:spacing w:after="0" w:line="480" w:lineRule="auto"/>
        <w:rPr>
          <w:rFonts w:ascii="Times New Roman" w:hAnsi="Times New Roman" w:cs="Times New Roman"/>
          <w:sz w:val="24"/>
          <w:szCs w:val="24"/>
        </w:rPr>
      </w:pPr>
      <w:r w:rsidRPr="007018DF">
        <w:rPr>
          <w:rFonts w:ascii="Times New Roman" w:hAnsi="Times New Roman" w:cs="Times New Roman"/>
          <w:sz w:val="24"/>
          <w:szCs w:val="24"/>
        </w:rPr>
        <w:lastRenderedPageBreak/>
        <w:t>Bennett 2010</w:t>
      </w:r>
    </w:p>
    <w:p w:rsidR="00590837" w:rsidRPr="007018DF" w:rsidRDefault="00981F54" w:rsidP="00590837">
      <w:pPr>
        <w:spacing w:after="0" w:line="480" w:lineRule="auto"/>
        <w:rPr>
          <w:rFonts w:ascii="Times New Roman" w:hAnsi="Times New Roman" w:cs="Times New Roman"/>
          <w:sz w:val="24"/>
          <w:szCs w:val="24"/>
        </w:rPr>
      </w:pPr>
      <w:r w:rsidRPr="007018DF">
        <w:rPr>
          <w:rFonts w:ascii="Times New Roman" w:hAnsi="Times New Roman" w:cs="Times New Roman"/>
          <w:sz w:val="24"/>
          <w:szCs w:val="24"/>
        </w:rPr>
        <w:t xml:space="preserve">Bennett, D. 2010. “Creative Migration: A Western Australian Case Study of Creative Artists.” </w:t>
      </w:r>
      <w:r w:rsidRPr="007018DF">
        <w:rPr>
          <w:rFonts w:ascii="Times New Roman" w:hAnsi="Times New Roman" w:cs="Times New Roman"/>
          <w:i/>
          <w:sz w:val="24"/>
          <w:szCs w:val="24"/>
        </w:rPr>
        <w:t>Australian Geographer</w:t>
      </w:r>
      <w:r w:rsidRPr="007018DF">
        <w:rPr>
          <w:rFonts w:ascii="Times New Roman" w:hAnsi="Times New Roman" w:cs="Times New Roman"/>
          <w:sz w:val="24"/>
          <w:szCs w:val="24"/>
        </w:rPr>
        <w:t xml:space="preserve"> 41: 117–28.</w:t>
      </w:r>
    </w:p>
    <w:p w:rsidR="00590837" w:rsidRPr="007018DF" w:rsidRDefault="00590837" w:rsidP="00590837">
      <w:pPr>
        <w:spacing w:after="0" w:line="480" w:lineRule="auto"/>
        <w:rPr>
          <w:rFonts w:ascii="Times New Roman" w:hAnsi="Times New Roman" w:cs="Times New Roman"/>
          <w:sz w:val="24"/>
          <w:szCs w:val="24"/>
        </w:rPr>
      </w:pPr>
    </w:p>
    <w:p w:rsidR="00590837" w:rsidRPr="007018DF" w:rsidRDefault="00981F54" w:rsidP="00590837">
      <w:pPr>
        <w:spacing w:after="0" w:line="480" w:lineRule="auto"/>
        <w:rPr>
          <w:rFonts w:ascii="Times New Roman" w:hAnsi="Times New Roman" w:cs="Times New Roman"/>
          <w:sz w:val="24"/>
          <w:szCs w:val="24"/>
        </w:rPr>
      </w:pPr>
      <w:r w:rsidRPr="007018DF">
        <w:rPr>
          <w:rFonts w:ascii="Times New Roman" w:hAnsi="Times New Roman" w:cs="Times New Roman"/>
          <w:sz w:val="24"/>
          <w:szCs w:val="24"/>
        </w:rPr>
        <w:t>Boren and Young 2013</w:t>
      </w:r>
    </w:p>
    <w:p w:rsidR="00590837" w:rsidRPr="007018DF" w:rsidRDefault="00981F54" w:rsidP="00590837">
      <w:pPr>
        <w:spacing w:after="0" w:line="480" w:lineRule="auto"/>
        <w:rPr>
          <w:rFonts w:ascii="Times New Roman" w:hAnsi="Times New Roman" w:cs="Times New Roman"/>
          <w:sz w:val="24"/>
          <w:szCs w:val="24"/>
        </w:rPr>
      </w:pPr>
      <w:r w:rsidRPr="007018DF">
        <w:rPr>
          <w:rFonts w:ascii="Times New Roman" w:hAnsi="Times New Roman" w:cs="Times New Roman"/>
          <w:sz w:val="24"/>
          <w:szCs w:val="24"/>
        </w:rPr>
        <w:t xml:space="preserve">Boren, T., and C. Young. 2013. “Migration Dynamics of the ‘Creative Class:’ Evidence from a Study of Artists in Stockholm, Sweden.” </w:t>
      </w:r>
      <w:r w:rsidRPr="007018DF">
        <w:rPr>
          <w:rFonts w:ascii="Times New Roman" w:hAnsi="Times New Roman" w:cs="Times New Roman"/>
          <w:i/>
          <w:sz w:val="24"/>
          <w:szCs w:val="24"/>
        </w:rPr>
        <w:t>Annals of the Association of American Geographers</w:t>
      </w:r>
      <w:r w:rsidRPr="007018DF">
        <w:rPr>
          <w:rFonts w:ascii="Times New Roman" w:hAnsi="Times New Roman" w:cs="Times New Roman"/>
          <w:sz w:val="24"/>
          <w:szCs w:val="24"/>
        </w:rPr>
        <w:t xml:space="preserve"> 103: 195–210. </w:t>
      </w:r>
    </w:p>
    <w:p w:rsidR="00590837" w:rsidRPr="007018DF" w:rsidRDefault="00590837" w:rsidP="00590837">
      <w:pPr>
        <w:spacing w:after="0" w:line="480" w:lineRule="auto"/>
        <w:rPr>
          <w:rFonts w:ascii="Times New Roman" w:hAnsi="Times New Roman" w:cs="Times New Roman"/>
          <w:sz w:val="24"/>
          <w:szCs w:val="24"/>
        </w:rPr>
      </w:pPr>
    </w:p>
    <w:p w:rsidR="00590837" w:rsidRPr="007018DF" w:rsidRDefault="00981F54" w:rsidP="00590837">
      <w:pPr>
        <w:spacing w:after="0" w:line="480" w:lineRule="auto"/>
        <w:rPr>
          <w:rFonts w:ascii="Times New Roman" w:hAnsi="Times New Roman" w:cs="Times New Roman"/>
          <w:sz w:val="24"/>
          <w:szCs w:val="24"/>
        </w:rPr>
      </w:pPr>
      <w:r w:rsidRPr="007018DF">
        <w:rPr>
          <w:rFonts w:ascii="Times New Roman" w:hAnsi="Times New Roman" w:cs="Times New Roman"/>
          <w:sz w:val="24"/>
          <w:szCs w:val="24"/>
        </w:rPr>
        <w:t>Burford 1974</w:t>
      </w:r>
    </w:p>
    <w:p w:rsidR="00590837" w:rsidRPr="007018DF" w:rsidRDefault="00981F54" w:rsidP="00590837">
      <w:pPr>
        <w:spacing w:after="0" w:line="480" w:lineRule="auto"/>
        <w:rPr>
          <w:rFonts w:ascii="Times New Roman" w:hAnsi="Times New Roman" w:cs="Times New Roman"/>
          <w:sz w:val="24"/>
          <w:szCs w:val="24"/>
        </w:rPr>
      </w:pPr>
      <w:r w:rsidRPr="007018DF">
        <w:rPr>
          <w:rFonts w:ascii="Times New Roman" w:hAnsi="Times New Roman" w:cs="Times New Roman"/>
          <w:sz w:val="24"/>
          <w:szCs w:val="24"/>
        </w:rPr>
        <w:t xml:space="preserve">Burford, A. 1974. </w:t>
      </w:r>
      <w:r w:rsidRPr="007018DF">
        <w:rPr>
          <w:rFonts w:ascii="Times New Roman" w:hAnsi="Times New Roman" w:cs="Times New Roman"/>
          <w:i/>
          <w:sz w:val="24"/>
          <w:szCs w:val="24"/>
        </w:rPr>
        <w:t>Craftsmen in Greek and Roman Society</w:t>
      </w:r>
      <w:r w:rsidRPr="007018DF">
        <w:rPr>
          <w:rFonts w:ascii="Times New Roman" w:hAnsi="Times New Roman" w:cs="Times New Roman"/>
          <w:sz w:val="24"/>
          <w:szCs w:val="24"/>
        </w:rPr>
        <w:t>. Ithaca: Cornell University Press.</w:t>
      </w:r>
    </w:p>
    <w:p w:rsidR="00915F4C" w:rsidRPr="007018DF" w:rsidRDefault="00981F54" w:rsidP="00915F4C">
      <w:pPr>
        <w:spacing w:after="0" w:line="480" w:lineRule="auto"/>
        <w:rPr>
          <w:rFonts w:ascii="Times New Roman" w:hAnsi="Times New Roman" w:cs="Times New Roman"/>
          <w:color w:val="222222"/>
          <w:sz w:val="24"/>
          <w:szCs w:val="24"/>
          <w:shd w:val="clear" w:color="auto" w:fill="FFFFFF"/>
        </w:rPr>
      </w:pPr>
      <w:r w:rsidRPr="007018DF">
        <w:rPr>
          <w:rFonts w:ascii="Times New Roman" w:hAnsi="Times New Roman" w:cs="Times New Roman"/>
          <w:color w:val="222222"/>
          <w:sz w:val="24"/>
          <w:szCs w:val="24"/>
          <w:shd w:val="clear" w:color="auto" w:fill="FFFFFF"/>
        </w:rPr>
        <w:t>Cohen 1972</w:t>
      </w:r>
    </w:p>
    <w:p w:rsidR="00915F4C" w:rsidRPr="007018DF" w:rsidRDefault="00981F54" w:rsidP="00915F4C">
      <w:pPr>
        <w:spacing w:after="0" w:line="480" w:lineRule="auto"/>
        <w:rPr>
          <w:rFonts w:ascii="Times New Roman" w:hAnsi="Times New Roman" w:cs="Times New Roman"/>
          <w:sz w:val="24"/>
          <w:szCs w:val="24"/>
        </w:rPr>
      </w:pPr>
      <w:r w:rsidRPr="007018DF">
        <w:rPr>
          <w:rFonts w:ascii="Times New Roman" w:hAnsi="Times New Roman" w:cs="Times New Roman"/>
          <w:color w:val="222222"/>
          <w:sz w:val="24"/>
          <w:szCs w:val="24"/>
          <w:shd w:val="clear" w:color="auto" w:fill="FFFFFF"/>
        </w:rPr>
        <w:t>Cohen, M. 1972.</w:t>
      </w:r>
      <w:r w:rsidR="007018DF" w:rsidRPr="007018DF">
        <w:rPr>
          <w:rFonts w:ascii="Times New Roman" w:hAnsi="Times New Roman" w:cs="Times New Roman"/>
          <w:color w:val="222222"/>
          <w:sz w:val="24"/>
          <w:szCs w:val="24"/>
          <w:shd w:val="clear" w:color="auto" w:fill="FFFFFF"/>
        </w:rPr>
        <w:t xml:space="preserve"> “</w:t>
      </w:r>
      <w:r w:rsidRPr="007018DF">
        <w:rPr>
          <w:rFonts w:ascii="Times New Roman" w:hAnsi="Times New Roman" w:cs="Times New Roman"/>
          <w:color w:val="222222"/>
          <w:sz w:val="24"/>
          <w:szCs w:val="24"/>
          <w:shd w:val="clear" w:color="auto" w:fill="FFFFFF"/>
        </w:rPr>
        <w:t>An Empirical Foundation for an Explanation of Organizational Mobility.</w:t>
      </w:r>
      <w:r w:rsidR="007018DF" w:rsidRPr="007018DF">
        <w:rPr>
          <w:rFonts w:ascii="Times New Roman" w:hAnsi="Times New Roman" w:cs="Times New Roman"/>
          <w:color w:val="222222"/>
          <w:sz w:val="24"/>
          <w:szCs w:val="24"/>
          <w:shd w:val="clear" w:color="auto" w:fill="FFFFFF"/>
        </w:rPr>
        <w:t>”</w:t>
      </w:r>
      <w:r w:rsidRPr="007018DF">
        <w:rPr>
          <w:rFonts w:ascii="Times New Roman" w:hAnsi="Times New Roman" w:cs="Times New Roman"/>
          <w:color w:val="222222"/>
          <w:sz w:val="24"/>
          <w:szCs w:val="24"/>
          <w:shd w:val="clear" w:color="auto" w:fill="FFFFFF"/>
        </w:rPr>
        <w:t xml:space="preserve"> </w:t>
      </w:r>
      <w:r w:rsidRPr="007018DF">
        <w:rPr>
          <w:rFonts w:ascii="Times New Roman" w:hAnsi="Times New Roman" w:cs="Times New Roman"/>
          <w:i/>
          <w:color w:val="222222"/>
          <w:sz w:val="24"/>
          <w:szCs w:val="24"/>
          <w:shd w:val="clear" w:color="auto" w:fill="FFFFFF"/>
        </w:rPr>
        <w:t>Human Organization</w:t>
      </w:r>
      <w:r w:rsidRPr="007018DF">
        <w:rPr>
          <w:rFonts w:ascii="Times New Roman" w:hAnsi="Times New Roman" w:cs="Times New Roman"/>
          <w:color w:val="222222"/>
          <w:sz w:val="24"/>
          <w:szCs w:val="24"/>
          <w:shd w:val="clear" w:color="auto" w:fill="FFFFFF"/>
        </w:rPr>
        <w:t xml:space="preserve"> 31: 291–302.</w:t>
      </w:r>
    </w:p>
    <w:p w:rsidR="00590837" w:rsidRPr="007018DF" w:rsidRDefault="00590837" w:rsidP="00590837">
      <w:pPr>
        <w:spacing w:after="0" w:line="480" w:lineRule="auto"/>
        <w:rPr>
          <w:rFonts w:ascii="Times New Roman" w:hAnsi="Times New Roman" w:cs="Times New Roman"/>
          <w:sz w:val="24"/>
          <w:szCs w:val="24"/>
        </w:rPr>
      </w:pPr>
    </w:p>
    <w:p w:rsidR="00590837" w:rsidRPr="007018DF" w:rsidRDefault="00981F54" w:rsidP="00590837">
      <w:pPr>
        <w:spacing w:after="0" w:line="480" w:lineRule="auto"/>
        <w:rPr>
          <w:rFonts w:ascii="Times New Roman" w:hAnsi="Times New Roman" w:cs="Times New Roman"/>
          <w:sz w:val="24"/>
          <w:szCs w:val="24"/>
        </w:rPr>
      </w:pPr>
      <w:proofErr w:type="spellStart"/>
      <w:r w:rsidRPr="007018DF">
        <w:rPr>
          <w:rFonts w:ascii="Times New Roman" w:hAnsi="Times New Roman" w:cs="Times New Roman"/>
          <w:sz w:val="24"/>
          <w:szCs w:val="24"/>
        </w:rPr>
        <w:t>Dinsmoor</w:t>
      </w:r>
      <w:proofErr w:type="spellEnd"/>
      <w:r w:rsidRPr="007018DF">
        <w:rPr>
          <w:rFonts w:ascii="Times New Roman" w:hAnsi="Times New Roman" w:cs="Times New Roman"/>
          <w:sz w:val="24"/>
          <w:szCs w:val="24"/>
        </w:rPr>
        <w:t xml:space="preserve"> 1950</w:t>
      </w:r>
    </w:p>
    <w:p w:rsidR="00915F4C" w:rsidRPr="007018DF" w:rsidRDefault="00981F54" w:rsidP="00915F4C">
      <w:pPr>
        <w:spacing w:after="0" w:line="480" w:lineRule="auto"/>
        <w:rPr>
          <w:rFonts w:ascii="Times New Roman" w:hAnsi="Times New Roman" w:cs="Times New Roman"/>
          <w:sz w:val="24"/>
          <w:szCs w:val="24"/>
        </w:rPr>
      </w:pPr>
      <w:proofErr w:type="spellStart"/>
      <w:r w:rsidRPr="007018DF">
        <w:rPr>
          <w:rFonts w:ascii="Times New Roman" w:hAnsi="Times New Roman" w:cs="Times New Roman"/>
          <w:sz w:val="24"/>
          <w:szCs w:val="24"/>
        </w:rPr>
        <w:t>Dinsmoor</w:t>
      </w:r>
      <w:proofErr w:type="spellEnd"/>
      <w:r w:rsidRPr="007018DF">
        <w:rPr>
          <w:rFonts w:ascii="Times New Roman" w:hAnsi="Times New Roman" w:cs="Times New Roman"/>
          <w:sz w:val="24"/>
          <w:szCs w:val="24"/>
        </w:rPr>
        <w:t xml:space="preserve">, W. 1950. </w:t>
      </w:r>
      <w:r w:rsidRPr="007018DF">
        <w:rPr>
          <w:rFonts w:ascii="Times New Roman" w:hAnsi="Times New Roman" w:cs="Times New Roman"/>
          <w:i/>
          <w:sz w:val="24"/>
          <w:szCs w:val="24"/>
        </w:rPr>
        <w:t xml:space="preserve">Architecture of Ancient Greece: An </w:t>
      </w:r>
      <w:r w:rsidR="007018DF" w:rsidRPr="007018DF">
        <w:rPr>
          <w:rFonts w:ascii="Times New Roman" w:hAnsi="Times New Roman" w:cs="Times New Roman"/>
          <w:i/>
          <w:sz w:val="24"/>
          <w:szCs w:val="24"/>
        </w:rPr>
        <w:t>A</w:t>
      </w:r>
      <w:r w:rsidRPr="007018DF">
        <w:rPr>
          <w:rFonts w:ascii="Times New Roman" w:hAnsi="Times New Roman" w:cs="Times New Roman"/>
          <w:i/>
          <w:sz w:val="24"/>
          <w:szCs w:val="24"/>
        </w:rPr>
        <w:t xml:space="preserve">ccount of </w:t>
      </w:r>
      <w:r w:rsidR="007018DF" w:rsidRPr="007018DF">
        <w:rPr>
          <w:rFonts w:ascii="Times New Roman" w:hAnsi="Times New Roman" w:cs="Times New Roman"/>
          <w:i/>
          <w:sz w:val="24"/>
          <w:szCs w:val="24"/>
        </w:rPr>
        <w:t>I</w:t>
      </w:r>
      <w:r w:rsidRPr="007018DF">
        <w:rPr>
          <w:rFonts w:ascii="Times New Roman" w:hAnsi="Times New Roman" w:cs="Times New Roman"/>
          <w:i/>
          <w:sz w:val="24"/>
          <w:szCs w:val="24"/>
        </w:rPr>
        <w:t xml:space="preserve">ts </w:t>
      </w:r>
      <w:r w:rsidR="007018DF" w:rsidRPr="007018DF">
        <w:rPr>
          <w:rFonts w:ascii="Times New Roman" w:hAnsi="Times New Roman" w:cs="Times New Roman"/>
          <w:i/>
          <w:sz w:val="24"/>
          <w:szCs w:val="24"/>
        </w:rPr>
        <w:t>D</w:t>
      </w:r>
      <w:r w:rsidRPr="007018DF">
        <w:rPr>
          <w:rFonts w:ascii="Times New Roman" w:hAnsi="Times New Roman" w:cs="Times New Roman"/>
          <w:i/>
          <w:sz w:val="24"/>
          <w:szCs w:val="24"/>
        </w:rPr>
        <w:t>evelopment.</w:t>
      </w:r>
      <w:r w:rsidRPr="007018DF">
        <w:rPr>
          <w:rFonts w:ascii="Times New Roman" w:hAnsi="Times New Roman" w:cs="Times New Roman"/>
          <w:sz w:val="24"/>
          <w:szCs w:val="24"/>
        </w:rPr>
        <w:t xml:space="preserve"> London: B.</w:t>
      </w:r>
      <w:r w:rsidR="007018DF" w:rsidRPr="007018DF">
        <w:rPr>
          <w:rFonts w:ascii="Times New Roman" w:hAnsi="Times New Roman" w:cs="Times New Roman"/>
          <w:sz w:val="24"/>
          <w:szCs w:val="24"/>
        </w:rPr>
        <w:t xml:space="preserve"> </w:t>
      </w:r>
      <w:r w:rsidRPr="007018DF">
        <w:rPr>
          <w:rFonts w:ascii="Times New Roman" w:hAnsi="Times New Roman" w:cs="Times New Roman"/>
          <w:sz w:val="24"/>
          <w:szCs w:val="24"/>
        </w:rPr>
        <w:t xml:space="preserve">T. </w:t>
      </w:r>
      <w:proofErr w:type="spellStart"/>
      <w:r w:rsidRPr="007018DF">
        <w:rPr>
          <w:rFonts w:ascii="Times New Roman" w:hAnsi="Times New Roman" w:cs="Times New Roman"/>
          <w:sz w:val="24"/>
          <w:szCs w:val="24"/>
        </w:rPr>
        <w:t>Batsford</w:t>
      </w:r>
      <w:proofErr w:type="spellEnd"/>
      <w:r w:rsidRPr="007018DF">
        <w:rPr>
          <w:rFonts w:ascii="Times New Roman" w:hAnsi="Times New Roman" w:cs="Times New Roman"/>
          <w:sz w:val="24"/>
          <w:szCs w:val="24"/>
        </w:rPr>
        <w:t xml:space="preserve"> Ltd.</w:t>
      </w:r>
    </w:p>
    <w:p w:rsidR="00590837" w:rsidRPr="007018DF" w:rsidRDefault="00590837" w:rsidP="00590837">
      <w:pPr>
        <w:spacing w:after="0" w:line="480" w:lineRule="auto"/>
        <w:rPr>
          <w:rFonts w:ascii="Times New Roman" w:hAnsi="Times New Roman" w:cs="Times New Roman"/>
          <w:sz w:val="24"/>
          <w:szCs w:val="24"/>
        </w:rPr>
      </w:pPr>
    </w:p>
    <w:p w:rsidR="00590837" w:rsidRPr="007018DF" w:rsidRDefault="00981F54" w:rsidP="00590837">
      <w:pPr>
        <w:spacing w:after="0" w:line="480" w:lineRule="auto"/>
        <w:rPr>
          <w:rFonts w:ascii="Times New Roman" w:hAnsi="Times New Roman" w:cs="Times New Roman"/>
          <w:sz w:val="24"/>
          <w:szCs w:val="24"/>
        </w:rPr>
      </w:pPr>
      <w:proofErr w:type="spellStart"/>
      <w:r w:rsidRPr="007018DF">
        <w:rPr>
          <w:rFonts w:ascii="Times New Roman" w:hAnsi="Times New Roman" w:cs="Times New Roman"/>
          <w:sz w:val="24"/>
          <w:szCs w:val="24"/>
        </w:rPr>
        <w:t>Gabrielsen</w:t>
      </w:r>
      <w:proofErr w:type="spellEnd"/>
      <w:r w:rsidRPr="007018DF">
        <w:rPr>
          <w:rFonts w:ascii="Times New Roman" w:hAnsi="Times New Roman" w:cs="Times New Roman"/>
          <w:sz w:val="24"/>
          <w:szCs w:val="24"/>
        </w:rPr>
        <w:t xml:space="preserve"> 1997</w:t>
      </w:r>
    </w:p>
    <w:p w:rsidR="00590837" w:rsidRPr="007018DF" w:rsidRDefault="00981F54" w:rsidP="00590837">
      <w:pPr>
        <w:spacing w:after="0" w:line="480" w:lineRule="auto"/>
        <w:rPr>
          <w:rFonts w:ascii="Times New Roman" w:hAnsi="Times New Roman" w:cs="Times New Roman"/>
          <w:sz w:val="24"/>
          <w:szCs w:val="24"/>
        </w:rPr>
      </w:pPr>
      <w:proofErr w:type="spellStart"/>
      <w:r w:rsidRPr="007018DF">
        <w:rPr>
          <w:rFonts w:ascii="Times New Roman" w:hAnsi="Times New Roman" w:cs="Times New Roman"/>
          <w:sz w:val="24"/>
          <w:szCs w:val="24"/>
        </w:rPr>
        <w:t>Gabrielsen</w:t>
      </w:r>
      <w:proofErr w:type="spellEnd"/>
      <w:r w:rsidRPr="007018DF">
        <w:rPr>
          <w:rFonts w:ascii="Times New Roman" w:hAnsi="Times New Roman" w:cs="Times New Roman"/>
          <w:sz w:val="24"/>
          <w:szCs w:val="24"/>
        </w:rPr>
        <w:t xml:space="preserve">, V. 1997. </w:t>
      </w:r>
      <w:r w:rsidRPr="007018DF">
        <w:rPr>
          <w:rFonts w:ascii="Times New Roman" w:hAnsi="Times New Roman" w:cs="Times New Roman"/>
          <w:i/>
          <w:sz w:val="24"/>
          <w:szCs w:val="24"/>
        </w:rPr>
        <w:t>Naval Aristocracy of Hellenistic Rhodes</w:t>
      </w:r>
      <w:r w:rsidRPr="007018DF">
        <w:rPr>
          <w:rFonts w:ascii="Times New Roman" w:hAnsi="Times New Roman" w:cs="Times New Roman"/>
          <w:sz w:val="24"/>
          <w:szCs w:val="24"/>
        </w:rPr>
        <w:t>. Aarhus: Aarhus University Press.</w:t>
      </w:r>
    </w:p>
    <w:p w:rsidR="00590837" w:rsidRPr="007018DF" w:rsidRDefault="00590837" w:rsidP="00590837">
      <w:pPr>
        <w:spacing w:after="0" w:line="480" w:lineRule="auto"/>
        <w:rPr>
          <w:rFonts w:ascii="Times New Roman" w:hAnsi="Times New Roman" w:cs="Times New Roman"/>
          <w:sz w:val="24"/>
          <w:szCs w:val="24"/>
        </w:rPr>
      </w:pPr>
    </w:p>
    <w:p w:rsidR="00590837" w:rsidRPr="007018DF" w:rsidRDefault="00981F54" w:rsidP="00590837">
      <w:pPr>
        <w:spacing w:after="0" w:line="480" w:lineRule="auto"/>
        <w:rPr>
          <w:rFonts w:ascii="Times New Roman" w:hAnsi="Times New Roman" w:cs="Times New Roman"/>
          <w:sz w:val="24"/>
          <w:szCs w:val="24"/>
        </w:rPr>
      </w:pPr>
      <w:r w:rsidRPr="007018DF">
        <w:rPr>
          <w:rFonts w:ascii="Times New Roman" w:hAnsi="Times New Roman" w:cs="Times New Roman"/>
          <w:sz w:val="24"/>
          <w:szCs w:val="24"/>
        </w:rPr>
        <w:t>Garland 2014</w:t>
      </w:r>
    </w:p>
    <w:p w:rsidR="00590837" w:rsidRPr="007018DF" w:rsidRDefault="00981F54" w:rsidP="00590837">
      <w:pPr>
        <w:spacing w:after="0" w:line="480" w:lineRule="auto"/>
        <w:rPr>
          <w:rFonts w:ascii="Times New Roman" w:hAnsi="Times New Roman" w:cs="Times New Roman"/>
          <w:i/>
          <w:sz w:val="24"/>
          <w:szCs w:val="24"/>
        </w:rPr>
      </w:pPr>
      <w:r w:rsidRPr="007018DF">
        <w:rPr>
          <w:rFonts w:ascii="Times New Roman" w:hAnsi="Times New Roman" w:cs="Times New Roman"/>
          <w:sz w:val="24"/>
          <w:szCs w:val="24"/>
        </w:rPr>
        <w:lastRenderedPageBreak/>
        <w:t>Garland, R. 2014</w:t>
      </w:r>
      <w:r w:rsidRPr="007018DF">
        <w:rPr>
          <w:rFonts w:ascii="Times New Roman" w:hAnsi="Times New Roman" w:cs="Times New Roman"/>
          <w:i/>
          <w:sz w:val="24"/>
          <w:szCs w:val="24"/>
        </w:rPr>
        <w:t xml:space="preserve">. </w:t>
      </w:r>
      <w:r w:rsidR="00590837" w:rsidRPr="007018DF">
        <w:rPr>
          <w:rFonts w:ascii="Times New Roman" w:hAnsi="Times New Roman" w:cs="Times New Roman"/>
          <w:i/>
          <w:sz w:val="24"/>
          <w:szCs w:val="24"/>
        </w:rPr>
        <w:t>Wandering Greeks: The Ancient Greek Diaspora from the</w:t>
      </w:r>
      <w:r w:rsidRPr="007018DF">
        <w:rPr>
          <w:rFonts w:ascii="Times New Roman" w:hAnsi="Times New Roman" w:cs="Times New Roman"/>
          <w:i/>
          <w:sz w:val="24"/>
          <w:szCs w:val="24"/>
        </w:rPr>
        <w:t xml:space="preserve"> Age of Homer to the Death of Alexander the Great</w:t>
      </w:r>
      <w:r w:rsidR="00590837" w:rsidRPr="007018DF">
        <w:rPr>
          <w:rFonts w:ascii="Times New Roman" w:hAnsi="Times New Roman" w:cs="Times New Roman"/>
          <w:i/>
          <w:sz w:val="24"/>
          <w:szCs w:val="24"/>
        </w:rPr>
        <w:t xml:space="preserve">. </w:t>
      </w:r>
      <w:r w:rsidR="00590837" w:rsidRPr="007018DF">
        <w:rPr>
          <w:rFonts w:ascii="Times New Roman" w:hAnsi="Times New Roman" w:cs="Times New Roman"/>
          <w:sz w:val="24"/>
          <w:szCs w:val="24"/>
        </w:rPr>
        <w:t xml:space="preserve">Princeton: Princeton University Press. </w:t>
      </w:r>
    </w:p>
    <w:p w:rsidR="00590837" w:rsidRPr="007018DF" w:rsidRDefault="00590837" w:rsidP="00590837">
      <w:pPr>
        <w:spacing w:after="0" w:line="480" w:lineRule="auto"/>
        <w:rPr>
          <w:rFonts w:ascii="Times New Roman" w:hAnsi="Times New Roman" w:cs="Times New Roman"/>
          <w:sz w:val="24"/>
          <w:szCs w:val="24"/>
        </w:rPr>
      </w:pPr>
    </w:p>
    <w:p w:rsidR="00590837" w:rsidRPr="007018DF" w:rsidRDefault="00981F54" w:rsidP="00590837">
      <w:pPr>
        <w:spacing w:after="0" w:line="480" w:lineRule="auto"/>
        <w:rPr>
          <w:rFonts w:ascii="Times New Roman" w:hAnsi="Times New Roman" w:cs="Times New Roman"/>
          <w:sz w:val="24"/>
          <w:szCs w:val="24"/>
        </w:rPr>
      </w:pPr>
      <w:r w:rsidRPr="007018DF">
        <w:rPr>
          <w:rFonts w:ascii="Times New Roman" w:hAnsi="Times New Roman" w:cs="Times New Roman"/>
          <w:sz w:val="24"/>
          <w:szCs w:val="24"/>
        </w:rPr>
        <w:t>Goodlett 1991</w:t>
      </w:r>
    </w:p>
    <w:p w:rsidR="00590837" w:rsidRPr="007018DF" w:rsidRDefault="00981F54" w:rsidP="00590837">
      <w:pPr>
        <w:spacing w:after="0" w:line="480" w:lineRule="auto"/>
        <w:rPr>
          <w:rFonts w:ascii="Times New Roman" w:hAnsi="Times New Roman" w:cs="Times New Roman"/>
          <w:sz w:val="24"/>
          <w:szCs w:val="24"/>
        </w:rPr>
      </w:pPr>
      <w:r w:rsidRPr="007018DF">
        <w:rPr>
          <w:rFonts w:ascii="Times New Roman" w:hAnsi="Times New Roman" w:cs="Times New Roman"/>
          <w:sz w:val="24"/>
          <w:szCs w:val="24"/>
        </w:rPr>
        <w:t>Goodlett, V. 1991. “</w:t>
      </w:r>
      <w:proofErr w:type="spellStart"/>
      <w:r w:rsidRPr="007018DF">
        <w:rPr>
          <w:rFonts w:ascii="Times New Roman" w:hAnsi="Times New Roman" w:cs="Times New Roman"/>
          <w:sz w:val="24"/>
          <w:szCs w:val="24"/>
        </w:rPr>
        <w:t>Rhodian</w:t>
      </w:r>
      <w:proofErr w:type="spellEnd"/>
      <w:r w:rsidRPr="007018DF">
        <w:rPr>
          <w:rFonts w:ascii="Times New Roman" w:hAnsi="Times New Roman" w:cs="Times New Roman"/>
          <w:sz w:val="24"/>
          <w:szCs w:val="24"/>
        </w:rPr>
        <w:t xml:space="preserve"> Sculptural Workshops.” </w:t>
      </w:r>
      <w:r w:rsidRPr="007018DF">
        <w:rPr>
          <w:rFonts w:ascii="Times New Roman" w:hAnsi="Times New Roman" w:cs="Times New Roman"/>
          <w:i/>
          <w:sz w:val="24"/>
          <w:szCs w:val="24"/>
        </w:rPr>
        <w:t>AJA</w:t>
      </w:r>
      <w:r w:rsidRPr="007018DF">
        <w:rPr>
          <w:rFonts w:ascii="Times New Roman" w:hAnsi="Times New Roman" w:cs="Times New Roman"/>
          <w:sz w:val="24"/>
          <w:szCs w:val="24"/>
        </w:rPr>
        <w:t xml:space="preserve"> 95: 669–81.</w:t>
      </w:r>
    </w:p>
    <w:p w:rsidR="00590837" w:rsidRPr="007018DF" w:rsidRDefault="00590837" w:rsidP="00590837">
      <w:pPr>
        <w:spacing w:after="0" w:line="480" w:lineRule="auto"/>
        <w:rPr>
          <w:rFonts w:ascii="Times New Roman" w:hAnsi="Times New Roman" w:cs="Times New Roman"/>
          <w:sz w:val="24"/>
          <w:szCs w:val="24"/>
        </w:rPr>
      </w:pPr>
    </w:p>
    <w:p w:rsidR="00590837" w:rsidRPr="007018DF" w:rsidRDefault="00981F54" w:rsidP="00590837">
      <w:pPr>
        <w:spacing w:after="0" w:line="480" w:lineRule="auto"/>
        <w:rPr>
          <w:rFonts w:ascii="Times New Roman" w:hAnsi="Times New Roman" w:cs="Times New Roman"/>
          <w:sz w:val="24"/>
          <w:szCs w:val="24"/>
        </w:rPr>
      </w:pPr>
      <w:r w:rsidRPr="007018DF">
        <w:rPr>
          <w:rFonts w:ascii="Times New Roman" w:hAnsi="Times New Roman" w:cs="Times New Roman"/>
          <w:sz w:val="24"/>
          <w:szCs w:val="24"/>
        </w:rPr>
        <w:t>Kantzia 1989</w:t>
      </w:r>
      <w:r w:rsidR="00590837" w:rsidRPr="007018DF">
        <w:rPr>
          <w:rFonts w:ascii="Times New Roman" w:hAnsi="Times New Roman" w:cs="Times New Roman"/>
          <w:sz w:val="24"/>
          <w:szCs w:val="24"/>
        </w:rPr>
        <w:t xml:space="preserve"> </w:t>
      </w:r>
    </w:p>
    <w:p w:rsidR="009E6799" w:rsidRPr="007018DF" w:rsidRDefault="009E6799" w:rsidP="009E6799">
      <w:pPr>
        <w:rPr>
          <w:rFonts w:ascii="Times New Roman" w:eastAsia="Times New Roman" w:hAnsi="Times New Roman" w:cs="Times New Roman"/>
          <w:color w:val="auto"/>
          <w:sz w:val="24"/>
          <w:szCs w:val="24"/>
          <w:lang w:eastAsia="ko-KR"/>
        </w:rPr>
      </w:pPr>
      <w:proofErr w:type="spellStart"/>
      <w:r w:rsidRPr="007018DF">
        <w:rPr>
          <w:rFonts w:ascii="Times New Roman" w:hAnsi="Times New Roman" w:cs="Times New Roman"/>
          <w:sz w:val="24"/>
          <w:szCs w:val="24"/>
        </w:rPr>
        <w:t>Kantzia</w:t>
      </w:r>
      <w:proofErr w:type="spellEnd"/>
      <w:r w:rsidRPr="007018DF">
        <w:rPr>
          <w:rFonts w:ascii="Times New Roman" w:hAnsi="Times New Roman" w:cs="Times New Roman"/>
          <w:sz w:val="24"/>
          <w:szCs w:val="24"/>
        </w:rPr>
        <w:t xml:space="preserve">, C. </w:t>
      </w:r>
      <w:r w:rsidR="00981F54" w:rsidRPr="007018DF">
        <w:rPr>
          <w:rFonts w:ascii="Times New Roman" w:hAnsi="Times New Roman" w:cs="Times New Roman"/>
          <w:sz w:val="24"/>
          <w:szCs w:val="24"/>
        </w:rPr>
        <w:t>1989 “</w:t>
      </w:r>
      <w:proofErr w:type="spellStart"/>
      <w:r w:rsidR="00981F54" w:rsidRPr="007018DF">
        <w:rPr>
          <w:rFonts w:ascii="Times New Roman" w:eastAsia="Times New Roman" w:hAnsi="Times New Roman" w:cs="Times New Roman"/>
          <w:color w:val="auto"/>
          <w:sz w:val="24"/>
          <w:szCs w:val="24"/>
          <w:lang w:eastAsia="ko-KR"/>
        </w:rPr>
        <w:t>Rhodische</w:t>
      </w:r>
      <w:proofErr w:type="spellEnd"/>
      <w:r w:rsidR="00981F54" w:rsidRPr="007018DF">
        <w:rPr>
          <w:rFonts w:ascii="Times New Roman" w:eastAsia="Times New Roman" w:hAnsi="Times New Roman" w:cs="Times New Roman"/>
          <w:color w:val="auto"/>
          <w:sz w:val="24"/>
          <w:szCs w:val="24"/>
          <w:lang w:eastAsia="ko-KR"/>
        </w:rPr>
        <w:t xml:space="preserve"> </w:t>
      </w:r>
      <w:proofErr w:type="spellStart"/>
      <w:r w:rsidR="00981F54" w:rsidRPr="007018DF">
        <w:rPr>
          <w:rFonts w:ascii="Times New Roman" w:eastAsia="Times New Roman" w:hAnsi="Times New Roman" w:cs="Times New Roman"/>
          <w:color w:val="auto"/>
          <w:sz w:val="24"/>
          <w:szCs w:val="24"/>
          <w:lang w:eastAsia="ko-KR"/>
        </w:rPr>
        <w:t>Kolosse</w:t>
      </w:r>
      <w:proofErr w:type="spellEnd"/>
      <w:r w:rsidR="007018DF" w:rsidRPr="007018DF">
        <w:rPr>
          <w:rFonts w:ascii="Times New Roman" w:eastAsia="Times New Roman" w:hAnsi="Times New Roman" w:cs="Times New Roman"/>
          <w:color w:val="auto"/>
          <w:sz w:val="24"/>
          <w:szCs w:val="24"/>
          <w:lang w:eastAsia="ko-KR"/>
        </w:rPr>
        <w:t>:</w:t>
      </w:r>
      <w:r w:rsidR="00981F54" w:rsidRPr="007018DF">
        <w:rPr>
          <w:rFonts w:ascii="Times New Roman" w:eastAsia="Times New Roman" w:hAnsi="Times New Roman" w:cs="Times New Roman"/>
          <w:color w:val="auto"/>
          <w:sz w:val="24"/>
          <w:szCs w:val="24"/>
          <w:lang w:eastAsia="ko-KR"/>
        </w:rPr>
        <w:t xml:space="preserve"> </w:t>
      </w:r>
      <w:proofErr w:type="spellStart"/>
      <w:r w:rsidR="00981F54" w:rsidRPr="007018DF">
        <w:rPr>
          <w:rFonts w:ascii="Times New Roman" w:eastAsia="Times New Roman" w:hAnsi="Times New Roman" w:cs="Times New Roman"/>
          <w:color w:val="auto"/>
          <w:sz w:val="24"/>
          <w:szCs w:val="24"/>
          <w:lang w:eastAsia="ko-KR"/>
        </w:rPr>
        <w:t>Eine</w:t>
      </w:r>
      <w:proofErr w:type="spellEnd"/>
      <w:r w:rsidR="00981F54" w:rsidRPr="007018DF">
        <w:rPr>
          <w:rFonts w:ascii="Times New Roman" w:eastAsia="Times New Roman" w:hAnsi="Times New Roman" w:cs="Times New Roman"/>
          <w:color w:val="auto"/>
          <w:sz w:val="24"/>
          <w:szCs w:val="24"/>
          <w:lang w:eastAsia="ko-KR"/>
        </w:rPr>
        <w:t xml:space="preserve"> </w:t>
      </w:r>
      <w:proofErr w:type="spellStart"/>
      <w:r w:rsidR="00981F54" w:rsidRPr="007018DF">
        <w:rPr>
          <w:rFonts w:ascii="Times New Roman" w:eastAsia="Times New Roman" w:hAnsi="Times New Roman" w:cs="Times New Roman"/>
          <w:color w:val="auto"/>
          <w:sz w:val="24"/>
          <w:szCs w:val="24"/>
          <w:lang w:eastAsia="ko-KR"/>
        </w:rPr>
        <w:t>hellenistische</w:t>
      </w:r>
      <w:proofErr w:type="spellEnd"/>
      <w:r w:rsidR="00981F54" w:rsidRPr="007018DF">
        <w:rPr>
          <w:rFonts w:ascii="Times New Roman" w:eastAsia="Times New Roman" w:hAnsi="Times New Roman" w:cs="Times New Roman"/>
          <w:color w:val="auto"/>
          <w:sz w:val="24"/>
          <w:szCs w:val="24"/>
          <w:lang w:eastAsia="ko-KR"/>
        </w:rPr>
        <w:t xml:space="preserve"> </w:t>
      </w:r>
      <w:proofErr w:type="spellStart"/>
      <w:r w:rsidR="00981F54" w:rsidRPr="007018DF">
        <w:rPr>
          <w:rFonts w:ascii="Times New Roman" w:eastAsia="Times New Roman" w:hAnsi="Times New Roman" w:cs="Times New Roman"/>
          <w:color w:val="auto"/>
          <w:sz w:val="24"/>
          <w:szCs w:val="24"/>
          <w:lang w:eastAsia="ko-KR"/>
        </w:rPr>
        <w:t>Bronzegusswerkstatt</w:t>
      </w:r>
      <w:proofErr w:type="spellEnd"/>
      <w:r w:rsidR="00981F54" w:rsidRPr="007018DF">
        <w:rPr>
          <w:rFonts w:ascii="Times New Roman" w:eastAsia="Times New Roman" w:hAnsi="Times New Roman" w:cs="Times New Roman"/>
          <w:color w:val="auto"/>
          <w:sz w:val="24"/>
          <w:szCs w:val="24"/>
          <w:lang w:eastAsia="ko-KR"/>
        </w:rPr>
        <w:t xml:space="preserve">.” </w:t>
      </w:r>
      <w:r w:rsidR="00981F54" w:rsidRPr="007018DF">
        <w:rPr>
          <w:rFonts w:ascii="Times New Roman" w:eastAsia="Times New Roman" w:hAnsi="Times New Roman" w:cs="Times New Roman"/>
          <w:i/>
          <w:color w:val="auto"/>
          <w:sz w:val="24"/>
          <w:szCs w:val="24"/>
          <w:lang w:eastAsia="ko-KR"/>
        </w:rPr>
        <w:t>AA</w:t>
      </w:r>
      <w:r w:rsidRPr="007018DF">
        <w:rPr>
          <w:rFonts w:ascii="Times New Roman" w:eastAsia="Times New Roman" w:hAnsi="Times New Roman" w:cs="Times New Roman"/>
          <w:color w:val="auto"/>
          <w:sz w:val="24"/>
          <w:szCs w:val="24"/>
          <w:lang w:eastAsia="ko-KR"/>
        </w:rPr>
        <w:t>: 497–523.</w:t>
      </w:r>
    </w:p>
    <w:p w:rsidR="00590837" w:rsidRPr="007018DF" w:rsidRDefault="00590837" w:rsidP="00590837">
      <w:pPr>
        <w:spacing w:after="0" w:line="480" w:lineRule="auto"/>
        <w:rPr>
          <w:rFonts w:ascii="Times New Roman" w:hAnsi="Times New Roman" w:cs="Times New Roman"/>
          <w:sz w:val="24"/>
          <w:szCs w:val="24"/>
        </w:rPr>
      </w:pPr>
    </w:p>
    <w:p w:rsidR="00590837" w:rsidRPr="007018DF" w:rsidRDefault="00981F54" w:rsidP="00590837">
      <w:pPr>
        <w:spacing w:after="0" w:line="480" w:lineRule="auto"/>
        <w:rPr>
          <w:rFonts w:ascii="Times New Roman" w:hAnsi="Times New Roman" w:cs="Times New Roman"/>
          <w:sz w:val="24"/>
          <w:szCs w:val="24"/>
        </w:rPr>
      </w:pPr>
      <w:r w:rsidRPr="007018DF">
        <w:rPr>
          <w:rFonts w:ascii="Times New Roman" w:hAnsi="Times New Roman" w:cs="Times New Roman"/>
          <w:sz w:val="24"/>
          <w:szCs w:val="24"/>
        </w:rPr>
        <w:t>Ma 2013</w:t>
      </w:r>
    </w:p>
    <w:p w:rsidR="00590837" w:rsidRPr="007018DF" w:rsidRDefault="00981F54" w:rsidP="00590837">
      <w:pPr>
        <w:spacing w:after="0" w:line="480" w:lineRule="auto"/>
        <w:rPr>
          <w:rFonts w:ascii="Times New Roman" w:hAnsi="Times New Roman" w:cs="Times New Roman"/>
          <w:bCs/>
          <w:sz w:val="24"/>
          <w:szCs w:val="24"/>
        </w:rPr>
      </w:pPr>
      <w:r w:rsidRPr="007018DF">
        <w:rPr>
          <w:rFonts w:ascii="Times New Roman" w:hAnsi="Times New Roman" w:cs="Times New Roman"/>
          <w:sz w:val="24"/>
          <w:szCs w:val="24"/>
        </w:rPr>
        <w:t xml:space="preserve">Ma, J. 2013. </w:t>
      </w:r>
      <w:r w:rsidRPr="007018DF">
        <w:rPr>
          <w:rFonts w:ascii="Times New Roman" w:hAnsi="Times New Roman" w:cs="Times New Roman"/>
          <w:bCs/>
          <w:i/>
          <w:sz w:val="24"/>
          <w:szCs w:val="24"/>
        </w:rPr>
        <w:t>Statues and Cities: Honorific Portraits and Civic Identity in the Hellenistic World</w:t>
      </w:r>
      <w:r w:rsidR="00590837" w:rsidRPr="007018DF">
        <w:rPr>
          <w:rFonts w:ascii="Times New Roman" w:hAnsi="Times New Roman" w:cs="Times New Roman"/>
          <w:bCs/>
          <w:sz w:val="24"/>
          <w:szCs w:val="24"/>
        </w:rPr>
        <w:t>. Oxford: Oxford University Press.</w:t>
      </w:r>
    </w:p>
    <w:p w:rsidR="00590837" w:rsidRPr="007018DF" w:rsidRDefault="00590837" w:rsidP="00590837">
      <w:pPr>
        <w:spacing w:after="0" w:line="480" w:lineRule="auto"/>
        <w:rPr>
          <w:rFonts w:ascii="Times New Roman" w:hAnsi="Times New Roman" w:cs="Times New Roman"/>
          <w:sz w:val="24"/>
          <w:szCs w:val="24"/>
        </w:rPr>
      </w:pPr>
    </w:p>
    <w:p w:rsidR="00590837" w:rsidRPr="007018DF" w:rsidRDefault="00981F54" w:rsidP="00590837">
      <w:pPr>
        <w:spacing w:after="0" w:line="480" w:lineRule="auto"/>
        <w:rPr>
          <w:rFonts w:ascii="Times New Roman" w:hAnsi="Times New Roman" w:cs="Times New Roman"/>
          <w:sz w:val="24"/>
          <w:szCs w:val="24"/>
        </w:rPr>
      </w:pPr>
      <w:r w:rsidRPr="007018DF">
        <w:rPr>
          <w:rFonts w:ascii="Times New Roman" w:hAnsi="Times New Roman" w:cs="Times New Roman"/>
          <w:sz w:val="24"/>
          <w:szCs w:val="24"/>
        </w:rPr>
        <w:t>MacDonald 1981</w:t>
      </w:r>
    </w:p>
    <w:p w:rsidR="00590837" w:rsidRPr="007018DF" w:rsidRDefault="00981F54" w:rsidP="00590837">
      <w:pPr>
        <w:spacing w:after="0" w:line="480" w:lineRule="auto"/>
        <w:rPr>
          <w:rFonts w:ascii="Times New Roman" w:hAnsi="Times New Roman" w:cs="Times New Roman"/>
          <w:sz w:val="24"/>
          <w:szCs w:val="24"/>
        </w:rPr>
      </w:pPr>
      <w:r w:rsidRPr="007018DF">
        <w:rPr>
          <w:rFonts w:ascii="Times New Roman" w:hAnsi="Times New Roman" w:cs="Times New Roman"/>
          <w:sz w:val="24"/>
          <w:szCs w:val="24"/>
        </w:rPr>
        <w:t xml:space="preserve">MacDonald, B. 1981. “Emigration of Potters from Athens in the Late Fifth Century B.C.” </w:t>
      </w:r>
      <w:r w:rsidRPr="007018DF">
        <w:rPr>
          <w:rFonts w:ascii="Times New Roman" w:hAnsi="Times New Roman" w:cs="Times New Roman"/>
          <w:i/>
          <w:sz w:val="24"/>
          <w:szCs w:val="24"/>
        </w:rPr>
        <w:t>AJA</w:t>
      </w:r>
      <w:r w:rsidRPr="007018DF">
        <w:rPr>
          <w:rFonts w:ascii="Times New Roman" w:hAnsi="Times New Roman" w:cs="Times New Roman"/>
          <w:sz w:val="24"/>
          <w:szCs w:val="24"/>
        </w:rPr>
        <w:t xml:space="preserve"> 85: 159–68.</w:t>
      </w:r>
    </w:p>
    <w:p w:rsidR="00590837" w:rsidRPr="007018DF" w:rsidRDefault="00590837" w:rsidP="00590837">
      <w:pPr>
        <w:spacing w:after="0" w:line="480" w:lineRule="auto"/>
        <w:rPr>
          <w:rFonts w:ascii="Times New Roman" w:hAnsi="Times New Roman" w:cs="Times New Roman"/>
          <w:sz w:val="24"/>
          <w:szCs w:val="24"/>
        </w:rPr>
      </w:pPr>
    </w:p>
    <w:p w:rsidR="00590837" w:rsidRPr="007018DF" w:rsidRDefault="00981F54" w:rsidP="00590837">
      <w:pPr>
        <w:spacing w:after="0" w:line="480" w:lineRule="auto"/>
        <w:rPr>
          <w:rFonts w:ascii="Times New Roman" w:hAnsi="Times New Roman" w:cs="Times New Roman"/>
          <w:sz w:val="24"/>
          <w:szCs w:val="24"/>
        </w:rPr>
      </w:pPr>
      <w:proofErr w:type="spellStart"/>
      <w:r w:rsidRPr="007018DF">
        <w:rPr>
          <w:rFonts w:ascii="Times New Roman" w:hAnsi="Times New Roman" w:cs="Times New Roman"/>
          <w:sz w:val="24"/>
          <w:szCs w:val="24"/>
        </w:rPr>
        <w:t>Mossé</w:t>
      </w:r>
      <w:proofErr w:type="spellEnd"/>
      <w:r w:rsidRPr="007018DF">
        <w:rPr>
          <w:rFonts w:ascii="Times New Roman" w:hAnsi="Times New Roman" w:cs="Times New Roman"/>
          <w:sz w:val="24"/>
          <w:szCs w:val="24"/>
        </w:rPr>
        <w:t xml:space="preserve"> 1969</w:t>
      </w:r>
    </w:p>
    <w:p w:rsidR="00590837" w:rsidRPr="007018DF" w:rsidRDefault="00981F54" w:rsidP="00590837">
      <w:pPr>
        <w:spacing w:after="0" w:line="480" w:lineRule="auto"/>
        <w:rPr>
          <w:rFonts w:ascii="Times New Roman" w:hAnsi="Times New Roman" w:cs="Times New Roman"/>
          <w:sz w:val="24"/>
          <w:szCs w:val="24"/>
        </w:rPr>
      </w:pPr>
      <w:proofErr w:type="spellStart"/>
      <w:r w:rsidRPr="007018DF">
        <w:rPr>
          <w:rFonts w:ascii="Times New Roman" w:hAnsi="Times New Roman" w:cs="Times New Roman"/>
          <w:sz w:val="24"/>
          <w:szCs w:val="24"/>
        </w:rPr>
        <w:t>Mossé</w:t>
      </w:r>
      <w:proofErr w:type="spellEnd"/>
      <w:r w:rsidRPr="007018DF">
        <w:rPr>
          <w:rFonts w:ascii="Times New Roman" w:hAnsi="Times New Roman" w:cs="Times New Roman"/>
          <w:sz w:val="24"/>
          <w:szCs w:val="24"/>
        </w:rPr>
        <w:t xml:space="preserve">, C. 1969. </w:t>
      </w:r>
      <w:r w:rsidRPr="007018DF">
        <w:rPr>
          <w:rFonts w:ascii="Times New Roman" w:hAnsi="Times New Roman" w:cs="Times New Roman"/>
          <w:i/>
          <w:sz w:val="24"/>
          <w:szCs w:val="24"/>
        </w:rPr>
        <w:t>The Ancient World at Work</w:t>
      </w:r>
      <w:r w:rsidRPr="007018DF">
        <w:rPr>
          <w:rFonts w:ascii="Times New Roman" w:hAnsi="Times New Roman" w:cs="Times New Roman"/>
          <w:sz w:val="24"/>
          <w:szCs w:val="24"/>
        </w:rPr>
        <w:t>. Trans. J. Lloyd. New York: Norton.</w:t>
      </w:r>
    </w:p>
    <w:p w:rsidR="00590837" w:rsidRPr="007018DF" w:rsidRDefault="00590837" w:rsidP="00590837">
      <w:pPr>
        <w:spacing w:after="0" w:line="480" w:lineRule="auto"/>
        <w:rPr>
          <w:rFonts w:ascii="Times New Roman" w:hAnsi="Times New Roman" w:cs="Times New Roman"/>
          <w:sz w:val="24"/>
          <w:szCs w:val="24"/>
        </w:rPr>
      </w:pPr>
    </w:p>
    <w:p w:rsidR="00590837" w:rsidRPr="007018DF" w:rsidRDefault="00981F54" w:rsidP="00590837">
      <w:pPr>
        <w:spacing w:after="0" w:line="480" w:lineRule="auto"/>
        <w:rPr>
          <w:rFonts w:ascii="Times New Roman" w:hAnsi="Times New Roman" w:cs="Times New Roman"/>
          <w:sz w:val="24"/>
          <w:szCs w:val="24"/>
        </w:rPr>
      </w:pPr>
      <w:r w:rsidRPr="007018DF">
        <w:rPr>
          <w:rFonts w:ascii="Times New Roman" w:hAnsi="Times New Roman" w:cs="Times New Roman"/>
          <w:sz w:val="24"/>
          <w:szCs w:val="24"/>
        </w:rPr>
        <w:t xml:space="preserve">Paton, </w:t>
      </w:r>
      <w:proofErr w:type="spellStart"/>
      <w:r w:rsidRPr="007018DF">
        <w:rPr>
          <w:rFonts w:ascii="Times New Roman" w:hAnsi="Times New Roman" w:cs="Times New Roman"/>
          <w:sz w:val="24"/>
          <w:szCs w:val="24"/>
        </w:rPr>
        <w:t>Caskey</w:t>
      </w:r>
      <w:proofErr w:type="spellEnd"/>
      <w:r w:rsidRPr="007018DF">
        <w:rPr>
          <w:rFonts w:ascii="Times New Roman" w:hAnsi="Times New Roman" w:cs="Times New Roman"/>
          <w:sz w:val="24"/>
          <w:szCs w:val="24"/>
        </w:rPr>
        <w:t>, and Stevens 1927</w:t>
      </w:r>
    </w:p>
    <w:p w:rsidR="00590837" w:rsidRPr="007018DF" w:rsidRDefault="00981F54" w:rsidP="00590837">
      <w:pPr>
        <w:spacing w:after="0" w:line="480" w:lineRule="auto"/>
        <w:rPr>
          <w:rFonts w:ascii="Times New Roman" w:hAnsi="Times New Roman" w:cs="Times New Roman"/>
          <w:sz w:val="24"/>
          <w:szCs w:val="24"/>
        </w:rPr>
      </w:pPr>
      <w:r w:rsidRPr="007018DF">
        <w:rPr>
          <w:rFonts w:ascii="Times New Roman" w:hAnsi="Times New Roman" w:cs="Times New Roman"/>
          <w:sz w:val="24"/>
          <w:szCs w:val="24"/>
        </w:rPr>
        <w:t xml:space="preserve">Paton, J., L. </w:t>
      </w:r>
      <w:proofErr w:type="spellStart"/>
      <w:r w:rsidRPr="007018DF">
        <w:rPr>
          <w:rFonts w:ascii="Times New Roman" w:hAnsi="Times New Roman" w:cs="Times New Roman"/>
          <w:sz w:val="24"/>
          <w:szCs w:val="24"/>
        </w:rPr>
        <w:t>Caskey</w:t>
      </w:r>
      <w:proofErr w:type="spellEnd"/>
      <w:r w:rsidRPr="007018DF">
        <w:rPr>
          <w:rFonts w:ascii="Times New Roman" w:hAnsi="Times New Roman" w:cs="Times New Roman"/>
          <w:sz w:val="24"/>
          <w:szCs w:val="24"/>
        </w:rPr>
        <w:t xml:space="preserve">, and G. Stevens. 1927. </w:t>
      </w:r>
      <w:r w:rsidRPr="007018DF">
        <w:rPr>
          <w:rFonts w:ascii="Times New Roman" w:hAnsi="Times New Roman" w:cs="Times New Roman"/>
          <w:i/>
          <w:sz w:val="24"/>
          <w:szCs w:val="24"/>
        </w:rPr>
        <w:t xml:space="preserve">The </w:t>
      </w:r>
      <w:proofErr w:type="spellStart"/>
      <w:r w:rsidR="00590837" w:rsidRPr="007018DF">
        <w:rPr>
          <w:rFonts w:ascii="Times New Roman" w:hAnsi="Times New Roman" w:cs="Times New Roman"/>
          <w:i/>
          <w:sz w:val="24"/>
          <w:szCs w:val="24"/>
        </w:rPr>
        <w:t>Erechtheum</w:t>
      </w:r>
      <w:proofErr w:type="spellEnd"/>
      <w:r w:rsidR="00590837" w:rsidRPr="007018DF">
        <w:rPr>
          <w:rFonts w:ascii="Times New Roman" w:hAnsi="Times New Roman" w:cs="Times New Roman"/>
          <w:sz w:val="24"/>
          <w:szCs w:val="24"/>
        </w:rPr>
        <w:t xml:space="preserve">. Cambridge: Harvard University Press. </w:t>
      </w:r>
    </w:p>
    <w:p w:rsidR="00590837" w:rsidRPr="007018DF" w:rsidRDefault="00590837" w:rsidP="00590837">
      <w:pPr>
        <w:spacing w:after="0" w:line="480" w:lineRule="auto"/>
        <w:rPr>
          <w:rFonts w:ascii="Times New Roman" w:hAnsi="Times New Roman" w:cs="Times New Roman"/>
          <w:sz w:val="24"/>
          <w:szCs w:val="24"/>
        </w:rPr>
      </w:pPr>
    </w:p>
    <w:p w:rsidR="00590837" w:rsidRPr="007018DF" w:rsidRDefault="00981F54" w:rsidP="00590837">
      <w:pPr>
        <w:spacing w:after="0" w:line="480" w:lineRule="auto"/>
        <w:rPr>
          <w:rFonts w:ascii="Times New Roman" w:hAnsi="Times New Roman" w:cs="Times New Roman"/>
          <w:sz w:val="24"/>
          <w:szCs w:val="24"/>
        </w:rPr>
      </w:pPr>
      <w:r w:rsidRPr="007018DF">
        <w:rPr>
          <w:rFonts w:ascii="Times New Roman" w:hAnsi="Times New Roman" w:cs="Times New Roman"/>
          <w:sz w:val="24"/>
          <w:szCs w:val="24"/>
        </w:rPr>
        <w:lastRenderedPageBreak/>
        <w:t>Randall 1953</w:t>
      </w:r>
    </w:p>
    <w:p w:rsidR="00590837" w:rsidRPr="007018DF" w:rsidRDefault="00981F54" w:rsidP="00590837">
      <w:pPr>
        <w:spacing w:after="0" w:line="480" w:lineRule="auto"/>
        <w:rPr>
          <w:rFonts w:ascii="Times New Roman" w:hAnsi="Times New Roman" w:cs="Times New Roman"/>
          <w:i/>
          <w:sz w:val="24"/>
          <w:szCs w:val="24"/>
        </w:rPr>
      </w:pPr>
      <w:r w:rsidRPr="007018DF">
        <w:rPr>
          <w:rFonts w:ascii="Times New Roman" w:hAnsi="Times New Roman" w:cs="Times New Roman"/>
          <w:sz w:val="24"/>
          <w:szCs w:val="24"/>
        </w:rPr>
        <w:t xml:space="preserve">Randall Jr., R. 1953. “The </w:t>
      </w:r>
      <w:proofErr w:type="spellStart"/>
      <w:r w:rsidRPr="007018DF">
        <w:rPr>
          <w:rFonts w:ascii="Times New Roman" w:hAnsi="Times New Roman" w:cs="Times New Roman"/>
          <w:sz w:val="24"/>
          <w:szCs w:val="24"/>
        </w:rPr>
        <w:t>Erechtheum</w:t>
      </w:r>
      <w:proofErr w:type="spellEnd"/>
      <w:r w:rsidRPr="007018DF">
        <w:rPr>
          <w:rFonts w:ascii="Times New Roman" w:hAnsi="Times New Roman" w:cs="Times New Roman"/>
          <w:sz w:val="24"/>
          <w:szCs w:val="24"/>
        </w:rPr>
        <w:t xml:space="preserve"> Workmen.” </w:t>
      </w:r>
      <w:r w:rsidRPr="007018DF">
        <w:rPr>
          <w:rFonts w:ascii="Times New Roman" w:hAnsi="Times New Roman" w:cs="Times New Roman"/>
          <w:i/>
          <w:sz w:val="24"/>
          <w:szCs w:val="24"/>
        </w:rPr>
        <w:t xml:space="preserve">AJA </w:t>
      </w:r>
      <w:r w:rsidRPr="007018DF">
        <w:rPr>
          <w:rFonts w:ascii="Times New Roman" w:hAnsi="Times New Roman" w:cs="Times New Roman"/>
          <w:sz w:val="24"/>
          <w:szCs w:val="24"/>
        </w:rPr>
        <w:t>57: 199–210.</w:t>
      </w:r>
    </w:p>
    <w:p w:rsidR="00590837" w:rsidRPr="007018DF" w:rsidRDefault="00590837" w:rsidP="00590837">
      <w:pPr>
        <w:spacing w:after="0" w:line="480" w:lineRule="auto"/>
        <w:rPr>
          <w:rFonts w:ascii="Times New Roman" w:hAnsi="Times New Roman" w:cs="Times New Roman"/>
          <w:sz w:val="24"/>
          <w:szCs w:val="24"/>
        </w:rPr>
      </w:pPr>
    </w:p>
    <w:p w:rsidR="00590837" w:rsidRPr="007018DF" w:rsidRDefault="00981F54" w:rsidP="00590837">
      <w:pPr>
        <w:spacing w:after="0" w:line="480" w:lineRule="auto"/>
        <w:rPr>
          <w:rFonts w:ascii="Times New Roman" w:hAnsi="Times New Roman" w:cs="Times New Roman"/>
          <w:sz w:val="24"/>
          <w:szCs w:val="24"/>
        </w:rPr>
      </w:pPr>
      <w:proofErr w:type="spellStart"/>
      <w:r w:rsidRPr="007018DF">
        <w:rPr>
          <w:rFonts w:ascii="Times New Roman" w:hAnsi="Times New Roman" w:cs="Times New Roman"/>
          <w:sz w:val="24"/>
          <w:szCs w:val="24"/>
        </w:rPr>
        <w:t>Rostovtzeff</w:t>
      </w:r>
      <w:proofErr w:type="spellEnd"/>
      <w:r w:rsidRPr="007018DF">
        <w:rPr>
          <w:rFonts w:ascii="Times New Roman" w:hAnsi="Times New Roman" w:cs="Times New Roman"/>
          <w:sz w:val="24"/>
          <w:szCs w:val="24"/>
        </w:rPr>
        <w:t xml:space="preserve"> </w:t>
      </w:r>
      <w:r w:rsidR="00DE2B83" w:rsidRPr="007018DF">
        <w:rPr>
          <w:rFonts w:ascii="Times New Roman" w:hAnsi="Times New Roman" w:cs="Times New Roman"/>
          <w:sz w:val="24"/>
          <w:szCs w:val="24"/>
        </w:rPr>
        <w:t>[1941] 1953</w:t>
      </w:r>
    </w:p>
    <w:p w:rsidR="00915F4C" w:rsidRPr="007018DF" w:rsidRDefault="00981F54" w:rsidP="00915F4C">
      <w:pPr>
        <w:spacing w:after="0" w:line="480" w:lineRule="auto"/>
        <w:rPr>
          <w:rFonts w:ascii="Times New Roman" w:hAnsi="Times New Roman" w:cs="Times New Roman"/>
          <w:sz w:val="24"/>
          <w:szCs w:val="24"/>
        </w:rPr>
      </w:pPr>
      <w:proofErr w:type="spellStart"/>
      <w:r w:rsidRPr="007018DF">
        <w:rPr>
          <w:rFonts w:ascii="Times New Roman" w:hAnsi="Times New Roman" w:cs="Times New Roman"/>
          <w:sz w:val="24"/>
          <w:szCs w:val="24"/>
        </w:rPr>
        <w:t>Rostovtzeff</w:t>
      </w:r>
      <w:proofErr w:type="spellEnd"/>
      <w:r w:rsidRPr="007018DF">
        <w:rPr>
          <w:rFonts w:ascii="Times New Roman" w:hAnsi="Times New Roman" w:cs="Times New Roman"/>
          <w:sz w:val="24"/>
          <w:szCs w:val="24"/>
        </w:rPr>
        <w:t xml:space="preserve">, M. 1953. </w:t>
      </w:r>
      <w:r w:rsidRPr="007018DF">
        <w:rPr>
          <w:rFonts w:ascii="Times New Roman" w:hAnsi="Times New Roman" w:cs="Times New Roman"/>
          <w:i/>
          <w:sz w:val="24"/>
          <w:szCs w:val="24"/>
        </w:rPr>
        <w:t>Social and Economic History of the Hellenistic World</w:t>
      </w:r>
      <w:r w:rsidRPr="007018DF">
        <w:rPr>
          <w:rFonts w:ascii="Times New Roman" w:hAnsi="Times New Roman" w:cs="Times New Roman"/>
          <w:sz w:val="24"/>
          <w:szCs w:val="24"/>
        </w:rPr>
        <w:t xml:space="preserve">. </w:t>
      </w:r>
      <w:r w:rsidR="007018DF" w:rsidRPr="007018DF">
        <w:rPr>
          <w:rFonts w:ascii="Times New Roman" w:hAnsi="Times New Roman" w:cs="Times New Roman"/>
          <w:sz w:val="24"/>
          <w:szCs w:val="24"/>
        </w:rPr>
        <w:t xml:space="preserve">Reprint of 1941 original. </w:t>
      </w:r>
      <w:r w:rsidRPr="007018DF">
        <w:rPr>
          <w:rFonts w:ascii="Times New Roman" w:hAnsi="Times New Roman" w:cs="Times New Roman"/>
          <w:sz w:val="24"/>
          <w:szCs w:val="24"/>
        </w:rPr>
        <w:t>Oxford: Clarendon Press.</w:t>
      </w:r>
    </w:p>
    <w:p w:rsidR="00590837" w:rsidRPr="007018DF" w:rsidRDefault="00590837" w:rsidP="00590837">
      <w:pPr>
        <w:spacing w:after="0" w:line="480" w:lineRule="auto"/>
        <w:rPr>
          <w:rFonts w:ascii="Times New Roman" w:hAnsi="Times New Roman" w:cs="Times New Roman"/>
          <w:sz w:val="24"/>
          <w:szCs w:val="24"/>
        </w:rPr>
      </w:pPr>
    </w:p>
    <w:p w:rsidR="00590837" w:rsidRPr="007018DF" w:rsidRDefault="00981F54" w:rsidP="00590837">
      <w:pPr>
        <w:spacing w:after="0" w:line="480" w:lineRule="auto"/>
        <w:rPr>
          <w:rFonts w:ascii="Times New Roman" w:hAnsi="Times New Roman" w:cs="Times New Roman"/>
          <w:sz w:val="24"/>
          <w:szCs w:val="24"/>
        </w:rPr>
      </w:pPr>
      <w:proofErr w:type="spellStart"/>
      <w:r w:rsidRPr="007018DF">
        <w:rPr>
          <w:rFonts w:ascii="Times New Roman" w:hAnsi="Times New Roman" w:cs="Times New Roman"/>
          <w:sz w:val="24"/>
          <w:szCs w:val="24"/>
        </w:rPr>
        <w:t>Sargent</w:t>
      </w:r>
      <w:proofErr w:type="spellEnd"/>
      <w:r w:rsidRPr="007018DF">
        <w:rPr>
          <w:rFonts w:ascii="Times New Roman" w:hAnsi="Times New Roman" w:cs="Times New Roman"/>
          <w:sz w:val="24"/>
          <w:szCs w:val="24"/>
        </w:rPr>
        <w:t xml:space="preserve"> 1924</w:t>
      </w:r>
    </w:p>
    <w:p w:rsidR="00590837" w:rsidRPr="007018DF" w:rsidRDefault="00981F54" w:rsidP="00590837">
      <w:pPr>
        <w:spacing w:after="0" w:line="480" w:lineRule="auto"/>
        <w:rPr>
          <w:rFonts w:ascii="Times New Roman" w:hAnsi="Times New Roman" w:cs="Times New Roman"/>
          <w:sz w:val="24"/>
          <w:szCs w:val="24"/>
        </w:rPr>
      </w:pPr>
      <w:r w:rsidRPr="007018DF">
        <w:rPr>
          <w:rFonts w:ascii="Times New Roman" w:hAnsi="Times New Roman" w:cs="Times New Roman"/>
          <w:sz w:val="24"/>
          <w:szCs w:val="24"/>
        </w:rPr>
        <w:t xml:space="preserve">Sargent, R. 1924. </w:t>
      </w:r>
      <w:r w:rsidRPr="007018DF">
        <w:rPr>
          <w:rFonts w:ascii="Times New Roman" w:hAnsi="Times New Roman" w:cs="Times New Roman"/>
          <w:i/>
          <w:sz w:val="24"/>
          <w:szCs w:val="24"/>
        </w:rPr>
        <w:t>The Size of the Slave Population at Athens during the Fifth and Fourth Centuries before Christ.</w:t>
      </w:r>
      <w:r w:rsidRPr="007018DF">
        <w:rPr>
          <w:rFonts w:ascii="Times New Roman" w:hAnsi="Times New Roman" w:cs="Times New Roman"/>
          <w:sz w:val="24"/>
          <w:szCs w:val="24"/>
        </w:rPr>
        <w:t xml:space="preserve"> Urbana: University of Illinois. </w:t>
      </w:r>
    </w:p>
    <w:p w:rsidR="00590837" w:rsidRPr="007018DF" w:rsidRDefault="00590837" w:rsidP="00590837">
      <w:pPr>
        <w:spacing w:after="0" w:line="480" w:lineRule="auto"/>
        <w:rPr>
          <w:rFonts w:ascii="Times New Roman" w:hAnsi="Times New Roman" w:cs="Times New Roman"/>
          <w:sz w:val="24"/>
          <w:szCs w:val="24"/>
        </w:rPr>
      </w:pPr>
    </w:p>
    <w:p w:rsidR="00590837" w:rsidRPr="007018DF" w:rsidRDefault="00981F54" w:rsidP="00590837">
      <w:pPr>
        <w:spacing w:after="0" w:line="480" w:lineRule="auto"/>
        <w:rPr>
          <w:rFonts w:ascii="Times New Roman" w:hAnsi="Times New Roman" w:cs="Times New Roman"/>
          <w:sz w:val="24"/>
          <w:szCs w:val="24"/>
        </w:rPr>
      </w:pPr>
      <w:r w:rsidRPr="007018DF">
        <w:rPr>
          <w:rFonts w:ascii="Times New Roman" w:hAnsi="Times New Roman" w:cs="Times New Roman"/>
          <w:sz w:val="24"/>
          <w:szCs w:val="24"/>
        </w:rPr>
        <w:t>Skvoretz 1984</w:t>
      </w:r>
    </w:p>
    <w:p w:rsidR="00590837" w:rsidRPr="007018DF" w:rsidRDefault="00981F54" w:rsidP="00590837">
      <w:pPr>
        <w:spacing w:after="0" w:line="480" w:lineRule="auto"/>
        <w:rPr>
          <w:rFonts w:ascii="Times New Roman" w:hAnsi="Times New Roman" w:cs="Times New Roman"/>
          <w:sz w:val="24"/>
          <w:szCs w:val="24"/>
        </w:rPr>
      </w:pPr>
      <w:r w:rsidRPr="007018DF">
        <w:rPr>
          <w:rFonts w:ascii="Times New Roman" w:hAnsi="Times New Roman" w:cs="Times New Roman"/>
          <w:sz w:val="24"/>
          <w:szCs w:val="24"/>
        </w:rPr>
        <w:t xml:space="preserve">Skvoretz, J. 1984. “Logic of Opportunity and Mobility.” </w:t>
      </w:r>
      <w:r w:rsidRPr="007018DF">
        <w:rPr>
          <w:rFonts w:ascii="Times New Roman" w:hAnsi="Times New Roman" w:cs="Times New Roman"/>
          <w:i/>
          <w:sz w:val="24"/>
          <w:szCs w:val="24"/>
        </w:rPr>
        <w:t>Social Forces</w:t>
      </w:r>
      <w:r w:rsidRPr="007018DF">
        <w:rPr>
          <w:rFonts w:ascii="Times New Roman" w:hAnsi="Times New Roman" w:cs="Times New Roman"/>
          <w:sz w:val="24"/>
          <w:szCs w:val="24"/>
        </w:rPr>
        <w:t xml:space="preserve"> 63: 72–97.</w:t>
      </w:r>
    </w:p>
    <w:p w:rsidR="00590837" w:rsidRPr="007018DF" w:rsidRDefault="00590837" w:rsidP="00590837">
      <w:pPr>
        <w:spacing w:after="0" w:line="480" w:lineRule="auto"/>
        <w:rPr>
          <w:rFonts w:ascii="Times New Roman" w:hAnsi="Times New Roman" w:cs="Times New Roman"/>
          <w:sz w:val="24"/>
          <w:szCs w:val="24"/>
        </w:rPr>
      </w:pPr>
    </w:p>
    <w:p w:rsidR="00590837" w:rsidRPr="007018DF" w:rsidRDefault="00981F54" w:rsidP="00590837">
      <w:pPr>
        <w:spacing w:after="0" w:line="480" w:lineRule="auto"/>
        <w:rPr>
          <w:rFonts w:ascii="Times New Roman" w:hAnsi="Times New Roman" w:cs="Times New Roman"/>
          <w:sz w:val="24"/>
          <w:szCs w:val="24"/>
        </w:rPr>
      </w:pPr>
      <w:proofErr w:type="spellStart"/>
      <w:r w:rsidRPr="007018DF">
        <w:rPr>
          <w:rFonts w:ascii="Times New Roman" w:hAnsi="Times New Roman" w:cs="Times New Roman"/>
          <w:sz w:val="24"/>
          <w:szCs w:val="24"/>
        </w:rPr>
        <w:t>Sørensen</w:t>
      </w:r>
      <w:proofErr w:type="spellEnd"/>
      <w:r w:rsidRPr="007018DF">
        <w:rPr>
          <w:rFonts w:ascii="Times New Roman" w:hAnsi="Times New Roman" w:cs="Times New Roman"/>
          <w:sz w:val="24"/>
          <w:szCs w:val="24"/>
        </w:rPr>
        <w:t xml:space="preserve"> 1976</w:t>
      </w:r>
    </w:p>
    <w:p w:rsidR="004757E7" w:rsidRPr="007018DF" w:rsidRDefault="00981F54" w:rsidP="00590837">
      <w:pPr>
        <w:spacing w:after="0" w:line="480" w:lineRule="auto"/>
        <w:rPr>
          <w:rFonts w:ascii="Times New Roman" w:hAnsi="Times New Roman" w:cs="Times New Roman"/>
          <w:sz w:val="24"/>
          <w:szCs w:val="24"/>
        </w:rPr>
      </w:pPr>
      <w:proofErr w:type="spellStart"/>
      <w:r w:rsidRPr="007018DF">
        <w:rPr>
          <w:rFonts w:ascii="Times New Roman" w:hAnsi="Times New Roman" w:cs="Times New Roman"/>
          <w:sz w:val="24"/>
          <w:szCs w:val="24"/>
        </w:rPr>
        <w:t>Sørensen</w:t>
      </w:r>
      <w:proofErr w:type="spellEnd"/>
      <w:r w:rsidRPr="007018DF">
        <w:rPr>
          <w:rFonts w:ascii="Times New Roman" w:hAnsi="Times New Roman" w:cs="Times New Roman"/>
          <w:sz w:val="24"/>
          <w:szCs w:val="24"/>
        </w:rPr>
        <w:t xml:space="preserve">, A. 1976. </w:t>
      </w:r>
      <w:r w:rsidRPr="007018DF">
        <w:rPr>
          <w:rFonts w:ascii="Times New Roman" w:hAnsi="Times New Roman" w:cs="Times New Roman"/>
          <w:i/>
          <w:sz w:val="24"/>
          <w:szCs w:val="24"/>
        </w:rPr>
        <w:t>The Structure of Inequality and the Process of Attainment</w:t>
      </w:r>
      <w:r w:rsidRPr="007018DF">
        <w:rPr>
          <w:rFonts w:ascii="Times New Roman" w:hAnsi="Times New Roman" w:cs="Times New Roman"/>
          <w:sz w:val="24"/>
          <w:szCs w:val="24"/>
        </w:rPr>
        <w:t>. Madison: University of Wisconsin Press.</w:t>
      </w:r>
    </w:p>
    <w:p w:rsidR="00590837" w:rsidRPr="007018DF" w:rsidRDefault="00590837" w:rsidP="00590837">
      <w:pPr>
        <w:spacing w:after="0" w:line="480" w:lineRule="auto"/>
        <w:rPr>
          <w:rFonts w:ascii="Times New Roman" w:hAnsi="Times New Roman" w:cs="Times New Roman"/>
          <w:sz w:val="24"/>
          <w:szCs w:val="24"/>
        </w:rPr>
      </w:pPr>
    </w:p>
    <w:p w:rsidR="00590837" w:rsidRPr="007018DF" w:rsidRDefault="00981F54" w:rsidP="00590837">
      <w:pPr>
        <w:spacing w:after="0" w:line="480" w:lineRule="auto"/>
        <w:rPr>
          <w:rFonts w:ascii="Times New Roman" w:hAnsi="Times New Roman" w:cs="Times New Roman"/>
          <w:sz w:val="24"/>
          <w:szCs w:val="24"/>
        </w:rPr>
      </w:pPr>
      <w:r w:rsidRPr="007018DF">
        <w:rPr>
          <w:rFonts w:ascii="Times New Roman" w:hAnsi="Times New Roman" w:cs="Times New Roman"/>
          <w:sz w:val="24"/>
          <w:szCs w:val="24"/>
        </w:rPr>
        <w:lastRenderedPageBreak/>
        <w:t>Stewart 2015</w:t>
      </w:r>
    </w:p>
    <w:p w:rsidR="00590837" w:rsidRPr="007018DF" w:rsidRDefault="00981F54" w:rsidP="00590837">
      <w:pPr>
        <w:spacing w:after="0" w:line="480" w:lineRule="auto"/>
        <w:rPr>
          <w:rFonts w:ascii="Times New Roman" w:hAnsi="Times New Roman" w:cs="Times New Roman"/>
          <w:sz w:val="24"/>
          <w:szCs w:val="24"/>
        </w:rPr>
      </w:pPr>
      <w:r w:rsidRPr="007018DF">
        <w:rPr>
          <w:rFonts w:ascii="Times New Roman" w:hAnsi="Times New Roman" w:cs="Times New Roman"/>
          <w:sz w:val="24"/>
          <w:szCs w:val="24"/>
        </w:rPr>
        <w:t xml:space="preserve">Stewart, A. 2015. “Why Bronze?” In </w:t>
      </w:r>
      <w:r w:rsidRPr="007018DF">
        <w:rPr>
          <w:rFonts w:ascii="Times New Roman" w:hAnsi="Times New Roman" w:cs="Times New Roman"/>
          <w:i/>
          <w:sz w:val="24"/>
          <w:szCs w:val="24"/>
        </w:rPr>
        <w:t>Power and Pathos: Bronze Sculpture of the Hellenistic World</w:t>
      </w:r>
      <w:r w:rsidRPr="007018DF">
        <w:rPr>
          <w:rFonts w:ascii="Times New Roman" w:hAnsi="Times New Roman" w:cs="Times New Roman"/>
          <w:sz w:val="24"/>
          <w:szCs w:val="24"/>
        </w:rPr>
        <w:t xml:space="preserve">, ed. J. M. Daehner and K. </w:t>
      </w:r>
      <w:proofErr w:type="spellStart"/>
      <w:r w:rsidRPr="007018DF">
        <w:rPr>
          <w:rFonts w:ascii="Times New Roman" w:hAnsi="Times New Roman" w:cs="Times New Roman"/>
          <w:sz w:val="24"/>
          <w:szCs w:val="24"/>
        </w:rPr>
        <w:t>Lapatin</w:t>
      </w:r>
      <w:proofErr w:type="spellEnd"/>
      <w:r w:rsidRPr="007018DF">
        <w:rPr>
          <w:rFonts w:ascii="Times New Roman" w:hAnsi="Times New Roman" w:cs="Times New Roman"/>
          <w:sz w:val="24"/>
          <w:szCs w:val="24"/>
        </w:rPr>
        <w:t>, 34–47. Los Angeles: J. Paul Getty Museum.</w:t>
      </w:r>
    </w:p>
    <w:p w:rsidR="00915F4C" w:rsidRPr="007018DF" w:rsidRDefault="00915F4C" w:rsidP="00915F4C">
      <w:pPr>
        <w:spacing w:after="0" w:line="480" w:lineRule="auto"/>
        <w:rPr>
          <w:rFonts w:ascii="Times New Roman" w:hAnsi="Times New Roman" w:cs="Times New Roman"/>
          <w:color w:val="222222"/>
          <w:sz w:val="24"/>
          <w:szCs w:val="24"/>
          <w:shd w:val="clear" w:color="auto" w:fill="FFFFFF"/>
        </w:rPr>
      </w:pPr>
    </w:p>
    <w:p w:rsidR="00915F4C" w:rsidRPr="007018DF" w:rsidRDefault="00981F54" w:rsidP="00915F4C">
      <w:pPr>
        <w:spacing w:after="0" w:line="480" w:lineRule="auto"/>
        <w:rPr>
          <w:rFonts w:ascii="Times New Roman" w:hAnsi="Times New Roman" w:cs="Times New Roman"/>
          <w:color w:val="222222"/>
          <w:sz w:val="24"/>
          <w:szCs w:val="24"/>
          <w:shd w:val="clear" w:color="auto" w:fill="FFFFFF"/>
        </w:rPr>
      </w:pPr>
      <w:r w:rsidRPr="007018DF">
        <w:rPr>
          <w:rFonts w:ascii="Times New Roman" w:hAnsi="Times New Roman" w:cs="Times New Roman"/>
          <w:color w:val="222222"/>
          <w:sz w:val="24"/>
          <w:szCs w:val="24"/>
          <w:shd w:val="clear" w:color="auto" w:fill="FFFFFF"/>
        </w:rPr>
        <w:t>White 1970</w:t>
      </w:r>
    </w:p>
    <w:p w:rsidR="00915F4C" w:rsidRPr="007018DF" w:rsidRDefault="00981F54" w:rsidP="00915F4C">
      <w:pPr>
        <w:spacing w:after="0" w:line="480" w:lineRule="auto"/>
        <w:rPr>
          <w:rFonts w:ascii="Times New Roman" w:hAnsi="Times New Roman" w:cs="Times New Roman"/>
          <w:sz w:val="24"/>
          <w:szCs w:val="24"/>
        </w:rPr>
      </w:pPr>
      <w:r w:rsidRPr="007018DF">
        <w:rPr>
          <w:rFonts w:ascii="Times New Roman" w:hAnsi="Times New Roman" w:cs="Times New Roman"/>
          <w:color w:val="222222"/>
          <w:sz w:val="24"/>
          <w:szCs w:val="24"/>
          <w:shd w:val="clear" w:color="auto" w:fill="FFFFFF"/>
        </w:rPr>
        <w:t xml:space="preserve">White, H. 1970. </w:t>
      </w:r>
      <w:r w:rsidRPr="007018DF">
        <w:rPr>
          <w:rFonts w:ascii="Times New Roman" w:hAnsi="Times New Roman" w:cs="Times New Roman"/>
          <w:i/>
          <w:color w:val="222222"/>
          <w:sz w:val="24"/>
          <w:szCs w:val="24"/>
          <w:shd w:val="clear" w:color="auto" w:fill="FFFFFF"/>
        </w:rPr>
        <w:t>Chains of Opportunity</w:t>
      </w:r>
      <w:r w:rsidRPr="007018DF">
        <w:rPr>
          <w:rFonts w:ascii="Times New Roman" w:hAnsi="Times New Roman" w:cs="Times New Roman"/>
          <w:color w:val="222222"/>
          <w:sz w:val="24"/>
          <w:szCs w:val="24"/>
          <w:shd w:val="clear" w:color="auto" w:fill="FFFFFF"/>
        </w:rPr>
        <w:t xml:space="preserve">. </w:t>
      </w:r>
      <w:r w:rsidR="007018DF" w:rsidRPr="007018DF">
        <w:rPr>
          <w:rFonts w:ascii="Times New Roman" w:hAnsi="Times New Roman" w:cs="Times New Roman"/>
          <w:color w:val="222222"/>
          <w:sz w:val="24"/>
          <w:szCs w:val="24"/>
          <w:shd w:val="clear" w:color="auto" w:fill="FFFFFF"/>
        </w:rPr>
        <w:t xml:space="preserve">Cambridge (MA): </w:t>
      </w:r>
      <w:r w:rsidRPr="007018DF">
        <w:rPr>
          <w:rFonts w:ascii="Times New Roman" w:hAnsi="Times New Roman" w:cs="Times New Roman"/>
          <w:color w:val="222222"/>
          <w:sz w:val="24"/>
          <w:szCs w:val="24"/>
          <w:shd w:val="clear" w:color="auto" w:fill="FFFFFF"/>
        </w:rPr>
        <w:t>Harvard University Press.</w:t>
      </w:r>
    </w:p>
    <w:p w:rsidR="00590837" w:rsidRPr="007018DF" w:rsidRDefault="00590837" w:rsidP="00590837">
      <w:pPr>
        <w:rPr>
          <w:rFonts w:ascii="Times New Roman" w:hAnsi="Times New Roman" w:cs="Times New Roman"/>
          <w:sz w:val="24"/>
          <w:szCs w:val="24"/>
        </w:rPr>
      </w:pPr>
    </w:p>
    <w:p w:rsidR="000C7E58" w:rsidRPr="007018DF" w:rsidRDefault="00981F54" w:rsidP="00590837">
      <w:pPr>
        <w:rPr>
          <w:rFonts w:ascii="Times New Roman" w:hAnsi="Times New Roman" w:cs="Times New Roman"/>
          <w:sz w:val="24"/>
          <w:szCs w:val="24"/>
        </w:rPr>
      </w:pPr>
      <w:r w:rsidRPr="007018DF">
        <w:rPr>
          <w:rFonts w:ascii="Times New Roman" w:hAnsi="Times New Roman" w:cs="Times New Roman"/>
          <w:sz w:val="24"/>
          <w:szCs w:val="24"/>
        </w:rPr>
        <w:t>Zimmer 1990</w:t>
      </w:r>
    </w:p>
    <w:p w:rsidR="007018DF" w:rsidRPr="007018DF" w:rsidRDefault="00981F54">
      <w:pPr>
        <w:spacing w:after="0" w:line="480" w:lineRule="auto"/>
        <w:rPr>
          <w:rFonts w:ascii="Times New Roman" w:hAnsi="Times New Roman" w:cs="Times New Roman"/>
          <w:sz w:val="24"/>
          <w:szCs w:val="24"/>
        </w:rPr>
      </w:pPr>
      <w:r w:rsidRPr="007018DF">
        <w:rPr>
          <w:rFonts w:ascii="Times New Roman" w:hAnsi="Times New Roman" w:cs="Times New Roman"/>
          <w:sz w:val="24"/>
          <w:szCs w:val="24"/>
        </w:rPr>
        <w:t xml:space="preserve">Zimmer, G. 1990. </w:t>
      </w:r>
      <w:proofErr w:type="spellStart"/>
      <w:r w:rsidRPr="007018DF">
        <w:rPr>
          <w:rFonts w:ascii="Times New Roman" w:hAnsi="Times New Roman" w:cs="Times New Roman"/>
          <w:i/>
          <w:sz w:val="24"/>
          <w:szCs w:val="24"/>
        </w:rPr>
        <w:t>Gr</w:t>
      </w:r>
      <w:r w:rsidR="000C7E58" w:rsidRPr="007018DF">
        <w:rPr>
          <w:rFonts w:ascii="Times New Roman" w:hAnsi="Times New Roman" w:cs="Times New Roman"/>
          <w:i/>
          <w:sz w:val="24"/>
          <w:szCs w:val="24"/>
        </w:rPr>
        <w:t>iechische</w:t>
      </w:r>
      <w:proofErr w:type="spellEnd"/>
      <w:r w:rsidR="000C7E58" w:rsidRPr="007018DF">
        <w:rPr>
          <w:rFonts w:ascii="Times New Roman" w:hAnsi="Times New Roman" w:cs="Times New Roman"/>
          <w:i/>
          <w:sz w:val="24"/>
          <w:szCs w:val="24"/>
        </w:rPr>
        <w:t xml:space="preserve"> </w:t>
      </w:r>
      <w:proofErr w:type="spellStart"/>
      <w:r w:rsidR="000C7E58" w:rsidRPr="007018DF">
        <w:rPr>
          <w:rFonts w:ascii="Times New Roman" w:hAnsi="Times New Roman" w:cs="Times New Roman"/>
          <w:i/>
          <w:sz w:val="24"/>
          <w:szCs w:val="24"/>
        </w:rPr>
        <w:t>Bronzegusswerkstätten</w:t>
      </w:r>
      <w:proofErr w:type="spellEnd"/>
      <w:r w:rsidRPr="007018DF">
        <w:rPr>
          <w:rFonts w:ascii="Times New Roman" w:hAnsi="Times New Roman" w:cs="Times New Roman"/>
          <w:i/>
          <w:sz w:val="24"/>
          <w:szCs w:val="24"/>
        </w:rPr>
        <w:t xml:space="preserve">: </w:t>
      </w:r>
      <w:proofErr w:type="spellStart"/>
      <w:r w:rsidRPr="007018DF">
        <w:rPr>
          <w:rFonts w:ascii="Times New Roman" w:hAnsi="Times New Roman" w:cs="Times New Roman"/>
          <w:i/>
          <w:sz w:val="24"/>
          <w:szCs w:val="24"/>
        </w:rPr>
        <w:t>zur</w:t>
      </w:r>
      <w:proofErr w:type="spellEnd"/>
      <w:r w:rsidRPr="007018DF">
        <w:rPr>
          <w:rFonts w:ascii="Times New Roman" w:hAnsi="Times New Roman" w:cs="Times New Roman"/>
          <w:i/>
          <w:sz w:val="24"/>
          <w:szCs w:val="24"/>
        </w:rPr>
        <w:t xml:space="preserve"> </w:t>
      </w:r>
      <w:proofErr w:type="spellStart"/>
      <w:r w:rsidRPr="007018DF">
        <w:rPr>
          <w:rFonts w:ascii="Times New Roman" w:hAnsi="Times New Roman" w:cs="Times New Roman"/>
          <w:i/>
          <w:sz w:val="24"/>
          <w:szCs w:val="24"/>
        </w:rPr>
        <w:t>Technologieentwicklung</w:t>
      </w:r>
      <w:proofErr w:type="spellEnd"/>
      <w:r w:rsidRPr="007018DF">
        <w:rPr>
          <w:rFonts w:ascii="Times New Roman" w:hAnsi="Times New Roman" w:cs="Times New Roman"/>
          <w:i/>
          <w:sz w:val="24"/>
          <w:szCs w:val="24"/>
        </w:rPr>
        <w:t xml:space="preserve"> </w:t>
      </w:r>
      <w:proofErr w:type="spellStart"/>
      <w:r w:rsidRPr="007018DF">
        <w:rPr>
          <w:rFonts w:ascii="Times New Roman" w:hAnsi="Times New Roman" w:cs="Times New Roman"/>
          <w:i/>
          <w:sz w:val="24"/>
          <w:szCs w:val="24"/>
        </w:rPr>
        <w:t>eines</w:t>
      </w:r>
      <w:proofErr w:type="spellEnd"/>
      <w:r w:rsidRPr="007018DF">
        <w:rPr>
          <w:rFonts w:ascii="Times New Roman" w:hAnsi="Times New Roman" w:cs="Times New Roman"/>
          <w:i/>
          <w:sz w:val="24"/>
          <w:szCs w:val="24"/>
        </w:rPr>
        <w:t xml:space="preserve"> </w:t>
      </w:r>
      <w:proofErr w:type="spellStart"/>
      <w:r w:rsidRPr="007018DF">
        <w:rPr>
          <w:rFonts w:ascii="Times New Roman" w:hAnsi="Times New Roman" w:cs="Times New Roman"/>
          <w:i/>
          <w:sz w:val="24"/>
          <w:szCs w:val="24"/>
        </w:rPr>
        <w:t>antiken</w:t>
      </w:r>
      <w:proofErr w:type="spellEnd"/>
      <w:r w:rsidRPr="007018DF">
        <w:rPr>
          <w:rFonts w:ascii="Times New Roman" w:hAnsi="Times New Roman" w:cs="Times New Roman"/>
          <w:i/>
          <w:sz w:val="24"/>
          <w:szCs w:val="24"/>
        </w:rPr>
        <w:t xml:space="preserve"> </w:t>
      </w:r>
      <w:proofErr w:type="spellStart"/>
      <w:r w:rsidRPr="007018DF">
        <w:rPr>
          <w:rFonts w:ascii="Times New Roman" w:hAnsi="Times New Roman" w:cs="Times New Roman"/>
          <w:i/>
          <w:sz w:val="24"/>
          <w:szCs w:val="24"/>
        </w:rPr>
        <w:t>Kunsthandwerkes</w:t>
      </w:r>
      <w:proofErr w:type="spellEnd"/>
      <w:r w:rsidRPr="007018DF">
        <w:rPr>
          <w:rFonts w:ascii="Times New Roman" w:hAnsi="Times New Roman" w:cs="Times New Roman"/>
          <w:sz w:val="24"/>
          <w:szCs w:val="24"/>
        </w:rPr>
        <w:t xml:space="preserve">. Mainz am </w:t>
      </w:r>
      <w:proofErr w:type="spellStart"/>
      <w:r w:rsidRPr="007018DF">
        <w:rPr>
          <w:rFonts w:ascii="Times New Roman" w:hAnsi="Times New Roman" w:cs="Times New Roman"/>
          <w:sz w:val="24"/>
          <w:szCs w:val="24"/>
        </w:rPr>
        <w:t>Rhein</w:t>
      </w:r>
      <w:proofErr w:type="spellEnd"/>
      <w:r w:rsidRPr="007018DF">
        <w:rPr>
          <w:rFonts w:ascii="Times New Roman" w:hAnsi="Times New Roman" w:cs="Times New Roman"/>
          <w:sz w:val="24"/>
          <w:szCs w:val="24"/>
        </w:rPr>
        <w:t xml:space="preserve">: Philipp von </w:t>
      </w:r>
      <w:proofErr w:type="spellStart"/>
      <w:r w:rsidRPr="007018DF">
        <w:rPr>
          <w:rFonts w:ascii="Times New Roman" w:hAnsi="Times New Roman" w:cs="Times New Roman"/>
          <w:sz w:val="24"/>
          <w:szCs w:val="24"/>
        </w:rPr>
        <w:t>Zabern</w:t>
      </w:r>
      <w:proofErr w:type="spellEnd"/>
      <w:r w:rsidR="007018DF" w:rsidRPr="007018DF">
        <w:rPr>
          <w:rFonts w:ascii="Times New Roman" w:hAnsi="Times New Roman" w:cs="Times New Roman"/>
          <w:sz w:val="24"/>
          <w:szCs w:val="24"/>
        </w:rPr>
        <w:t>.</w:t>
      </w:r>
    </w:p>
    <w:p w:rsidR="00F44D18" w:rsidRPr="007018DF" w:rsidRDefault="00F44D18" w:rsidP="00590837">
      <w:pPr>
        <w:rPr>
          <w:rFonts w:ascii="Times New Roman" w:hAnsi="Times New Roman" w:cs="Times New Roman"/>
          <w:sz w:val="24"/>
          <w:szCs w:val="24"/>
        </w:rPr>
      </w:pPr>
    </w:p>
    <w:p w:rsidR="007018DF" w:rsidRDefault="00E85283" w:rsidP="00F44D18">
      <w:pPr>
        <w:pStyle w:val="EndnoteText"/>
        <w:spacing w:line="480" w:lineRule="auto"/>
        <w:rPr>
          <w:rFonts w:ascii="Times New Roman" w:hAnsi="Times New Roman" w:cs="Times New Roman"/>
          <w:sz w:val="24"/>
          <w:szCs w:val="24"/>
        </w:rPr>
      </w:pPr>
      <w:r w:rsidRPr="007018DF">
        <w:rPr>
          <w:rFonts w:ascii="Times New Roman" w:hAnsi="Times New Roman" w:cs="Times New Roman"/>
          <w:sz w:val="24"/>
          <w:szCs w:val="24"/>
        </w:rPr>
        <w:t>[A</w:t>
      </w:r>
      <w:r w:rsidR="007018DF">
        <w:rPr>
          <w:rFonts w:ascii="Times New Roman" w:hAnsi="Times New Roman" w:cs="Times New Roman"/>
          <w:sz w:val="24"/>
          <w:szCs w:val="24"/>
        </w:rPr>
        <w:t>-head]Acknowledgments</w:t>
      </w:r>
    </w:p>
    <w:p w:rsidR="007018DF" w:rsidRDefault="007018DF" w:rsidP="00F44D18">
      <w:pPr>
        <w:pStyle w:val="EndnoteText"/>
        <w:spacing w:line="480" w:lineRule="auto"/>
        <w:rPr>
          <w:rFonts w:ascii="Times New Roman" w:hAnsi="Times New Roman" w:cs="Times New Roman"/>
          <w:sz w:val="24"/>
          <w:szCs w:val="24"/>
        </w:rPr>
      </w:pPr>
    </w:p>
    <w:p w:rsidR="00F44D18" w:rsidRPr="007018DF" w:rsidRDefault="00F44D18" w:rsidP="00F44D18">
      <w:pPr>
        <w:pStyle w:val="EndnoteText"/>
        <w:spacing w:line="480" w:lineRule="auto"/>
        <w:rPr>
          <w:rFonts w:ascii="Times New Roman" w:hAnsi="Times New Roman" w:cs="Times New Roman"/>
          <w:sz w:val="24"/>
          <w:szCs w:val="24"/>
        </w:rPr>
      </w:pPr>
      <w:r w:rsidRPr="007018DF">
        <w:rPr>
          <w:rFonts w:ascii="Times New Roman" w:hAnsi="Times New Roman" w:cs="Times New Roman"/>
          <w:sz w:val="24"/>
          <w:szCs w:val="24"/>
        </w:rPr>
        <w:t>I would like to thank the organizers of the 1</w:t>
      </w:r>
      <w:r w:rsidR="007018DF" w:rsidRPr="007018DF">
        <w:rPr>
          <w:rFonts w:ascii="Times New Roman" w:hAnsi="Times New Roman" w:cs="Times New Roman"/>
          <w:sz w:val="24"/>
          <w:szCs w:val="24"/>
        </w:rPr>
        <w:t>9th</w:t>
      </w:r>
      <w:r w:rsidRPr="007018DF">
        <w:rPr>
          <w:rFonts w:ascii="Times New Roman" w:hAnsi="Times New Roman" w:cs="Times New Roman"/>
          <w:sz w:val="24"/>
          <w:szCs w:val="24"/>
        </w:rPr>
        <w:t xml:space="preserve"> Annual Bronze Congress for the opportunity present my initial thoughts on the subject. The helpful comments provided by various individuals greatly aided subsequent thought on the subject, notably the earliest discussions with Carol </w:t>
      </w:r>
      <w:proofErr w:type="spellStart"/>
      <w:r w:rsidRPr="007018DF">
        <w:rPr>
          <w:rFonts w:ascii="Times New Roman" w:hAnsi="Times New Roman" w:cs="Times New Roman"/>
          <w:sz w:val="24"/>
          <w:szCs w:val="24"/>
        </w:rPr>
        <w:t>Mattusch</w:t>
      </w:r>
      <w:proofErr w:type="spellEnd"/>
      <w:r w:rsidRPr="007018DF">
        <w:rPr>
          <w:rFonts w:ascii="Times New Roman" w:hAnsi="Times New Roman" w:cs="Times New Roman"/>
          <w:sz w:val="24"/>
          <w:szCs w:val="24"/>
        </w:rPr>
        <w:t>.</w:t>
      </w:r>
    </w:p>
    <w:p w:rsidR="00F44D18" w:rsidRPr="007018DF" w:rsidRDefault="00F44D18" w:rsidP="00590837">
      <w:pPr>
        <w:rPr>
          <w:rFonts w:ascii="Times New Roman" w:hAnsi="Times New Roman" w:cs="Times New Roman"/>
          <w:sz w:val="24"/>
          <w:szCs w:val="24"/>
        </w:rPr>
      </w:pPr>
    </w:p>
    <w:p w:rsidR="00590837" w:rsidRPr="008B7585" w:rsidRDefault="00590837" w:rsidP="00A671FE">
      <w:pPr>
        <w:spacing w:line="360" w:lineRule="auto"/>
        <w:rPr>
          <w:rFonts w:ascii="Times New Roman" w:hAnsi="Times New Roman" w:cs="Times New Roman"/>
          <w:sz w:val="24"/>
          <w:szCs w:val="24"/>
        </w:rPr>
      </w:pPr>
    </w:p>
    <w:sectPr w:rsidR="00590837" w:rsidRPr="008B7585" w:rsidSect="00983655">
      <w:endnotePr>
        <w:numFmt w:val="decimal"/>
      </w:endnotePr>
      <w:pgSz w:w="12240" w:h="15840"/>
      <w:pgMar w:top="1440" w:right="1440" w:bottom="1440" w:left="1440" w:header="720" w:footer="720" w:gutter="0"/>
      <w:pgNumType w:start="1"/>
      <w:cols w:space="720" w:equalWidth="0">
        <w:col w:w="9360"/>
      </w:cols>
    </w:sectPr>
  </w:body>
</w:document>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CC5D00C" w15:done="0"/>
  <w15:commentEx w15:paraId="7BCB54FE" w15:done="0"/>
  <w15:commentEx w15:paraId="42887F32" w15:paraIdParent="7BCB54FE" w15:done="0"/>
  <w15:commentEx w15:paraId="098482CD" w15:done="0"/>
  <w15:commentEx w15:paraId="3B9A9996" w15:paraIdParent="098482CD" w15:done="0"/>
  <w15:commentEx w15:paraId="3502E24A" w15:done="0"/>
  <w15:commentEx w15:paraId="4AAFFFB5" w15:done="0"/>
  <w15:commentEx w15:paraId="5CF19FE3" w15:paraIdParent="4AAFFFB5" w15:done="0"/>
  <w15:commentEx w15:paraId="3C8FBF33" w15:done="0"/>
  <w15:commentEx w15:paraId="71A6EB67" w15:done="0"/>
  <w15:commentEx w15:paraId="2BA1D37E" w15:paraIdParent="71A6EB67"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018DF" w:rsidRDefault="007018DF">
      <w:pPr>
        <w:spacing w:after="0" w:line="240" w:lineRule="auto"/>
      </w:pPr>
      <w:r>
        <w:separator/>
      </w:r>
    </w:p>
  </w:endnote>
  <w:endnote w:type="continuationSeparator" w:id="0">
    <w:p w:rsidR="007018DF" w:rsidRDefault="007018DF">
      <w:pPr>
        <w:spacing w:after="0" w:line="240" w:lineRule="auto"/>
      </w:pPr>
      <w:r>
        <w:continuationSeparator/>
      </w:r>
    </w:p>
  </w:endnote>
  <w:endnote w:id="1">
    <w:p w:rsidR="007018DF" w:rsidRPr="00AC6B6D" w:rsidRDefault="007018DF" w:rsidP="00C8526F">
      <w:pPr>
        <w:spacing w:after="0" w:line="480" w:lineRule="auto"/>
        <w:rPr>
          <w:rFonts w:ascii="Times New Roman" w:hAnsi="Times New Roman" w:cs="Times New Roman"/>
          <w:sz w:val="24"/>
          <w:szCs w:val="24"/>
        </w:rPr>
      </w:pPr>
      <w:r w:rsidRPr="00AC6B6D">
        <w:rPr>
          <w:rFonts w:ascii="Times New Roman" w:hAnsi="Times New Roman" w:cs="Times New Roman"/>
          <w:sz w:val="24"/>
          <w:szCs w:val="24"/>
          <w:vertAlign w:val="superscript"/>
        </w:rPr>
        <w:endnoteRef/>
      </w:r>
      <w:r w:rsidRPr="00AC6B6D">
        <w:rPr>
          <w:rFonts w:ascii="Times New Roman" w:hAnsi="Times New Roman" w:cs="Times New Roman"/>
          <w:sz w:val="24"/>
          <w:szCs w:val="24"/>
        </w:rPr>
        <w:t xml:space="preserve"> Pliny </w:t>
      </w:r>
      <w:r>
        <w:rPr>
          <w:rFonts w:ascii="Times New Roman" w:hAnsi="Times New Roman" w:cs="Times New Roman"/>
          <w:i/>
          <w:sz w:val="24"/>
          <w:szCs w:val="24"/>
        </w:rPr>
        <w:t>Naturalis historia</w:t>
      </w:r>
      <w:r w:rsidRPr="00AC6B6D">
        <w:rPr>
          <w:rFonts w:ascii="Times New Roman" w:hAnsi="Times New Roman" w:cs="Times New Roman"/>
          <w:i/>
          <w:sz w:val="24"/>
          <w:szCs w:val="24"/>
        </w:rPr>
        <w:t xml:space="preserve"> </w:t>
      </w:r>
      <w:r w:rsidRPr="00AC6B6D">
        <w:rPr>
          <w:rFonts w:ascii="Times New Roman" w:hAnsi="Times New Roman" w:cs="Times New Roman"/>
          <w:sz w:val="24"/>
          <w:szCs w:val="24"/>
        </w:rPr>
        <w:t>36.20, 34.69; Paus</w:t>
      </w:r>
      <w:r>
        <w:rPr>
          <w:rFonts w:ascii="Times New Roman" w:hAnsi="Times New Roman" w:cs="Times New Roman"/>
          <w:sz w:val="24"/>
          <w:szCs w:val="24"/>
        </w:rPr>
        <w:t>anias</w:t>
      </w:r>
      <w:r w:rsidRPr="00AC6B6D">
        <w:rPr>
          <w:rFonts w:ascii="Times New Roman" w:hAnsi="Times New Roman" w:cs="Times New Roman"/>
          <w:sz w:val="24"/>
          <w:szCs w:val="24"/>
        </w:rPr>
        <w:t xml:space="preserve"> 8.9.1, 1.23.7, 10.37.1</w:t>
      </w:r>
      <w:r>
        <w:rPr>
          <w:rFonts w:ascii="Times New Roman" w:hAnsi="Times New Roman" w:cs="Times New Roman"/>
          <w:sz w:val="24"/>
          <w:szCs w:val="24"/>
        </w:rPr>
        <w:t>.</w:t>
      </w:r>
    </w:p>
  </w:endnote>
  <w:endnote w:id="2">
    <w:p w:rsidR="007018DF" w:rsidRPr="00AC6B6D" w:rsidRDefault="007018DF" w:rsidP="00C8526F">
      <w:pPr>
        <w:spacing w:after="0" w:line="480" w:lineRule="auto"/>
        <w:rPr>
          <w:rFonts w:ascii="Times New Roman" w:hAnsi="Times New Roman" w:cs="Times New Roman"/>
          <w:sz w:val="24"/>
          <w:szCs w:val="24"/>
        </w:rPr>
      </w:pPr>
      <w:r w:rsidRPr="00AC6B6D">
        <w:rPr>
          <w:rFonts w:ascii="Times New Roman" w:hAnsi="Times New Roman" w:cs="Times New Roman"/>
          <w:sz w:val="24"/>
          <w:szCs w:val="24"/>
          <w:vertAlign w:val="superscript"/>
        </w:rPr>
        <w:endnoteRef/>
      </w:r>
      <w:r w:rsidRPr="00AC6B6D">
        <w:rPr>
          <w:rFonts w:ascii="Times New Roman" w:hAnsi="Times New Roman" w:cs="Times New Roman"/>
          <w:sz w:val="24"/>
          <w:szCs w:val="24"/>
        </w:rPr>
        <w:t xml:space="preserve"> The passing accounts of familial workshops such as those of </w:t>
      </w:r>
      <w:proofErr w:type="spellStart"/>
      <w:r w:rsidRPr="00AC6B6D">
        <w:rPr>
          <w:rFonts w:ascii="Times New Roman" w:hAnsi="Times New Roman" w:cs="Times New Roman"/>
          <w:sz w:val="24"/>
          <w:szCs w:val="24"/>
        </w:rPr>
        <w:t>Polykleitos</w:t>
      </w:r>
      <w:proofErr w:type="spellEnd"/>
      <w:r w:rsidRPr="00AC6B6D">
        <w:rPr>
          <w:rFonts w:ascii="Times New Roman" w:hAnsi="Times New Roman" w:cs="Times New Roman"/>
          <w:sz w:val="24"/>
          <w:szCs w:val="24"/>
        </w:rPr>
        <w:t xml:space="preserve"> and </w:t>
      </w:r>
      <w:proofErr w:type="spellStart"/>
      <w:r w:rsidRPr="00AC6B6D">
        <w:rPr>
          <w:rFonts w:ascii="Times New Roman" w:hAnsi="Times New Roman" w:cs="Times New Roman"/>
          <w:sz w:val="24"/>
          <w:szCs w:val="24"/>
        </w:rPr>
        <w:t>Polykles</w:t>
      </w:r>
      <w:proofErr w:type="spellEnd"/>
      <w:r w:rsidRPr="00AC6B6D">
        <w:rPr>
          <w:rFonts w:ascii="Times New Roman" w:hAnsi="Times New Roman" w:cs="Times New Roman"/>
          <w:sz w:val="24"/>
          <w:szCs w:val="24"/>
        </w:rPr>
        <w:t xml:space="preserve"> detail specific works and their varied locations.</w:t>
      </w:r>
    </w:p>
  </w:endnote>
  <w:endnote w:id="3">
    <w:p w:rsidR="007018DF" w:rsidRPr="00AC6B6D" w:rsidRDefault="007018DF" w:rsidP="00C8526F">
      <w:pPr>
        <w:spacing w:after="0" w:line="480" w:lineRule="auto"/>
        <w:rPr>
          <w:rFonts w:ascii="Times New Roman" w:hAnsi="Times New Roman" w:cs="Times New Roman"/>
          <w:sz w:val="24"/>
          <w:szCs w:val="24"/>
        </w:rPr>
      </w:pPr>
      <w:r w:rsidRPr="00AC6B6D">
        <w:rPr>
          <w:rFonts w:ascii="Times New Roman" w:hAnsi="Times New Roman" w:cs="Times New Roman"/>
          <w:sz w:val="24"/>
          <w:szCs w:val="24"/>
          <w:vertAlign w:val="superscript"/>
        </w:rPr>
        <w:endnoteRef/>
      </w:r>
      <w:r w:rsidRPr="00AC6B6D">
        <w:rPr>
          <w:rFonts w:ascii="Times New Roman" w:hAnsi="Times New Roman" w:cs="Times New Roman"/>
          <w:sz w:val="24"/>
          <w:szCs w:val="24"/>
        </w:rPr>
        <w:t xml:space="preserve"> The use of the term </w:t>
      </w:r>
      <w:proofErr w:type="spellStart"/>
      <w:r w:rsidRPr="00AC6B6D">
        <w:rPr>
          <w:rFonts w:ascii="Times New Roman" w:hAnsi="Times New Roman" w:cs="Times New Roman"/>
          <w:i/>
          <w:sz w:val="24"/>
          <w:szCs w:val="24"/>
        </w:rPr>
        <w:t>patroned</w:t>
      </w:r>
      <w:proofErr w:type="spellEnd"/>
      <w:r w:rsidRPr="00AC6B6D">
        <w:rPr>
          <w:rFonts w:ascii="Times New Roman" w:hAnsi="Times New Roman" w:cs="Times New Roman"/>
          <w:sz w:val="24"/>
          <w:szCs w:val="24"/>
        </w:rPr>
        <w:t xml:space="preserve"> refers to the active pursuit of a sculptor by a patron. Conversely, the </w:t>
      </w:r>
      <w:r w:rsidRPr="00AC6B6D">
        <w:rPr>
          <w:rFonts w:ascii="Times New Roman" w:hAnsi="Times New Roman" w:cs="Times New Roman"/>
          <w:i/>
          <w:sz w:val="24"/>
          <w:szCs w:val="24"/>
        </w:rPr>
        <w:t>un-patroned</w:t>
      </w:r>
      <w:r w:rsidRPr="00AC6B6D">
        <w:rPr>
          <w:rFonts w:ascii="Times New Roman" w:hAnsi="Times New Roman" w:cs="Times New Roman"/>
          <w:sz w:val="24"/>
          <w:szCs w:val="24"/>
        </w:rPr>
        <w:t xml:space="preserve"> individual is the active party seeking work from a patron.</w:t>
      </w:r>
    </w:p>
  </w:endnote>
  <w:endnote w:id="4">
    <w:p w:rsidR="007018DF" w:rsidRPr="00AC6B6D" w:rsidRDefault="007018DF" w:rsidP="00C8526F">
      <w:pPr>
        <w:spacing w:after="0" w:line="480" w:lineRule="auto"/>
        <w:rPr>
          <w:rFonts w:ascii="Times New Roman" w:hAnsi="Times New Roman" w:cs="Times New Roman"/>
          <w:sz w:val="24"/>
          <w:szCs w:val="24"/>
        </w:rPr>
      </w:pPr>
      <w:r w:rsidRPr="00AC6B6D">
        <w:rPr>
          <w:rFonts w:ascii="Times New Roman" w:hAnsi="Times New Roman" w:cs="Times New Roman"/>
          <w:sz w:val="24"/>
          <w:szCs w:val="24"/>
          <w:vertAlign w:val="superscript"/>
        </w:rPr>
        <w:endnoteRef/>
      </w:r>
      <w:r>
        <w:rPr>
          <w:rFonts w:ascii="Times New Roman" w:hAnsi="Times New Roman" w:cs="Times New Roman"/>
          <w:sz w:val="24"/>
          <w:szCs w:val="24"/>
        </w:rPr>
        <w:t xml:space="preserve"> </w:t>
      </w:r>
      <w:r w:rsidRPr="00AC6B6D">
        <w:rPr>
          <w:rFonts w:ascii="Times New Roman" w:hAnsi="Times New Roman" w:cs="Times New Roman"/>
          <w:sz w:val="24"/>
          <w:szCs w:val="24"/>
        </w:rPr>
        <w:t xml:space="preserve">Bennett 2010 </w:t>
      </w:r>
      <w:r>
        <w:rPr>
          <w:rFonts w:ascii="Times New Roman" w:hAnsi="Times New Roman" w:cs="Times New Roman"/>
          <w:sz w:val="24"/>
          <w:szCs w:val="24"/>
        </w:rPr>
        <w:t xml:space="preserve">and </w:t>
      </w:r>
      <w:r w:rsidRPr="00AC6B6D">
        <w:rPr>
          <w:rFonts w:ascii="Times New Roman" w:hAnsi="Times New Roman" w:cs="Times New Roman"/>
          <w:sz w:val="24"/>
          <w:szCs w:val="24"/>
        </w:rPr>
        <w:t xml:space="preserve">Boren </w:t>
      </w:r>
      <w:r>
        <w:rPr>
          <w:rFonts w:ascii="Times New Roman" w:hAnsi="Times New Roman" w:cs="Times New Roman"/>
          <w:sz w:val="24"/>
          <w:szCs w:val="24"/>
        </w:rPr>
        <w:t xml:space="preserve">and Young </w:t>
      </w:r>
      <w:r w:rsidRPr="00AC6B6D">
        <w:rPr>
          <w:rFonts w:ascii="Times New Roman" w:hAnsi="Times New Roman" w:cs="Times New Roman"/>
          <w:sz w:val="24"/>
          <w:szCs w:val="24"/>
        </w:rPr>
        <w:t>2013</w:t>
      </w:r>
      <w:r>
        <w:rPr>
          <w:rFonts w:ascii="Times New Roman" w:hAnsi="Times New Roman" w:cs="Times New Roman"/>
          <w:sz w:val="24"/>
          <w:szCs w:val="24"/>
        </w:rPr>
        <w:t xml:space="preserve"> </w:t>
      </w:r>
      <w:r w:rsidRPr="00AC6B6D">
        <w:rPr>
          <w:rFonts w:ascii="Times New Roman" w:hAnsi="Times New Roman" w:cs="Times New Roman"/>
          <w:sz w:val="24"/>
          <w:szCs w:val="24"/>
        </w:rPr>
        <w:t>approach the subject of creatives’ mobility as a function of attracting said individuals.</w:t>
      </w:r>
    </w:p>
  </w:endnote>
  <w:endnote w:id="5">
    <w:p w:rsidR="007018DF" w:rsidRPr="00AC6B6D" w:rsidRDefault="007018DF" w:rsidP="00C8526F">
      <w:pPr>
        <w:spacing w:after="0" w:line="480" w:lineRule="auto"/>
        <w:rPr>
          <w:rFonts w:ascii="Times New Roman" w:hAnsi="Times New Roman" w:cs="Times New Roman"/>
          <w:sz w:val="24"/>
          <w:szCs w:val="24"/>
        </w:rPr>
      </w:pPr>
      <w:r w:rsidRPr="00AC6B6D">
        <w:rPr>
          <w:rFonts w:ascii="Times New Roman" w:hAnsi="Times New Roman" w:cs="Times New Roman"/>
          <w:sz w:val="24"/>
          <w:szCs w:val="24"/>
          <w:vertAlign w:val="superscript"/>
        </w:rPr>
        <w:endnoteRef/>
      </w:r>
      <w:r w:rsidRPr="00AC6B6D">
        <w:rPr>
          <w:rFonts w:ascii="Times New Roman" w:hAnsi="Times New Roman" w:cs="Times New Roman"/>
          <w:sz w:val="24"/>
          <w:szCs w:val="24"/>
        </w:rPr>
        <w:t xml:space="preserve"> Here the distinction between sustained sponsorship by a patron and specific commissions must be elucidated.   </w:t>
      </w:r>
    </w:p>
  </w:endnote>
  <w:endnote w:id="6">
    <w:p w:rsidR="007018DF" w:rsidRPr="00AC6B6D" w:rsidRDefault="007018DF" w:rsidP="00C8526F">
      <w:pPr>
        <w:spacing w:line="480" w:lineRule="auto"/>
        <w:rPr>
          <w:rFonts w:ascii="Times New Roman" w:hAnsi="Times New Roman" w:cs="Times New Roman"/>
          <w:sz w:val="24"/>
          <w:szCs w:val="24"/>
        </w:rPr>
      </w:pPr>
      <w:r w:rsidRPr="00AC6B6D">
        <w:rPr>
          <w:rFonts w:ascii="Times New Roman" w:hAnsi="Times New Roman" w:cs="Times New Roman"/>
          <w:sz w:val="24"/>
          <w:szCs w:val="24"/>
          <w:vertAlign w:val="superscript"/>
        </w:rPr>
        <w:endnoteRef/>
      </w:r>
      <w:r w:rsidRPr="00AC6B6D">
        <w:rPr>
          <w:rFonts w:ascii="Times New Roman" w:hAnsi="Times New Roman" w:cs="Times New Roman"/>
          <w:sz w:val="24"/>
          <w:szCs w:val="24"/>
        </w:rPr>
        <w:t xml:space="preserve"> Classical Athens and Hellenistic Rhodes are notably distinct; however</w:t>
      </w:r>
      <w:r>
        <w:rPr>
          <w:rFonts w:ascii="Times New Roman" w:hAnsi="Times New Roman" w:cs="Times New Roman"/>
          <w:sz w:val="24"/>
          <w:szCs w:val="24"/>
        </w:rPr>
        <w:t>,</w:t>
      </w:r>
      <w:r w:rsidRPr="00AC6B6D">
        <w:rPr>
          <w:rFonts w:ascii="Times New Roman" w:hAnsi="Times New Roman" w:cs="Times New Roman"/>
          <w:sz w:val="24"/>
          <w:szCs w:val="24"/>
        </w:rPr>
        <w:t xml:space="preserve"> their shared model of governance and legal distinctions allows for important comparisons to be drawn.</w:t>
      </w:r>
    </w:p>
  </w:endnote>
  <w:endnote w:id="7">
    <w:p w:rsidR="007018DF" w:rsidRPr="00AC6B6D" w:rsidRDefault="007018DF" w:rsidP="00C8526F">
      <w:pPr>
        <w:spacing w:after="0" w:line="480" w:lineRule="auto"/>
        <w:rPr>
          <w:rFonts w:ascii="Times New Roman" w:hAnsi="Times New Roman" w:cs="Times New Roman"/>
          <w:sz w:val="24"/>
          <w:szCs w:val="24"/>
        </w:rPr>
      </w:pPr>
      <w:r w:rsidRPr="00AC6B6D">
        <w:rPr>
          <w:rFonts w:ascii="Times New Roman" w:hAnsi="Times New Roman" w:cs="Times New Roman"/>
          <w:sz w:val="24"/>
          <w:szCs w:val="24"/>
          <w:vertAlign w:val="superscript"/>
        </w:rPr>
        <w:endnoteRef/>
      </w:r>
      <w:r w:rsidRPr="00AC6B6D">
        <w:rPr>
          <w:rFonts w:ascii="Times New Roman" w:hAnsi="Times New Roman" w:cs="Times New Roman"/>
          <w:sz w:val="24"/>
          <w:szCs w:val="24"/>
        </w:rPr>
        <w:t xml:space="preserve"> </w:t>
      </w:r>
      <w:r w:rsidRPr="007018DF">
        <w:rPr>
          <w:rFonts w:ascii="Times New Roman" w:hAnsi="Times New Roman" w:cs="Times New Roman"/>
          <w:sz w:val="24"/>
          <w:szCs w:val="24"/>
        </w:rPr>
        <w:t xml:space="preserve">Lucian </w:t>
      </w:r>
      <w:proofErr w:type="spellStart"/>
      <w:r w:rsidRPr="007018DF">
        <w:rPr>
          <w:rFonts w:ascii="Times New Roman" w:hAnsi="Times New Roman" w:cs="Times New Roman"/>
          <w:i/>
          <w:sz w:val="24"/>
          <w:szCs w:val="24"/>
        </w:rPr>
        <w:t>Somnium</w:t>
      </w:r>
      <w:proofErr w:type="spellEnd"/>
      <w:r w:rsidRPr="007018DF">
        <w:rPr>
          <w:rFonts w:ascii="Times New Roman" w:hAnsi="Times New Roman" w:cs="Times New Roman"/>
          <w:sz w:val="24"/>
          <w:szCs w:val="24"/>
        </w:rPr>
        <w:t xml:space="preserve"> 130: 222–23.</w:t>
      </w:r>
    </w:p>
  </w:endnote>
  <w:endnote w:id="8">
    <w:p w:rsidR="007018DF" w:rsidRPr="00AC6B6D" w:rsidRDefault="007018DF" w:rsidP="00C8526F">
      <w:pPr>
        <w:spacing w:after="0" w:line="480" w:lineRule="auto"/>
        <w:rPr>
          <w:rFonts w:ascii="Times New Roman" w:hAnsi="Times New Roman" w:cs="Times New Roman"/>
          <w:sz w:val="24"/>
          <w:szCs w:val="24"/>
        </w:rPr>
      </w:pPr>
      <w:r w:rsidRPr="00AC6B6D">
        <w:rPr>
          <w:rFonts w:ascii="Times New Roman" w:hAnsi="Times New Roman" w:cs="Times New Roman"/>
          <w:sz w:val="24"/>
          <w:szCs w:val="24"/>
          <w:vertAlign w:val="superscript"/>
        </w:rPr>
        <w:endnoteRef/>
      </w:r>
      <w:r w:rsidRPr="00AC6B6D">
        <w:rPr>
          <w:rFonts w:ascii="Times New Roman" w:hAnsi="Times New Roman" w:cs="Times New Roman"/>
          <w:sz w:val="24"/>
          <w:szCs w:val="24"/>
        </w:rPr>
        <w:t xml:space="preserve"> </w:t>
      </w:r>
      <w:r w:rsidRPr="00AC6B6D">
        <w:rPr>
          <w:rFonts w:ascii="Times New Roman" w:hAnsi="Times New Roman" w:cs="Times New Roman"/>
          <w:i/>
          <w:sz w:val="24"/>
          <w:szCs w:val="24"/>
        </w:rPr>
        <w:t xml:space="preserve">IG </w:t>
      </w:r>
      <w:r w:rsidRPr="00981F54">
        <w:rPr>
          <w:rFonts w:ascii="Times New Roman" w:hAnsi="Times New Roman" w:cs="Times New Roman"/>
          <w:sz w:val="24"/>
          <w:szCs w:val="24"/>
        </w:rPr>
        <w:t>1.324</w:t>
      </w:r>
      <w:r>
        <w:rPr>
          <w:rFonts w:ascii="Times New Roman" w:hAnsi="Times New Roman" w:cs="Times New Roman"/>
          <w:sz w:val="24"/>
          <w:szCs w:val="24"/>
        </w:rPr>
        <w:t>.</w:t>
      </w:r>
    </w:p>
  </w:endnote>
  <w:endnote w:id="9">
    <w:p w:rsidR="007018DF" w:rsidRPr="00AC6B6D" w:rsidRDefault="007018DF" w:rsidP="00C8526F">
      <w:pPr>
        <w:spacing w:after="0" w:line="480" w:lineRule="auto"/>
        <w:rPr>
          <w:rFonts w:ascii="Times New Roman" w:hAnsi="Times New Roman" w:cs="Times New Roman"/>
          <w:sz w:val="24"/>
          <w:szCs w:val="24"/>
        </w:rPr>
      </w:pPr>
      <w:r w:rsidRPr="00AC6B6D">
        <w:rPr>
          <w:rFonts w:ascii="Times New Roman" w:hAnsi="Times New Roman" w:cs="Times New Roman"/>
          <w:sz w:val="24"/>
          <w:szCs w:val="24"/>
          <w:vertAlign w:val="superscript"/>
        </w:rPr>
        <w:endnoteRef/>
      </w:r>
      <w:r w:rsidRPr="00AC6B6D">
        <w:rPr>
          <w:rFonts w:ascii="Times New Roman" w:hAnsi="Times New Roman" w:cs="Times New Roman"/>
          <w:sz w:val="24"/>
          <w:szCs w:val="24"/>
        </w:rPr>
        <w:t xml:space="preserve"> Randall 1953, 203. Burford </w:t>
      </w:r>
      <w:r>
        <w:rPr>
          <w:rFonts w:ascii="Times New Roman" w:hAnsi="Times New Roman" w:cs="Times New Roman"/>
          <w:sz w:val="24"/>
          <w:szCs w:val="24"/>
        </w:rPr>
        <w:t xml:space="preserve">1974, 34, </w:t>
      </w:r>
      <w:r w:rsidRPr="00AC6B6D">
        <w:rPr>
          <w:rFonts w:ascii="Times New Roman" w:hAnsi="Times New Roman" w:cs="Times New Roman"/>
          <w:sz w:val="24"/>
          <w:szCs w:val="24"/>
        </w:rPr>
        <w:t xml:space="preserve">comes to the same conclusion in her later study of the Parthenon construction. </w:t>
      </w:r>
      <w:proofErr w:type="spellStart"/>
      <w:r w:rsidRPr="00AC6B6D">
        <w:rPr>
          <w:rFonts w:ascii="Times New Roman" w:hAnsi="Times New Roman" w:cs="Times New Roman"/>
          <w:sz w:val="24"/>
          <w:szCs w:val="24"/>
        </w:rPr>
        <w:t>Mossé</w:t>
      </w:r>
      <w:proofErr w:type="spellEnd"/>
      <w:r w:rsidRPr="00AC6B6D">
        <w:rPr>
          <w:rFonts w:ascii="Times New Roman" w:hAnsi="Times New Roman" w:cs="Times New Roman"/>
          <w:sz w:val="24"/>
          <w:szCs w:val="24"/>
        </w:rPr>
        <w:t xml:space="preserve"> 1969 expresses the same sentiment, though he conflates several contributing factors. Randall addresses the high proportion of non-citizen workmen, suggesting that naval engagements drew from the reserves of citizen workmen</w:t>
      </w:r>
      <w:r>
        <w:rPr>
          <w:rFonts w:ascii="Times New Roman" w:hAnsi="Times New Roman" w:cs="Times New Roman"/>
          <w:sz w:val="24"/>
          <w:szCs w:val="24"/>
        </w:rPr>
        <w:t>,</w:t>
      </w:r>
      <w:r w:rsidRPr="00AC6B6D">
        <w:rPr>
          <w:rFonts w:ascii="Times New Roman" w:hAnsi="Times New Roman" w:cs="Times New Roman"/>
          <w:sz w:val="24"/>
          <w:szCs w:val="24"/>
        </w:rPr>
        <w:t xml:space="preserve"> contributing to the reliance upon </w:t>
      </w:r>
      <w:r w:rsidRPr="00AC6B6D">
        <w:rPr>
          <w:rFonts w:ascii="Times New Roman" w:hAnsi="Times New Roman" w:cs="Times New Roman"/>
          <w:i/>
          <w:sz w:val="24"/>
          <w:szCs w:val="24"/>
        </w:rPr>
        <w:t>metic</w:t>
      </w:r>
      <w:r w:rsidRPr="00AC6B6D">
        <w:rPr>
          <w:rFonts w:ascii="Times New Roman" w:hAnsi="Times New Roman" w:cs="Times New Roman"/>
          <w:sz w:val="24"/>
          <w:szCs w:val="24"/>
        </w:rPr>
        <w:t xml:space="preserve"> laborers. Garland </w:t>
      </w:r>
      <w:r>
        <w:rPr>
          <w:rFonts w:ascii="Times New Roman" w:hAnsi="Times New Roman" w:cs="Times New Roman"/>
          <w:sz w:val="24"/>
          <w:szCs w:val="24"/>
        </w:rPr>
        <w:t>2014</w:t>
      </w:r>
      <w:r w:rsidRPr="00AC6B6D">
        <w:rPr>
          <w:rFonts w:ascii="Times New Roman" w:hAnsi="Times New Roman" w:cs="Times New Roman"/>
          <w:sz w:val="24"/>
          <w:szCs w:val="24"/>
        </w:rPr>
        <w:t>, 163</w:t>
      </w:r>
      <w:r>
        <w:rPr>
          <w:rFonts w:ascii="Times New Roman" w:hAnsi="Times New Roman" w:cs="Times New Roman"/>
          <w:sz w:val="24"/>
          <w:szCs w:val="24"/>
        </w:rPr>
        <w:t xml:space="preserve">, </w:t>
      </w:r>
      <w:r w:rsidRPr="00AC6B6D">
        <w:rPr>
          <w:rFonts w:ascii="Times New Roman" w:hAnsi="Times New Roman" w:cs="Times New Roman"/>
          <w:sz w:val="24"/>
          <w:szCs w:val="24"/>
        </w:rPr>
        <w:t xml:space="preserve">suggests that </w:t>
      </w:r>
      <w:r w:rsidRPr="00AC6B6D">
        <w:rPr>
          <w:rFonts w:ascii="Times New Roman" w:hAnsi="Times New Roman" w:cs="Times New Roman"/>
          <w:i/>
          <w:sz w:val="24"/>
          <w:szCs w:val="24"/>
        </w:rPr>
        <w:t>metic</w:t>
      </w:r>
      <w:r w:rsidRPr="00AC6B6D">
        <w:rPr>
          <w:rFonts w:ascii="Times New Roman" w:hAnsi="Times New Roman" w:cs="Times New Roman"/>
          <w:sz w:val="24"/>
          <w:szCs w:val="24"/>
        </w:rPr>
        <w:t xml:space="preserve"> men of were also pressed into service by the Athenian state in times of war..</w:t>
      </w:r>
    </w:p>
  </w:endnote>
  <w:endnote w:id="10">
    <w:p w:rsidR="007018DF" w:rsidRPr="00AC6B6D" w:rsidRDefault="007018DF" w:rsidP="00C8526F">
      <w:pPr>
        <w:spacing w:after="0" w:line="480" w:lineRule="auto"/>
        <w:rPr>
          <w:rFonts w:ascii="Times New Roman" w:hAnsi="Times New Roman" w:cs="Times New Roman"/>
          <w:sz w:val="24"/>
          <w:szCs w:val="24"/>
        </w:rPr>
      </w:pPr>
      <w:r w:rsidRPr="00AC6B6D">
        <w:rPr>
          <w:rFonts w:ascii="Times New Roman" w:hAnsi="Times New Roman" w:cs="Times New Roman"/>
          <w:sz w:val="24"/>
          <w:szCs w:val="24"/>
          <w:vertAlign w:val="superscript"/>
        </w:rPr>
        <w:endnoteRef/>
      </w:r>
      <w:r w:rsidRPr="00AC6B6D">
        <w:rPr>
          <w:rFonts w:ascii="Times New Roman" w:hAnsi="Times New Roman" w:cs="Times New Roman"/>
          <w:sz w:val="24"/>
          <w:szCs w:val="24"/>
        </w:rPr>
        <w:t xml:space="preserve"> </w:t>
      </w:r>
      <w:proofErr w:type="spellStart"/>
      <w:r w:rsidRPr="00AC6B6D">
        <w:rPr>
          <w:rFonts w:ascii="Times New Roman" w:hAnsi="Times New Roman" w:cs="Times New Roman"/>
          <w:sz w:val="24"/>
          <w:szCs w:val="24"/>
        </w:rPr>
        <w:t>Mossé</w:t>
      </w:r>
      <w:proofErr w:type="spellEnd"/>
      <w:r w:rsidRPr="00AC6B6D">
        <w:rPr>
          <w:rFonts w:ascii="Times New Roman" w:hAnsi="Times New Roman" w:cs="Times New Roman"/>
          <w:sz w:val="24"/>
          <w:szCs w:val="24"/>
        </w:rPr>
        <w:t xml:space="preserve"> 1969, 29. </w:t>
      </w:r>
    </w:p>
  </w:endnote>
  <w:endnote w:id="11">
    <w:p w:rsidR="007018DF" w:rsidRPr="00AC6B6D" w:rsidRDefault="007018DF" w:rsidP="00C8526F">
      <w:pPr>
        <w:spacing w:after="0" w:line="480" w:lineRule="auto"/>
        <w:rPr>
          <w:rFonts w:ascii="Times New Roman" w:hAnsi="Times New Roman" w:cs="Times New Roman"/>
          <w:sz w:val="24"/>
          <w:szCs w:val="24"/>
        </w:rPr>
      </w:pPr>
      <w:r w:rsidRPr="00AC6B6D">
        <w:rPr>
          <w:rFonts w:ascii="Times New Roman" w:hAnsi="Times New Roman" w:cs="Times New Roman"/>
          <w:sz w:val="24"/>
          <w:szCs w:val="24"/>
          <w:vertAlign w:val="superscript"/>
        </w:rPr>
        <w:endnoteRef/>
      </w:r>
      <w:r w:rsidRPr="00AC6B6D">
        <w:rPr>
          <w:rFonts w:ascii="Times New Roman" w:hAnsi="Times New Roman" w:cs="Times New Roman"/>
          <w:sz w:val="24"/>
          <w:szCs w:val="24"/>
        </w:rPr>
        <w:t xml:space="preserve"> Randall 1953, 199. The famous caryatid porch had already been completed by this point. </w:t>
      </w:r>
    </w:p>
  </w:endnote>
  <w:endnote w:id="12">
    <w:p w:rsidR="007018DF" w:rsidRPr="00AC6B6D" w:rsidRDefault="007018DF" w:rsidP="00C8526F">
      <w:pPr>
        <w:spacing w:after="0" w:line="480" w:lineRule="auto"/>
        <w:rPr>
          <w:rFonts w:ascii="Times New Roman" w:hAnsi="Times New Roman" w:cs="Times New Roman"/>
          <w:sz w:val="24"/>
          <w:szCs w:val="24"/>
        </w:rPr>
      </w:pPr>
      <w:r w:rsidRPr="00AC6B6D">
        <w:rPr>
          <w:rFonts w:ascii="Times New Roman" w:hAnsi="Times New Roman" w:cs="Times New Roman"/>
          <w:sz w:val="24"/>
          <w:szCs w:val="24"/>
          <w:vertAlign w:val="superscript"/>
        </w:rPr>
        <w:endnoteRef/>
      </w:r>
      <w:r w:rsidRPr="00AC6B6D">
        <w:rPr>
          <w:rFonts w:ascii="Times New Roman" w:hAnsi="Times New Roman" w:cs="Times New Roman"/>
          <w:sz w:val="24"/>
          <w:szCs w:val="24"/>
        </w:rPr>
        <w:t xml:space="preserve"> Randall 1953, 207.</w:t>
      </w:r>
    </w:p>
  </w:endnote>
  <w:endnote w:id="13">
    <w:p w:rsidR="007018DF" w:rsidRPr="00AC6B6D" w:rsidRDefault="007018DF" w:rsidP="00C8526F">
      <w:pPr>
        <w:spacing w:after="0" w:line="480" w:lineRule="auto"/>
        <w:rPr>
          <w:rFonts w:ascii="Times New Roman" w:hAnsi="Times New Roman" w:cs="Times New Roman"/>
          <w:sz w:val="24"/>
          <w:szCs w:val="24"/>
        </w:rPr>
      </w:pPr>
      <w:r w:rsidRPr="00AC6B6D">
        <w:rPr>
          <w:rFonts w:ascii="Times New Roman" w:hAnsi="Times New Roman" w:cs="Times New Roman"/>
          <w:sz w:val="24"/>
          <w:szCs w:val="24"/>
          <w:vertAlign w:val="superscript"/>
        </w:rPr>
        <w:endnoteRef/>
      </w:r>
      <w:r w:rsidRPr="00AC6B6D">
        <w:rPr>
          <w:rFonts w:ascii="Times New Roman" w:hAnsi="Times New Roman" w:cs="Times New Roman"/>
          <w:sz w:val="24"/>
          <w:szCs w:val="24"/>
        </w:rPr>
        <w:t xml:space="preserve"> Burford 1974, 34.</w:t>
      </w:r>
    </w:p>
  </w:endnote>
  <w:endnote w:id="14">
    <w:p w:rsidR="007018DF" w:rsidRPr="00AC6B6D" w:rsidRDefault="007018DF" w:rsidP="00C8526F">
      <w:pPr>
        <w:spacing w:after="0" w:line="480" w:lineRule="auto"/>
        <w:rPr>
          <w:rFonts w:ascii="Times New Roman" w:hAnsi="Times New Roman" w:cs="Times New Roman"/>
          <w:sz w:val="24"/>
          <w:szCs w:val="24"/>
        </w:rPr>
      </w:pPr>
      <w:r w:rsidRPr="00AC6B6D">
        <w:rPr>
          <w:rFonts w:ascii="Times New Roman" w:hAnsi="Times New Roman" w:cs="Times New Roman"/>
          <w:sz w:val="24"/>
          <w:szCs w:val="24"/>
          <w:vertAlign w:val="superscript"/>
        </w:rPr>
        <w:endnoteRef/>
      </w:r>
      <w:r w:rsidRPr="00AC6B6D">
        <w:rPr>
          <w:rFonts w:ascii="Times New Roman" w:hAnsi="Times New Roman" w:cs="Times New Roman"/>
          <w:sz w:val="24"/>
          <w:szCs w:val="24"/>
        </w:rPr>
        <w:t xml:space="preserve"> MacDonald</w:t>
      </w:r>
      <w:r>
        <w:rPr>
          <w:rFonts w:ascii="Times New Roman" w:hAnsi="Times New Roman" w:cs="Times New Roman"/>
          <w:sz w:val="24"/>
          <w:szCs w:val="24"/>
        </w:rPr>
        <w:t xml:space="preserve"> 1981</w:t>
      </w:r>
      <w:r w:rsidRPr="00AC6B6D">
        <w:rPr>
          <w:rFonts w:ascii="Times New Roman" w:hAnsi="Times New Roman" w:cs="Times New Roman"/>
          <w:sz w:val="24"/>
          <w:szCs w:val="24"/>
        </w:rPr>
        <w:t xml:space="preserve"> provides a contrast between utilitarian (and more accessible) pottery and the luxury of sculpture</w:t>
      </w:r>
      <w:r>
        <w:rPr>
          <w:rFonts w:ascii="Times New Roman" w:hAnsi="Times New Roman" w:cs="Times New Roman"/>
          <w:sz w:val="24"/>
          <w:szCs w:val="24"/>
        </w:rPr>
        <w:t>,</w:t>
      </w:r>
      <w:r w:rsidRPr="00AC6B6D">
        <w:rPr>
          <w:rFonts w:ascii="Times New Roman" w:hAnsi="Times New Roman" w:cs="Times New Roman"/>
          <w:sz w:val="24"/>
          <w:szCs w:val="24"/>
        </w:rPr>
        <w:t xml:space="preserve"> which must be considered. </w:t>
      </w:r>
    </w:p>
  </w:endnote>
  <w:endnote w:id="15">
    <w:p w:rsidR="007018DF" w:rsidRPr="00AC6B6D" w:rsidRDefault="007018DF" w:rsidP="00C8526F">
      <w:pPr>
        <w:spacing w:after="0" w:line="480" w:lineRule="auto"/>
        <w:rPr>
          <w:rFonts w:ascii="Times New Roman" w:hAnsi="Times New Roman" w:cs="Times New Roman"/>
          <w:sz w:val="24"/>
          <w:szCs w:val="24"/>
        </w:rPr>
      </w:pPr>
      <w:r w:rsidRPr="00AC6B6D">
        <w:rPr>
          <w:rFonts w:ascii="Times New Roman" w:hAnsi="Times New Roman" w:cs="Times New Roman"/>
          <w:sz w:val="24"/>
          <w:szCs w:val="24"/>
          <w:vertAlign w:val="superscript"/>
        </w:rPr>
        <w:endnoteRef/>
      </w:r>
      <w:r w:rsidRPr="00AC6B6D">
        <w:rPr>
          <w:rFonts w:ascii="Times New Roman" w:hAnsi="Times New Roman" w:cs="Times New Roman"/>
          <w:sz w:val="24"/>
          <w:szCs w:val="24"/>
        </w:rPr>
        <w:t xml:space="preserve"> </w:t>
      </w:r>
      <w:proofErr w:type="spellStart"/>
      <w:r w:rsidRPr="00AC6B6D">
        <w:rPr>
          <w:rFonts w:ascii="Times New Roman" w:hAnsi="Times New Roman" w:cs="Times New Roman"/>
          <w:sz w:val="24"/>
          <w:szCs w:val="24"/>
        </w:rPr>
        <w:t>Skvoretz</w:t>
      </w:r>
      <w:proofErr w:type="spellEnd"/>
      <w:r w:rsidRPr="00AC6B6D">
        <w:rPr>
          <w:rFonts w:ascii="Times New Roman" w:hAnsi="Times New Roman" w:cs="Times New Roman"/>
          <w:sz w:val="24"/>
          <w:szCs w:val="24"/>
        </w:rPr>
        <w:t xml:space="preserve"> 1984 analyzes several competing theories but this discussion is limited to his critique of </w:t>
      </w:r>
      <w:proofErr w:type="spellStart"/>
      <w:r w:rsidRPr="002405FC">
        <w:rPr>
          <w:rFonts w:ascii="Times New Roman" w:hAnsi="Times New Roman" w:cs="Times New Roman"/>
          <w:sz w:val="24"/>
          <w:szCs w:val="24"/>
        </w:rPr>
        <w:t>Sørensen</w:t>
      </w:r>
      <w:proofErr w:type="spellEnd"/>
      <w:r w:rsidRPr="002405FC">
        <w:rPr>
          <w:rFonts w:ascii="Times New Roman" w:hAnsi="Times New Roman" w:cs="Times New Roman"/>
          <w:sz w:val="24"/>
          <w:szCs w:val="24"/>
        </w:rPr>
        <w:t xml:space="preserve"> 1976</w:t>
      </w:r>
      <w:r>
        <w:rPr>
          <w:rFonts w:ascii="Times New Roman" w:hAnsi="Times New Roman" w:cs="Times New Roman"/>
          <w:sz w:val="24"/>
          <w:szCs w:val="24"/>
        </w:rPr>
        <w:t xml:space="preserve">, </w:t>
      </w:r>
      <w:r w:rsidRPr="007018DF">
        <w:rPr>
          <w:rFonts w:ascii="Times New Roman" w:hAnsi="Times New Roman" w:cs="Times New Roman"/>
          <w:sz w:val="24"/>
          <w:szCs w:val="24"/>
        </w:rPr>
        <w:t>Cohen 1972, and White 1970.</w:t>
      </w:r>
    </w:p>
  </w:endnote>
  <w:endnote w:id="16">
    <w:p w:rsidR="007018DF" w:rsidRPr="00AC6B6D" w:rsidRDefault="007018DF" w:rsidP="00C8526F">
      <w:pPr>
        <w:spacing w:after="0" w:line="480" w:lineRule="auto"/>
        <w:rPr>
          <w:rFonts w:ascii="Times New Roman" w:hAnsi="Times New Roman" w:cs="Times New Roman"/>
          <w:sz w:val="24"/>
          <w:szCs w:val="24"/>
        </w:rPr>
      </w:pPr>
      <w:r w:rsidRPr="00AC6B6D">
        <w:rPr>
          <w:rFonts w:ascii="Times New Roman" w:hAnsi="Times New Roman" w:cs="Times New Roman"/>
          <w:sz w:val="24"/>
          <w:szCs w:val="24"/>
          <w:vertAlign w:val="superscript"/>
        </w:rPr>
        <w:endnoteRef/>
      </w:r>
      <w:r w:rsidRPr="00AC6B6D">
        <w:rPr>
          <w:rFonts w:ascii="Times New Roman" w:hAnsi="Times New Roman" w:cs="Times New Roman"/>
          <w:sz w:val="24"/>
          <w:szCs w:val="24"/>
        </w:rPr>
        <w:t xml:space="preserve"> </w:t>
      </w:r>
      <w:proofErr w:type="spellStart"/>
      <w:r w:rsidRPr="00AC6B6D">
        <w:rPr>
          <w:rFonts w:ascii="Times New Roman" w:hAnsi="Times New Roman" w:cs="Times New Roman"/>
          <w:sz w:val="24"/>
          <w:szCs w:val="24"/>
        </w:rPr>
        <w:t>Skvoretz</w:t>
      </w:r>
      <w:proofErr w:type="spellEnd"/>
      <w:r w:rsidRPr="00AC6B6D">
        <w:rPr>
          <w:rFonts w:ascii="Times New Roman" w:hAnsi="Times New Roman" w:cs="Times New Roman"/>
          <w:sz w:val="24"/>
          <w:szCs w:val="24"/>
        </w:rPr>
        <w:t xml:space="preserve"> 1984, 73.</w:t>
      </w:r>
    </w:p>
  </w:endnote>
  <w:endnote w:id="17">
    <w:p w:rsidR="007018DF" w:rsidRPr="00AC6B6D" w:rsidRDefault="007018DF" w:rsidP="00C8526F">
      <w:pPr>
        <w:spacing w:after="0" w:line="480" w:lineRule="auto"/>
        <w:rPr>
          <w:rFonts w:ascii="Times New Roman" w:hAnsi="Times New Roman" w:cs="Times New Roman"/>
          <w:sz w:val="24"/>
          <w:szCs w:val="24"/>
        </w:rPr>
      </w:pPr>
      <w:r w:rsidRPr="00AC6B6D">
        <w:rPr>
          <w:rFonts w:ascii="Times New Roman" w:hAnsi="Times New Roman" w:cs="Times New Roman"/>
          <w:sz w:val="24"/>
          <w:szCs w:val="24"/>
          <w:vertAlign w:val="superscript"/>
        </w:rPr>
        <w:endnoteRef/>
      </w:r>
      <w:r w:rsidRPr="00AC6B6D">
        <w:rPr>
          <w:rFonts w:ascii="Times New Roman" w:hAnsi="Times New Roman" w:cs="Times New Roman"/>
          <w:sz w:val="24"/>
          <w:szCs w:val="24"/>
        </w:rPr>
        <w:t xml:space="preserve"> </w:t>
      </w:r>
      <w:proofErr w:type="spellStart"/>
      <w:r w:rsidRPr="00AC6B6D">
        <w:rPr>
          <w:rFonts w:ascii="Times New Roman" w:hAnsi="Times New Roman" w:cs="Times New Roman"/>
          <w:sz w:val="24"/>
          <w:szCs w:val="24"/>
        </w:rPr>
        <w:t>Skvoretz</w:t>
      </w:r>
      <w:proofErr w:type="spellEnd"/>
      <w:r w:rsidRPr="00AC6B6D">
        <w:rPr>
          <w:rFonts w:ascii="Times New Roman" w:hAnsi="Times New Roman" w:cs="Times New Roman"/>
          <w:sz w:val="24"/>
          <w:szCs w:val="24"/>
        </w:rPr>
        <w:t xml:space="preserve"> </w:t>
      </w:r>
      <w:r>
        <w:rPr>
          <w:rFonts w:ascii="Times New Roman" w:hAnsi="Times New Roman" w:cs="Times New Roman"/>
          <w:sz w:val="24"/>
          <w:szCs w:val="24"/>
        </w:rPr>
        <w:t>(</w:t>
      </w:r>
      <w:r w:rsidRPr="00AC6B6D">
        <w:rPr>
          <w:rFonts w:ascii="Times New Roman" w:hAnsi="Times New Roman" w:cs="Times New Roman"/>
          <w:sz w:val="24"/>
          <w:szCs w:val="24"/>
        </w:rPr>
        <w:t>1984, 74</w:t>
      </w:r>
      <w:r>
        <w:rPr>
          <w:rFonts w:ascii="Times New Roman" w:hAnsi="Times New Roman" w:cs="Times New Roman"/>
          <w:sz w:val="24"/>
          <w:szCs w:val="24"/>
        </w:rPr>
        <w:t>)</w:t>
      </w:r>
      <w:r w:rsidRPr="00AC6B6D">
        <w:rPr>
          <w:rFonts w:ascii="Times New Roman" w:hAnsi="Times New Roman" w:cs="Times New Roman"/>
          <w:sz w:val="24"/>
          <w:szCs w:val="24"/>
        </w:rPr>
        <w:t xml:space="preserve"> points out that mathematical models such as </w:t>
      </w:r>
      <w:proofErr w:type="spellStart"/>
      <w:r w:rsidRPr="002405FC">
        <w:rPr>
          <w:rFonts w:ascii="Times New Roman" w:hAnsi="Times New Roman" w:cs="Times New Roman"/>
          <w:sz w:val="24"/>
          <w:szCs w:val="24"/>
        </w:rPr>
        <w:t>Sørensen</w:t>
      </w:r>
      <w:r>
        <w:rPr>
          <w:rFonts w:ascii="Times New Roman" w:hAnsi="Times New Roman" w:cs="Times New Roman"/>
          <w:sz w:val="24"/>
          <w:szCs w:val="24"/>
        </w:rPr>
        <w:t>’s</w:t>
      </w:r>
      <w:proofErr w:type="spellEnd"/>
      <w:r w:rsidRPr="002405FC">
        <w:rPr>
          <w:rFonts w:ascii="Times New Roman" w:hAnsi="Times New Roman" w:cs="Times New Roman"/>
          <w:sz w:val="24"/>
          <w:szCs w:val="24"/>
        </w:rPr>
        <w:t xml:space="preserve"> </w:t>
      </w:r>
      <w:r>
        <w:rPr>
          <w:rFonts w:ascii="Times New Roman" w:hAnsi="Times New Roman" w:cs="Times New Roman"/>
          <w:sz w:val="24"/>
          <w:szCs w:val="24"/>
        </w:rPr>
        <w:t>(</w:t>
      </w:r>
      <w:r w:rsidRPr="002405FC">
        <w:rPr>
          <w:rFonts w:ascii="Times New Roman" w:hAnsi="Times New Roman" w:cs="Times New Roman"/>
          <w:sz w:val="24"/>
          <w:szCs w:val="24"/>
        </w:rPr>
        <w:t>1976</w:t>
      </w:r>
      <w:r>
        <w:rPr>
          <w:rFonts w:ascii="Times New Roman" w:hAnsi="Times New Roman" w:cs="Times New Roman"/>
          <w:sz w:val="24"/>
          <w:szCs w:val="24"/>
        </w:rPr>
        <w:t xml:space="preserve">) </w:t>
      </w:r>
      <w:r w:rsidRPr="00AC6B6D">
        <w:rPr>
          <w:rFonts w:ascii="Times New Roman" w:hAnsi="Times New Roman" w:cs="Times New Roman"/>
          <w:sz w:val="24"/>
          <w:szCs w:val="24"/>
        </w:rPr>
        <w:t>assume potential movement only within these individual groups.</w:t>
      </w:r>
    </w:p>
  </w:endnote>
  <w:endnote w:id="18">
    <w:p w:rsidR="007018DF" w:rsidRPr="00AC6B6D" w:rsidRDefault="007018DF" w:rsidP="00C8526F">
      <w:pPr>
        <w:spacing w:after="0" w:line="480" w:lineRule="auto"/>
        <w:rPr>
          <w:rFonts w:ascii="Times New Roman" w:hAnsi="Times New Roman" w:cs="Times New Roman"/>
          <w:sz w:val="24"/>
          <w:szCs w:val="24"/>
        </w:rPr>
      </w:pPr>
      <w:r w:rsidRPr="00AC6B6D">
        <w:rPr>
          <w:rFonts w:ascii="Times New Roman" w:hAnsi="Times New Roman" w:cs="Times New Roman"/>
          <w:sz w:val="24"/>
          <w:szCs w:val="24"/>
          <w:vertAlign w:val="superscript"/>
        </w:rPr>
        <w:endnoteRef/>
      </w:r>
      <w:r w:rsidRPr="00AC6B6D">
        <w:rPr>
          <w:rFonts w:ascii="Times New Roman" w:hAnsi="Times New Roman" w:cs="Times New Roman"/>
          <w:sz w:val="24"/>
          <w:szCs w:val="24"/>
        </w:rPr>
        <w:t xml:space="preserve"> Garland 2014, 156.</w:t>
      </w:r>
    </w:p>
  </w:endnote>
  <w:endnote w:id="19">
    <w:p w:rsidR="007018DF" w:rsidRPr="00AC6B6D" w:rsidRDefault="007018DF" w:rsidP="00C8526F">
      <w:pPr>
        <w:spacing w:after="0" w:line="480" w:lineRule="auto"/>
        <w:rPr>
          <w:rFonts w:ascii="Times New Roman" w:hAnsi="Times New Roman" w:cs="Times New Roman"/>
          <w:sz w:val="24"/>
          <w:szCs w:val="24"/>
        </w:rPr>
      </w:pPr>
      <w:r w:rsidRPr="00AC6B6D">
        <w:rPr>
          <w:rFonts w:ascii="Times New Roman" w:hAnsi="Times New Roman" w:cs="Times New Roman"/>
          <w:sz w:val="24"/>
          <w:szCs w:val="24"/>
          <w:vertAlign w:val="superscript"/>
        </w:rPr>
        <w:endnoteRef/>
      </w:r>
      <w:r w:rsidRPr="00AC6B6D">
        <w:rPr>
          <w:rFonts w:ascii="Times New Roman" w:hAnsi="Times New Roman" w:cs="Times New Roman"/>
          <w:sz w:val="24"/>
          <w:szCs w:val="24"/>
        </w:rPr>
        <w:t xml:space="preserve"> Randall 1953, 203. </w:t>
      </w:r>
    </w:p>
  </w:endnote>
  <w:endnote w:id="20">
    <w:p w:rsidR="007018DF" w:rsidRPr="00AC6B6D" w:rsidRDefault="007018DF" w:rsidP="00C8526F">
      <w:pPr>
        <w:spacing w:after="0" w:line="480" w:lineRule="auto"/>
        <w:rPr>
          <w:rFonts w:ascii="Times New Roman" w:hAnsi="Times New Roman" w:cs="Times New Roman"/>
          <w:sz w:val="24"/>
          <w:szCs w:val="24"/>
        </w:rPr>
      </w:pPr>
      <w:r w:rsidRPr="00AC6B6D">
        <w:rPr>
          <w:rFonts w:ascii="Times New Roman" w:hAnsi="Times New Roman" w:cs="Times New Roman"/>
          <w:sz w:val="24"/>
          <w:szCs w:val="24"/>
          <w:vertAlign w:val="superscript"/>
        </w:rPr>
        <w:endnoteRef/>
      </w:r>
      <w:r w:rsidRPr="00AC6B6D">
        <w:rPr>
          <w:rFonts w:ascii="Times New Roman" w:hAnsi="Times New Roman" w:cs="Times New Roman"/>
          <w:sz w:val="24"/>
          <w:szCs w:val="24"/>
        </w:rPr>
        <w:t xml:space="preserve"> Sargent 1924, 40. </w:t>
      </w:r>
    </w:p>
  </w:endnote>
  <w:endnote w:id="21">
    <w:p w:rsidR="007018DF" w:rsidRPr="00AC6B6D" w:rsidRDefault="007018DF" w:rsidP="00C8526F">
      <w:pPr>
        <w:spacing w:after="0" w:line="480" w:lineRule="auto"/>
        <w:rPr>
          <w:rFonts w:ascii="Times New Roman" w:hAnsi="Times New Roman" w:cs="Times New Roman"/>
          <w:sz w:val="24"/>
          <w:szCs w:val="24"/>
        </w:rPr>
      </w:pPr>
      <w:r w:rsidRPr="00AC6B6D">
        <w:rPr>
          <w:rFonts w:ascii="Times New Roman" w:hAnsi="Times New Roman" w:cs="Times New Roman"/>
          <w:sz w:val="24"/>
          <w:szCs w:val="24"/>
          <w:vertAlign w:val="superscript"/>
        </w:rPr>
        <w:endnoteRef/>
      </w:r>
      <w:r w:rsidRPr="00AC6B6D">
        <w:rPr>
          <w:rFonts w:ascii="Times New Roman" w:hAnsi="Times New Roman" w:cs="Times New Roman"/>
          <w:sz w:val="24"/>
          <w:szCs w:val="24"/>
        </w:rPr>
        <w:t xml:space="preserve"> </w:t>
      </w:r>
      <w:r w:rsidRPr="00981F54">
        <w:rPr>
          <w:rFonts w:ascii="Times New Roman" w:hAnsi="Times New Roman" w:cs="Times New Roman"/>
          <w:i/>
          <w:sz w:val="24"/>
          <w:szCs w:val="24"/>
        </w:rPr>
        <w:t>IG</w:t>
      </w:r>
      <w:r w:rsidRPr="00AC6B6D">
        <w:rPr>
          <w:rFonts w:ascii="Times New Roman" w:hAnsi="Times New Roman" w:cs="Times New Roman"/>
          <w:sz w:val="24"/>
          <w:szCs w:val="24"/>
        </w:rPr>
        <w:t xml:space="preserve"> </w:t>
      </w:r>
      <w:proofErr w:type="spellStart"/>
      <w:r w:rsidRPr="00AC6B6D">
        <w:rPr>
          <w:rFonts w:ascii="Times New Roman" w:hAnsi="Times New Roman" w:cs="Times New Roman"/>
          <w:sz w:val="24"/>
          <w:szCs w:val="24"/>
        </w:rPr>
        <w:t>2.834b</w:t>
      </w:r>
      <w:proofErr w:type="spellEnd"/>
      <w:r>
        <w:rPr>
          <w:rFonts w:ascii="Times New Roman" w:hAnsi="Times New Roman" w:cs="Times New Roman"/>
          <w:sz w:val="24"/>
          <w:szCs w:val="24"/>
        </w:rPr>
        <w:t>–</w:t>
      </w:r>
      <w:r w:rsidRPr="00AC6B6D">
        <w:rPr>
          <w:rFonts w:ascii="Times New Roman" w:hAnsi="Times New Roman" w:cs="Times New Roman"/>
          <w:sz w:val="24"/>
          <w:szCs w:val="24"/>
        </w:rPr>
        <w:t>c; 4.2.834b.</w:t>
      </w:r>
    </w:p>
  </w:endnote>
  <w:endnote w:id="22">
    <w:p w:rsidR="007018DF" w:rsidRPr="00AC6B6D" w:rsidRDefault="007018DF" w:rsidP="00C8526F">
      <w:pPr>
        <w:spacing w:after="0" w:line="480" w:lineRule="auto"/>
        <w:rPr>
          <w:rFonts w:ascii="Times New Roman" w:hAnsi="Times New Roman" w:cs="Times New Roman"/>
          <w:sz w:val="24"/>
          <w:szCs w:val="24"/>
        </w:rPr>
      </w:pPr>
      <w:r w:rsidRPr="00AC6B6D">
        <w:rPr>
          <w:rFonts w:ascii="Times New Roman" w:hAnsi="Times New Roman" w:cs="Times New Roman"/>
          <w:sz w:val="24"/>
          <w:szCs w:val="24"/>
          <w:vertAlign w:val="superscript"/>
        </w:rPr>
        <w:endnoteRef/>
      </w:r>
      <w:r w:rsidRPr="00AC6B6D">
        <w:rPr>
          <w:rFonts w:ascii="Times New Roman" w:hAnsi="Times New Roman" w:cs="Times New Roman"/>
          <w:sz w:val="24"/>
          <w:szCs w:val="24"/>
        </w:rPr>
        <w:t xml:space="preserve"> Randall 1953, 203.</w:t>
      </w:r>
    </w:p>
  </w:endnote>
  <w:endnote w:id="23">
    <w:p w:rsidR="007018DF" w:rsidRPr="00AC6B6D" w:rsidRDefault="007018DF" w:rsidP="00C8526F">
      <w:pPr>
        <w:spacing w:after="0" w:line="480" w:lineRule="auto"/>
        <w:rPr>
          <w:rFonts w:ascii="Times New Roman" w:hAnsi="Times New Roman" w:cs="Times New Roman"/>
          <w:sz w:val="24"/>
          <w:szCs w:val="24"/>
        </w:rPr>
      </w:pPr>
      <w:r w:rsidRPr="00AC6B6D">
        <w:rPr>
          <w:rFonts w:ascii="Times New Roman" w:hAnsi="Times New Roman" w:cs="Times New Roman"/>
          <w:sz w:val="24"/>
          <w:szCs w:val="24"/>
          <w:vertAlign w:val="superscript"/>
        </w:rPr>
        <w:endnoteRef/>
      </w:r>
      <w:r w:rsidRPr="00AC6B6D">
        <w:rPr>
          <w:rFonts w:ascii="Times New Roman" w:hAnsi="Times New Roman" w:cs="Times New Roman"/>
          <w:sz w:val="24"/>
          <w:szCs w:val="24"/>
        </w:rPr>
        <w:t xml:space="preserve"> Randall’s assertion is based on commentary by </w:t>
      </w:r>
      <w:proofErr w:type="spellStart"/>
      <w:r>
        <w:rPr>
          <w:rFonts w:ascii="Times New Roman" w:hAnsi="Times New Roman" w:cs="Times New Roman"/>
          <w:sz w:val="24"/>
          <w:szCs w:val="24"/>
        </w:rPr>
        <w:t>Dinsmoor</w:t>
      </w:r>
      <w:proofErr w:type="spellEnd"/>
      <w:r>
        <w:rPr>
          <w:rFonts w:ascii="Times New Roman" w:hAnsi="Times New Roman" w:cs="Times New Roman"/>
          <w:sz w:val="24"/>
          <w:szCs w:val="24"/>
        </w:rPr>
        <w:t xml:space="preserve"> 1950</w:t>
      </w:r>
      <w:r w:rsidRPr="00AC6B6D">
        <w:rPr>
          <w:rFonts w:ascii="Times New Roman" w:hAnsi="Times New Roman" w:cs="Times New Roman"/>
          <w:sz w:val="24"/>
          <w:szCs w:val="24"/>
        </w:rPr>
        <w:t xml:space="preserve">, who noted a correlation in building construction between the Erechtheion and the Nereid Monument at </w:t>
      </w:r>
      <w:proofErr w:type="spellStart"/>
      <w:r w:rsidRPr="00AC6B6D">
        <w:rPr>
          <w:rFonts w:ascii="Times New Roman" w:hAnsi="Times New Roman" w:cs="Times New Roman"/>
          <w:sz w:val="24"/>
          <w:szCs w:val="24"/>
        </w:rPr>
        <w:t>Xanthos</w:t>
      </w:r>
      <w:proofErr w:type="spellEnd"/>
      <w:r w:rsidRPr="00AC6B6D">
        <w:rPr>
          <w:rFonts w:ascii="Times New Roman" w:hAnsi="Times New Roman" w:cs="Times New Roman"/>
          <w:sz w:val="24"/>
          <w:szCs w:val="24"/>
        </w:rPr>
        <w:t>.</w:t>
      </w:r>
      <w:bookmarkStart w:id="0" w:name="_GoBack"/>
      <w:bookmarkEnd w:id="0"/>
    </w:p>
  </w:endnote>
  <w:endnote w:id="24">
    <w:p w:rsidR="007018DF" w:rsidRPr="00AC6B6D" w:rsidRDefault="007018DF" w:rsidP="00C8526F">
      <w:pPr>
        <w:spacing w:after="0" w:line="480" w:lineRule="auto"/>
        <w:rPr>
          <w:rFonts w:ascii="Times New Roman" w:hAnsi="Times New Roman" w:cs="Times New Roman"/>
          <w:sz w:val="24"/>
          <w:szCs w:val="24"/>
        </w:rPr>
      </w:pPr>
      <w:r w:rsidRPr="00AC6B6D">
        <w:rPr>
          <w:rFonts w:ascii="Times New Roman" w:hAnsi="Times New Roman" w:cs="Times New Roman"/>
          <w:sz w:val="24"/>
          <w:szCs w:val="24"/>
          <w:vertAlign w:val="superscript"/>
        </w:rPr>
        <w:endnoteRef/>
      </w:r>
      <w:r w:rsidRPr="00AC6B6D">
        <w:rPr>
          <w:rFonts w:ascii="Times New Roman" w:hAnsi="Times New Roman" w:cs="Times New Roman"/>
          <w:sz w:val="24"/>
          <w:szCs w:val="24"/>
        </w:rPr>
        <w:t xml:space="preserve"> Stewart 2015, 43. Stewart and Ma</w:t>
      </w:r>
      <w:r>
        <w:rPr>
          <w:rFonts w:ascii="Times New Roman" w:hAnsi="Times New Roman" w:cs="Times New Roman"/>
          <w:sz w:val="24"/>
          <w:szCs w:val="24"/>
        </w:rPr>
        <w:t xml:space="preserve"> </w:t>
      </w:r>
      <w:r w:rsidRPr="00AC6B6D">
        <w:rPr>
          <w:rFonts w:ascii="Times New Roman" w:hAnsi="Times New Roman" w:cs="Times New Roman"/>
          <w:sz w:val="24"/>
          <w:szCs w:val="24"/>
        </w:rPr>
        <w:t>2013 provid</w:t>
      </w:r>
      <w:r>
        <w:rPr>
          <w:rFonts w:ascii="Times New Roman" w:hAnsi="Times New Roman" w:cs="Times New Roman"/>
          <w:sz w:val="24"/>
          <w:szCs w:val="24"/>
        </w:rPr>
        <w:t>e</w:t>
      </w:r>
      <w:r w:rsidRPr="00AC6B6D">
        <w:rPr>
          <w:rFonts w:ascii="Times New Roman" w:hAnsi="Times New Roman" w:cs="Times New Roman"/>
          <w:sz w:val="24"/>
          <w:szCs w:val="24"/>
        </w:rPr>
        <w:t xml:space="preserve"> a general idea of material costs, though exact conclusions are difficult to draw due to the small sample of available data. </w:t>
      </w:r>
    </w:p>
  </w:endnote>
  <w:endnote w:id="25">
    <w:p w:rsidR="007018DF" w:rsidRPr="00AC6B6D" w:rsidRDefault="007018DF" w:rsidP="00C8526F">
      <w:pPr>
        <w:spacing w:after="0" w:line="480" w:lineRule="auto"/>
        <w:rPr>
          <w:rFonts w:ascii="Times New Roman" w:hAnsi="Times New Roman" w:cs="Times New Roman"/>
          <w:sz w:val="24"/>
          <w:szCs w:val="24"/>
        </w:rPr>
      </w:pPr>
      <w:r w:rsidRPr="00AC6B6D">
        <w:rPr>
          <w:rFonts w:ascii="Times New Roman" w:hAnsi="Times New Roman" w:cs="Times New Roman"/>
          <w:sz w:val="24"/>
          <w:szCs w:val="24"/>
          <w:vertAlign w:val="superscript"/>
        </w:rPr>
        <w:endnoteRef/>
      </w:r>
      <w:r w:rsidRPr="00AC6B6D">
        <w:rPr>
          <w:rFonts w:ascii="Times New Roman" w:hAnsi="Times New Roman" w:cs="Times New Roman"/>
          <w:sz w:val="24"/>
          <w:szCs w:val="24"/>
        </w:rPr>
        <w:t xml:space="preserve"> </w:t>
      </w:r>
      <w:proofErr w:type="spellStart"/>
      <w:r w:rsidRPr="007018DF">
        <w:rPr>
          <w:rFonts w:ascii="Times New Roman" w:hAnsi="Times New Roman" w:cs="Times New Roman"/>
          <w:sz w:val="24"/>
          <w:szCs w:val="24"/>
        </w:rPr>
        <w:t>Kantzia</w:t>
      </w:r>
      <w:proofErr w:type="spellEnd"/>
      <w:r w:rsidRPr="007018DF">
        <w:rPr>
          <w:rFonts w:ascii="Times New Roman" w:hAnsi="Times New Roman" w:cs="Times New Roman"/>
          <w:sz w:val="24"/>
          <w:szCs w:val="24"/>
        </w:rPr>
        <w:t xml:space="preserve"> 1989; Zimmer</w:t>
      </w:r>
      <w:r>
        <w:rPr>
          <w:rFonts w:ascii="Times New Roman" w:hAnsi="Times New Roman" w:cs="Times New Roman"/>
          <w:sz w:val="24"/>
          <w:szCs w:val="24"/>
        </w:rPr>
        <w:t xml:space="preserve"> 1990.</w:t>
      </w:r>
      <w:r w:rsidRPr="00AC6B6D">
        <w:rPr>
          <w:rFonts w:ascii="Times New Roman" w:hAnsi="Times New Roman" w:cs="Times New Roman"/>
          <w:sz w:val="24"/>
          <w:szCs w:val="24"/>
        </w:rPr>
        <w:t xml:space="preserve"> Materials left behind in the pits suggest that they were used on multiple occasions.</w:t>
      </w:r>
    </w:p>
  </w:endnote>
  <w:endnote w:id="26">
    <w:p w:rsidR="007018DF" w:rsidRPr="00AC6B6D" w:rsidRDefault="007018DF" w:rsidP="00C8526F">
      <w:pPr>
        <w:spacing w:after="0" w:line="480" w:lineRule="auto"/>
        <w:rPr>
          <w:rFonts w:ascii="Times New Roman" w:hAnsi="Times New Roman" w:cs="Times New Roman"/>
          <w:sz w:val="24"/>
          <w:szCs w:val="24"/>
        </w:rPr>
      </w:pPr>
      <w:r w:rsidRPr="00AC6B6D">
        <w:rPr>
          <w:rFonts w:ascii="Times New Roman" w:hAnsi="Times New Roman" w:cs="Times New Roman"/>
          <w:sz w:val="24"/>
          <w:szCs w:val="24"/>
          <w:vertAlign w:val="superscript"/>
        </w:rPr>
        <w:endnoteRef/>
      </w:r>
      <w:r w:rsidRPr="00AC6B6D">
        <w:rPr>
          <w:rFonts w:ascii="Times New Roman" w:hAnsi="Times New Roman" w:cs="Times New Roman"/>
          <w:sz w:val="24"/>
          <w:szCs w:val="24"/>
        </w:rPr>
        <w:t xml:space="preserve"> Goodlett 1991, 676</w:t>
      </w:r>
      <w:r>
        <w:rPr>
          <w:rFonts w:ascii="Times New Roman" w:hAnsi="Times New Roman" w:cs="Times New Roman"/>
          <w:sz w:val="24"/>
          <w:szCs w:val="24"/>
        </w:rPr>
        <w:t>,</w:t>
      </w:r>
      <w:r w:rsidRPr="00AC6B6D">
        <w:rPr>
          <w:rFonts w:ascii="Times New Roman" w:hAnsi="Times New Roman" w:cs="Times New Roman"/>
          <w:sz w:val="24"/>
          <w:szCs w:val="24"/>
        </w:rPr>
        <w:t xml:space="preserve"> points out that the </w:t>
      </w:r>
      <w:proofErr w:type="spellStart"/>
      <w:r w:rsidRPr="00AC6B6D">
        <w:rPr>
          <w:rFonts w:ascii="Times New Roman" w:hAnsi="Times New Roman" w:cs="Times New Roman"/>
          <w:sz w:val="24"/>
          <w:szCs w:val="24"/>
        </w:rPr>
        <w:t>Mnasitimos</w:t>
      </w:r>
      <w:proofErr w:type="spellEnd"/>
      <w:r w:rsidRPr="00AC6B6D">
        <w:rPr>
          <w:rFonts w:ascii="Times New Roman" w:hAnsi="Times New Roman" w:cs="Times New Roman"/>
          <w:sz w:val="24"/>
          <w:szCs w:val="24"/>
        </w:rPr>
        <w:t xml:space="preserve"> family hired outside sculptors </w:t>
      </w:r>
      <w:proofErr w:type="spellStart"/>
      <w:r w:rsidRPr="00AC6B6D">
        <w:rPr>
          <w:rFonts w:ascii="Times New Roman" w:hAnsi="Times New Roman" w:cs="Times New Roman"/>
          <w:sz w:val="24"/>
          <w:szCs w:val="24"/>
        </w:rPr>
        <w:t>Menippos</w:t>
      </w:r>
      <w:proofErr w:type="spellEnd"/>
      <w:r w:rsidRPr="00AC6B6D">
        <w:rPr>
          <w:rFonts w:ascii="Times New Roman" w:hAnsi="Times New Roman" w:cs="Times New Roman"/>
          <w:sz w:val="24"/>
          <w:szCs w:val="24"/>
        </w:rPr>
        <w:t xml:space="preserve"> of Kos and </w:t>
      </w:r>
      <w:proofErr w:type="spellStart"/>
      <w:r w:rsidRPr="00AC6B6D">
        <w:rPr>
          <w:rFonts w:ascii="Times New Roman" w:hAnsi="Times New Roman" w:cs="Times New Roman"/>
          <w:sz w:val="24"/>
          <w:szCs w:val="24"/>
        </w:rPr>
        <w:t>Eukles</w:t>
      </w:r>
      <w:proofErr w:type="spellEnd"/>
      <w:r w:rsidRPr="00AC6B6D">
        <w:rPr>
          <w:rFonts w:ascii="Times New Roman" w:hAnsi="Times New Roman" w:cs="Times New Roman"/>
          <w:sz w:val="24"/>
          <w:szCs w:val="24"/>
        </w:rPr>
        <w:t xml:space="preserve"> of </w:t>
      </w:r>
      <w:proofErr w:type="spellStart"/>
      <w:r w:rsidRPr="00AC6B6D">
        <w:rPr>
          <w:rFonts w:ascii="Times New Roman" w:hAnsi="Times New Roman" w:cs="Times New Roman"/>
          <w:sz w:val="24"/>
          <w:szCs w:val="24"/>
        </w:rPr>
        <w:t>Mylasa</w:t>
      </w:r>
      <w:proofErr w:type="spellEnd"/>
      <w:r w:rsidRPr="00AC6B6D">
        <w:rPr>
          <w:rFonts w:ascii="Times New Roman" w:hAnsi="Times New Roman" w:cs="Times New Roman"/>
          <w:sz w:val="24"/>
          <w:szCs w:val="24"/>
        </w:rPr>
        <w:t>.</w:t>
      </w:r>
    </w:p>
  </w:endnote>
  <w:endnote w:id="27">
    <w:p w:rsidR="007018DF" w:rsidRPr="00AC6B6D" w:rsidRDefault="007018DF" w:rsidP="00C8526F">
      <w:pPr>
        <w:spacing w:after="0" w:line="480" w:lineRule="auto"/>
        <w:rPr>
          <w:rFonts w:ascii="Times New Roman" w:hAnsi="Times New Roman" w:cs="Times New Roman"/>
          <w:sz w:val="24"/>
          <w:szCs w:val="24"/>
        </w:rPr>
      </w:pPr>
      <w:r w:rsidRPr="00AC6B6D">
        <w:rPr>
          <w:rFonts w:ascii="Times New Roman" w:hAnsi="Times New Roman" w:cs="Times New Roman"/>
          <w:sz w:val="24"/>
          <w:szCs w:val="24"/>
          <w:vertAlign w:val="superscript"/>
        </w:rPr>
        <w:endnoteRef/>
      </w:r>
      <w:r w:rsidRPr="00AC6B6D">
        <w:rPr>
          <w:rFonts w:ascii="Times New Roman" w:hAnsi="Times New Roman" w:cs="Times New Roman"/>
          <w:sz w:val="24"/>
          <w:szCs w:val="24"/>
        </w:rPr>
        <w:t xml:space="preserve"> Pliny</w:t>
      </w:r>
      <w:r>
        <w:rPr>
          <w:rFonts w:ascii="Times New Roman" w:hAnsi="Times New Roman" w:cs="Times New Roman"/>
          <w:i/>
          <w:sz w:val="24"/>
          <w:szCs w:val="24"/>
        </w:rPr>
        <w:t xml:space="preserve"> Naturalis </w:t>
      </w:r>
      <w:proofErr w:type="spellStart"/>
      <w:r>
        <w:rPr>
          <w:rFonts w:ascii="Times New Roman" w:hAnsi="Times New Roman" w:cs="Times New Roman"/>
          <w:i/>
          <w:sz w:val="24"/>
          <w:szCs w:val="24"/>
        </w:rPr>
        <w:t>historia</w:t>
      </w:r>
      <w:proofErr w:type="spellEnd"/>
      <w:r w:rsidRPr="00AC6B6D">
        <w:rPr>
          <w:rFonts w:ascii="Times New Roman" w:hAnsi="Times New Roman" w:cs="Times New Roman"/>
          <w:i/>
          <w:sz w:val="24"/>
          <w:szCs w:val="24"/>
        </w:rPr>
        <w:t xml:space="preserve"> </w:t>
      </w:r>
      <w:r w:rsidRPr="00AC6B6D">
        <w:rPr>
          <w:rFonts w:ascii="Times New Roman" w:hAnsi="Times New Roman" w:cs="Times New Roman"/>
          <w:sz w:val="24"/>
          <w:szCs w:val="24"/>
        </w:rPr>
        <w:t xml:space="preserve">34.36 asserts that 3,000 bronze statues remained on Rhodes in the first century AD, some two hundred years after the city’s fall from power. </w:t>
      </w:r>
    </w:p>
  </w:endnote>
  <w:endnote w:id="28">
    <w:p w:rsidR="007018DF" w:rsidRPr="00AC6B6D" w:rsidRDefault="007018DF" w:rsidP="00C8526F">
      <w:pPr>
        <w:spacing w:after="0" w:line="480" w:lineRule="auto"/>
        <w:rPr>
          <w:rFonts w:ascii="Times New Roman" w:hAnsi="Times New Roman" w:cs="Times New Roman"/>
          <w:sz w:val="24"/>
          <w:szCs w:val="24"/>
        </w:rPr>
      </w:pPr>
      <w:r w:rsidRPr="00AC6B6D">
        <w:rPr>
          <w:rFonts w:ascii="Times New Roman" w:hAnsi="Times New Roman" w:cs="Times New Roman"/>
          <w:sz w:val="24"/>
          <w:szCs w:val="24"/>
          <w:vertAlign w:val="superscript"/>
        </w:rPr>
        <w:endnoteRef/>
      </w:r>
      <w:r w:rsidRPr="00AC6B6D">
        <w:rPr>
          <w:rFonts w:ascii="Times New Roman" w:hAnsi="Times New Roman" w:cs="Times New Roman"/>
          <w:sz w:val="24"/>
          <w:szCs w:val="24"/>
        </w:rPr>
        <w:t xml:space="preserve"> There is a brief spike in </w:t>
      </w:r>
      <w:proofErr w:type="spellStart"/>
      <w:r w:rsidRPr="00AC6B6D">
        <w:rPr>
          <w:rFonts w:ascii="Times New Roman" w:hAnsi="Times New Roman" w:cs="Times New Roman"/>
          <w:sz w:val="24"/>
          <w:szCs w:val="24"/>
        </w:rPr>
        <w:t>Rhodian</w:t>
      </w:r>
      <w:proofErr w:type="spellEnd"/>
      <w:r w:rsidRPr="00AC6B6D">
        <w:rPr>
          <w:rFonts w:ascii="Times New Roman" w:hAnsi="Times New Roman" w:cs="Times New Roman"/>
          <w:sz w:val="24"/>
          <w:szCs w:val="24"/>
        </w:rPr>
        <w:t xml:space="preserve"> sculptors from 100 to 50 BE, which </w:t>
      </w:r>
      <w:proofErr w:type="spellStart"/>
      <w:r w:rsidRPr="00AC6B6D">
        <w:rPr>
          <w:rFonts w:ascii="Times New Roman" w:hAnsi="Times New Roman" w:cs="Times New Roman"/>
          <w:sz w:val="24"/>
          <w:szCs w:val="24"/>
        </w:rPr>
        <w:t>Goodlett</w:t>
      </w:r>
      <w:proofErr w:type="spellEnd"/>
      <w:r w:rsidRPr="00AC6B6D">
        <w:rPr>
          <w:rFonts w:ascii="Times New Roman" w:hAnsi="Times New Roman" w:cs="Times New Roman"/>
          <w:sz w:val="24"/>
          <w:szCs w:val="24"/>
        </w:rPr>
        <w:t xml:space="preserve"> </w:t>
      </w:r>
      <w:r>
        <w:rPr>
          <w:rFonts w:ascii="Times New Roman" w:hAnsi="Times New Roman" w:cs="Times New Roman"/>
          <w:sz w:val="24"/>
          <w:szCs w:val="24"/>
        </w:rPr>
        <w:t>attributes</w:t>
      </w:r>
      <w:r w:rsidRPr="00AC6B6D">
        <w:rPr>
          <w:rFonts w:ascii="Times New Roman" w:hAnsi="Times New Roman" w:cs="Times New Roman"/>
          <w:sz w:val="24"/>
          <w:szCs w:val="24"/>
        </w:rPr>
        <w:t xml:space="preserve"> to </w:t>
      </w:r>
      <w:proofErr w:type="spellStart"/>
      <w:r w:rsidRPr="00AC6B6D">
        <w:rPr>
          <w:rFonts w:ascii="Times New Roman" w:hAnsi="Times New Roman" w:cs="Times New Roman"/>
          <w:i/>
          <w:sz w:val="24"/>
          <w:szCs w:val="24"/>
        </w:rPr>
        <w:t>metic</w:t>
      </w:r>
      <w:proofErr w:type="spellEnd"/>
      <w:r w:rsidRPr="00AC6B6D">
        <w:rPr>
          <w:rFonts w:ascii="Times New Roman" w:hAnsi="Times New Roman" w:cs="Times New Roman"/>
          <w:sz w:val="24"/>
          <w:szCs w:val="24"/>
        </w:rPr>
        <w:t xml:space="preserve"> sculptors gaining citizenship, a rare event</w:t>
      </w:r>
      <w:r w:rsidRPr="007018DF">
        <w:rPr>
          <w:rFonts w:ascii="Times New Roman" w:hAnsi="Times New Roman" w:cs="Times New Roman"/>
          <w:sz w:val="24"/>
          <w:szCs w:val="24"/>
        </w:rPr>
        <w:t xml:space="preserve">. </w:t>
      </w:r>
      <w:proofErr w:type="spellStart"/>
      <w:r w:rsidRPr="007018DF">
        <w:rPr>
          <w:rFonts w:ascii="Times New Roman" w:hAnsi="Times New Roman" w:cs="Times New Roman"/>
          <w:sz w:val="24"/>
          <w:szCs w:val="24"/>
        </w:rPr>
        <w:t>Rostovtzeff</w:t>
      </w:r>
      <w:proofErr w:type="spellEnd"/>
      <w:r w:rsidRPr="007018DF">
        <w:rPr>
          <w:rFonts w:ascii="Times New Roman" w:hAnsi="Times New Roman" w:cs="Times New Roman"/>
          <w:sz w:val="24"/>
          <w:szCs w:val="24"/>
        </w:rPr>
        <w:t xml:space="preserve"> ([1941] 1953, 689) argues</w:t>
      </w:r>
      <w:r w:rsidRPr="00AC6B6D">
        <w:rPr>
          <w:rFonts w:ascii="Times New Roman" w:hAnsi="Times New Roman" w:cs="Times New Roman"/>
          <w:sz w:val="24"/>
          <w:szCs w:val="24"/>
        </w:rPr>
        <w:t xml:space="preserve"> against any precedent</w:t>
      </w:r>
      <w:r>
        <w:rPr>
          <w:rFonts w:ascii="Times New Roman" w:hAnsi="Times New Roman" w:cs="Times New Roman"/>
          <w:sz w:val="24"/>
          <w:szCs w:val="24"/>
        </w:rPr>
        <w:t xml:space="preserve"> of full citizenship</w:t>
      </w:r>
      <w:r w:rsidRPr="00AC6B6D">
        <w:rPr>
          <w:rFonts w:ascii="Times New Roman" w:hAnsi="Times New Roman" w:cs="Times New Roman"/>
          <w:sz w:val="24"/>
          <w:szCs w:val="24"/>
        </w:rPr>
        <w:t xml:space="preserve">.  </w:t>
      </w:r>
    </w:p>
  </w:endnote>
  <w:endnote w:id="29">
    <w:p w:rsidR="007018DF" w:rsidRPr="00AC6B6D" w:rsidRDefault="007018DF" w:rsidP="00C8526F">
      <w:pPr>
        <w:spacing w:after="0" w:line="480" w:lineRule="auto"/>
        <w:rPr>
          <w:rFonts w:ascii="Times New Roman" w:hAnsi="Times New Roman" w:cs="Times New Roman"/>
          <w:sz w:val="24"/>
          <w:szCs w:val="24"/>
        </w:rPr>
      </w:pPr>
      <w:r w:rsidRPr="00AC6B6D">
        <w:rPr>
          <w:rFonts w:ascii="Times New Roman" w:hAnsi="Times New Roman" w:cs="Times New Roman"/>
          <w:sz w:val="24"/>
          <w:szCs w:val="24"/>
          <w:vertAlign w:val="superscript"/>
        </w:rPr>
        <w:endnoteRef/>
      </w:r>
      <w:r w:rsidRPr="00AC6B6D">
        <w:rPr>
          <w:rFonts w:ascii="Times New Roman" w:hAnsi="Times New Roman" w:cs="Times New Roman"/>
          <w:sz w:val="24"/>
          <w:szCs w:val="24"/>
        </w:rPr>
        <w:t xml:space="preserve"> Goodlett 1991, 675. </w:t>
      </w:r>
      <w:r>
        <w:rPr>
          <w:rFonts w:ascii="Times New Roman" w:hAnsi="Times New Roman" w:cs="Times New Roman"/>
          <w:sz w:val="24"/>
          <w:szCs w:val="24"/>
        </w:rPr>
        <w:t xml:space="preserve">The small size of </w:t>
      </w:r>
      <w:proofErr w:type="spellStart"/>
      <w:r w:rsidRPr="00AC6B6D">
        <w:rPr>
          <w:rFonts w:ascii="Times New Roman" w:hAnsi="Times New Roman" w:cs="Times New Roman"/>
          <w:sz w:val="24"/>
          <w:szCs w:val="24"/>
        </w:rPr>
        <w:t>Goodlett’s</w:t>
      </w:r>
      <w:proofErr w:type="spellEnd"/>
      <w:r w:rsidRPr="00AC6B6D">
        <w:rPr>
          <w:rFonts w:ascii="Times New Roman" w:hAnsi="Times New Roman" w:cs="Times New Roman"/>
          <w:sz w:val="24"/>
          <w:szCs w:val="24"/>
        </w:rPr>
        <w:t xml:space="preserve"> sample raises important questions; however, I would suggest that her general hypotheses remain sound. </w:t>
      </w:r>
    </w:p>
  </w:endnote>
  <w:endnote w:id="30">
    <w:p w:rsidR="007018DF" w:rsidRPr="00AC6B6D" w:rsidRDefault="007018DF" w:rsidP="00C8526F">
      <w:pPr>
        <w:spacing w:after="0" w:line="480" w:lineRule="auto"/>
        <w:rPr>
          <w:rFonts w:ascii="Times New Roman" w:hAnsi="Times New Roman" w:cs="Times New Roman"/>
          <w:sz w:val="24"/>
          <w:szCs w:val="24"/>
        </w:rPr>
      </w:pPr>
      <w:r w:rsidRPr="00AC6B6D">
        <w:rPr>
          <w:rFonts w:ascii="Times New Roman" w:hAnsi="Times New Roman" w:cs="Times New Roman"/>
          <w:sz w:val="24"/>
          <w:szCs w:val="24"/>
          <w:vertAlign w:val="superscript"/>
        </w:rPr>
        <w:endnoteRef/>
      </w:r>
      <w:r w:rsidRPr="00AC6B6D">
        <w:rPr>
          <w:rFonts w:ascii="Times New Roman" w:hAnsi="Times New Roman" w:cs="Times New Roman"/>
          <w:sz w:val="24"/>
          <w:szCs w:val="24"/>
        </w:rPr>
        <w:t xml:space="preserve"> </w:t>
      </w:r>
      <w:r w:rsidRPr="00AC6B6D">
        <w:rPr>
          <w:rFonts w:ascii="Times New Roman" w:eastAsia="Open Sans" w:hAnsi="Times New Roman" w:cs="Times New Roman"/>
          <w:i/>
          <w:sz w:val="24"/>
          <w:szCs w:val="24"/>
        </w:rPr>
        <w:t>IG</w:t>
      </w:r>
      <w:r w:rsidRPr="00AC6B6D">
        <w:rPr>
          <w:rFonts w:ascii="Times New Roman" w:eastAsia="Open Sans" w:hAnsi="Times New Roman" w:cs="Times New Roman"/>
          <w:sz w:val="24"/>
          <w:szCs w:val="24"/>
        </w:rPr>
        <w:t xml:space="preserve"> 12.9.196, 198. Ma </w:t>
      </w:r>
      <w:r>
        <w:rPr>
          <w:rFonts w:ascii="Times New Roman" w:eastAsia="Open Sans" w:hAnsi="Times New Roman" w:cs="Times New Roman"/>
          <w:sz w:val="24"/>
          <w:szCs w:val="24"/>
        </w:rPr>
        <w:t xml:space="preserve">(2013, </w:t>
      </w:r>
      <w:r>
        <w:rPr>
          <w:rFonts w:ascii="Times New Roman" w:eastAsia="Open Sans" w:hAnsi="Times New Roman" w:cs="Times New Roman"/>
          <w:sz w:val="24"/>
          <w:szCs w:val="24"/>
        </w:rPr>
        <w:t>244)</w:t>
      </w:r>
      <w:r w:rsidRPr="00AC6B6D">
        <w:rPr>
          <w:rFonts w:ascii="Times New Roman" w:eastAsia="Open Sans" w:hAnsi="Times New Roman" w:cs="Times New Roman"/>
          <w:sz w:val="24"/>
          <w:szCs w:val="24"/>
        </w:rPr>
        <w:t xml:space="preserve"> lists numerous instances in which specific costs appear on the associated statue base.</w:t>
      </w:r>
    </w:p>
  </w:endnote>
  <w:endnote w:id="31">
    <w:p w:rsidR="007018DF" w:rsidRPr="00AC6B6D" w:rsidRDefault="007018DF" w:rsidP="00C8526F">
      <w:pPr>
        <w:spacing w:after="0" w:line="480" w:lineRule="auto"/>
        <w:rPr>
          <w:rFonts w:ascii="Times New Roman" w:hAnsi="Times New Roman" w:cs="Times New Roman"/>
          <w:sz w:val="24"/>
          <w:szCs w:val="24"/>
        </w:rPr>
      </w:pPr>
      <w:r w:rsidRPr="00AC6B6D">
        <w:rPr>
          <w:rFonts w:ascii="Times New Roman" w:hAnsi="Times New Roman" w:cs="Times New Roman"/>
          <w:sz w:val="24"/>
          <w:szCs w:val="24"/>
          <w:vertAlign w:val="superscript"/>
        </w:rPr>
        <w:endnoteRef/>
      </w:r>
      <w:r w:rsidRPr="00AC6B6D">
        <w:rPr>
          <w:rFonts w:ascii="Times New Roman" w:hAnsi="Times New Roman" w:cs="Times New Roman"/>
          <w:sz w:val="24"/>
          <w:szCs w:val="24"/>
        </w:rPr>
        <w:t xml:space="preserve"> Goodlett 1991, 679.</w:t>
      </w:r>
    </w:p>
  </w:endnote>
  <w:endnote w:id="32">
    <w:p w:rsidR="007018DF" w:rsidRPr="00AC6B6D" w:rsidRDefault="007018DF" w:rsidP="00C8526F">
      <w:pPr>
        <w:spacing w:after="0" w:line="480" w:lineRule="auto"/>
        <w:rPr>
          <w:rFonts w:ascii="Times New Roman" w:hAnsi="Times New Roman" w:cs="Times New Roman"/>
          <w:sz w:val="24"/>
          <w:szCs w:val="24"/>
        </w:rPr>
      </w:pPr>
      <w:r w:rsidRPr="00AC6B6D">
        <w:rPr>
          <w:rFonts w:ascii="Times New Roman" w:hAnsi="Times New Roman" w:cs="Times New Roman"/>
          <w:sz w:val="24"/>
          <w:szCs w:val="24"/>
          <w:vertAlign w:val="superscript"/>
        </w:rPr>
        <w:endnoteRef/>
      </w:r>
      <w:r w:rsidRPr="00AC6B6D">
        <w:rPr>
          <w:rFonts w:ascii="Times New Roman" w:hAnsi="Times New Roman" w:cs="Times New Roman"/>
          <w:sz w:val="24"/>
          <w:szCs w:val="24"/>
        </w:rPr>
        <w:t xml:space="preserve"> See </w:t>
      </w:r>
      <w:proofErr w:type="spellStart"/>
      <w:r w:rsidRPr="00AC6B6D">
        <w:rPr>
          <w:rFonts w:ascii="Times New Roman" w:hAnsi="Times New Roman" w:cs="Times New Roman"/>
          <w:sz w:val="24"/>
          <w:szCs w:val="24"/>
        </w:rPr>
        <w:t>Gabrielsen</w:t>
      </w:r>
      <w:proofErr w:type="spellEnd"/>
      <w:r w:rsidRPr="00AC6B6D">
        <w:rPr>
          <w:rFonts w:ascii="Times New Roman" w:hAnsi="Times New Roman" w:cs="Times New Roman"/>
          <w:sz w:val="24"/>
          <w:szCs w:val="24"/>
        </w:rPr>
        <w:t xml:space="preserve"> 1997.</w:t>
      </w:r>
    </w:p>
    <w:p w:rsidR="007018DF" w:rsidRPr="00AC6B6D" w:rsidRDefault="007018DF" w:rsidP="00C8526F">
      <w:pPr>
        <w:spacing w:after="0" w:line="480" w:lineRule="auto"/>
        <w:rPr>
          <w:rFonts w:ascii="Times New Roman" w:hAnsi="Times New Roman" w:cs="Times New Roman"/>
          <w:sz w:val="24"/>
          <w:szCs w:val="24"/>
        </w:rPr>
      </w:pP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auto"/>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Open Sans">
    <w:charset w:val="00"/>
    <w:family w:val="swiss"/>
    <w:pitch w:val="variable"/>
    <w:sig w:usb0="E00002EF" w:usb1="4000205B" w:usb2="00000028"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DokChampa">
    <w:panose1 w:val="020B0604020202020204"/>
    <w:charset w:val="00"/>
    <w:family w:val="swiss"/>
    <w:pitch w:val="variable"/>
    <w:sig w:usb0="03000003" w:usb1="00000000" w:usb2="00000000" w:usb3="00000000" w:csb0="0001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018DF" w:rsidRDefault="007018DF">
      <w:pPr>
        <w:spacing w:after="0" w:line="240" w:lineRule="auto"/>
      </w:pPr>
      <w:r>
        <w:separator/>
      </w:r>
    </w:p>
  </w:footnote>
  <w:footnote w:type="continuationSeparator" w:id="0">
    <w:p w:rsidR="007018DF" w:rsidRDefault="007018DF">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5"/>
  <w:displayBackgroundShape/>
  <w:proofState w:spelling="clean"/>
  <w:defaultTabStop w:val="720"/>
  <w:characterSpacingControl w:val="doNotCompress"/>
  <w:footnotePr>
    <w:footnote w:id="-1"/>
    <w:footnote w:id="0"/>
  </w:footnotePr>
  <w:endnotePr>
    <w:numFmt w:val="decimal"/>
    <w:endnote w:id="-1"/>
    <w:endnote w:id="0"/>
  </w:endnotePr>
  <w:compat/>
  <w:rsids>
    <w:rsidRoot w:val="00F1774F"/>
    <w:rsid w:val="00054ABA"/>
    <w:rsid w:val="00067435"/>
    <w:rsid w:val="000C4EE5"/>
    <w:rsid w:val="000C7E58"/>
    <w:rsid w:val="0012005C"/>
    <w:rsid w:val="00120615"/>
    <w:rsid w:val="00124DEB"/>
    <w:rsid w:val="001250B5"/>
    <w:rsid w:val="00180F6F"/>
    <w:rsid w:val="00180FC6"/>
    <w:rsid w:val="00195984"/>
    <w:rsid w:val="001A7370"/>
    <w:rsid w:val="002857C8"/>
    <w:rsid w:val="002C2D7D"/>
    <w:rsid w:val="002E6CA7"/>
    <w:rsid w:val="002F52C4"/>
    <w:rsid w:val="00314FCB"/>
    <w:rsid w:val="00317420"/>
    <w:rsid w:val="00321D6C"/>
    <w:rsid w:val="00375100"/>
    <w:rsid w:val="00377B66"/>
    <w:rsid w:val="003C10A2"/>
    <w:rsid w:val="00404144"/>
    <w:rsid w:val="0044462B"/>
    <w:rsid w:val="004757E7"/>
    <w:rsid w:val="00477BFC"/>
    <w:rsid w:val="004A7B61"/>
    <w:rsid w:val="004B2A9B"/>
    <w:rsid w:val="004E6B76"/>
    <w:rsid w:val="004F631D"/>
    <w:rsid w:val="00502045"/>
    <w:rsid w:val="0051666D"/>
    <w:rsid w:val="00536676"/>
    <w:rsid w:val="005512AC"/>
    <w:rsid w:val="00590837"/>
    <w:rsid w:val="00595242"/>
    <w:rsid w:val="005A4514"/>
    <w:rsid w:val="0061776F"/>
    <w:rsid w:val="00621FE4"/>
    <w:rsid w:val="00664E1A"/>
    <w:rsid w:val="006D11A9"/>
    <w:rsid w:val="007018DF"/>
    <w:rsid w:val="00727242"/>
    <w:rsid w:val="007A1314"/>
    <w:rsid w:val="007E2847"/>
    <w:rsid w:val="00842A8F"/>
    <w:rsid w:val="00867275"/>
    <w:rsid w:val="00870536"/>
    <w:rsid w:val="00891627"/>
    <w:rsid w:val="008A61D2"/>
    <w:rsid w:val="008B7585"/>
    <w:rsid w:val="008C78AC"/>
    <w:rsid w:val="008D338D"/>
    <w:rsid w:val="00915F4C"/>
    <w:rsid w:val="00920F11"/>
    <w:rsid w:val="00931701"/>
    <w:rsid w:val="00957064"/>
    <w:rsid w:val="00981F54"/>
    <w:rsid w:val="00983655"/>
    <w:rsid w:val="009D4991"/>
    <w:rsid w:val="009E6799"/>
    <w:rsid w:val="009E7810"/>
    <w:rsid w:val="009F59F8"/>
    <w:rsid w:val="00A01ABD"/>
    <w:rsid w:val="00A2620B"/>
    <w:rsid w:val="00A41BA5"/>
    <w:rsid w:val="00A671FE"/>
    <w:rsid w:val="00AB5216"/>
    <w:rsid w:val="00AC6B6D"/>
    <w:rsid w:val="00B213D7"/>
    <w:rsid w:val="00B24FA1"/>
    <w:rsid w:val="00B5288E"/>
    <w:rsid w:val="00B846B8"/>
    <w:rsid w:val="00B95400"/>
    <w:rsid w:val="00BA00C7"/>
    <w:rsid w:val="00BB6077"/>
    <w:rsid w:val="00BE19A6"/>
    <w:rsid w:val="00C23542"/>
    <w:rsid w:val="00C341CB"/>
    <w:rsid w:val="00C4524E"/>
    <w:rsid w:val="00C505B5"/>
    <w:rsid w:val="00C8526F"/>
    <w:rsid w:val="00CA1C6A"/>
    <w:rsid w:val="00CB15A6"/>
    <w:rsid w:val="00CC1A42"/>
    <w:rsid w:val="00CC37F2"/>
    <w:rsid w:val="00CC4DD6"/>
    <w:rsid w:val="00D06F67"/>
    <w:rsid w:val="00D115BD"/>
    <w:rsid w:val="00D33E8E"/>
    <w:rsid w:val="00D42E62"/>
    <w:rsid w:val="00D457A5"/>
    <w:rsid w:val="00D524E8"/>
    <w:rsid w:val="00DD1776"/>
    <w:rsid w:val="00DE2B83"/>
    <w:rsid w:val="00E4515E"/>
    <w:rsid w:val="00E5403A"/>
    <w:rsid w:val="00E84021"/>
    <w:rsid w:val="00E85283"/>
    <w:rsid w:val="00EC54CF"/>
    <w:rsid w:val="00EF7AB4"/>
    <w:rsid w:val="00F14250"/>
    <w:rsid w:val="00F1774F"/>
    <w:rsid w:val="00F20729"/>
    <w:rsid w:val="00F443DD"/>
    <w:rsid w:val="00F44D18"/>
    <w:rsid w:val="00F5628D"/>
    <w:rsid w:val="00F721CE"/>
    <w:rsid w:val="00F80F61"/>
    <w:rsid w:val="00FD7A62"/>
  </w:rsids>
  <m:mathPr>
    <m:mathFont m:val="Cambria Math"/>
    <m:brkBin m:val="before"/>
    <m:brkBinSub m:val="--"/>
    <m:smallFrac m:val="off"/>
    <m:dispDef/>
    <m:lMargin m:val="0"/>
    <m:rMargin m:val="0"/>
    <m:defJc m:val="centerGroup"/>
    <m:wrapIndent m:val="1440"/>
    <m:intLim m:val="subSup"/>
    <m:naryLim m:val="undOvr"/>
  </m:mathPr>
  <w:themeFontLang w:val="en-US" w:eastAsia="ja-JP" w:bidi="lo-L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83655"/>
  </w:style>
  <w:style w:type="paragraph" w:styleId="Heading1">
    <w:name w:val="heading 1"/>
    <w:basedOn w:val="Normal"/>
    <w:next w:val="Normal"/>
    <w:rsid w:val="00983655"/>
    <w:pPr>
      <w:keepNext/>
      <w:keepLines/>
      <w:spacing w:before="480" w:after="120"/>
      <w:contextualSpacing/>
      <w:outlineLvl w:val="0"/>
    </w:pPr>
    <w:rPr>
      <w:b/>
      <w:sz w:val="48"/>
      <w:szCs w:val="48"/>
    </w:rPr>
  </w:style>
  <w:style w:type="paragraph" w:styleId="Heading2">
    <w:name w:val="heading 2"/>
    <w:basedOn w:val="Normal"/>
    <w:next w:val="Normal"/>
    <w:rsid w:val="00983655"/>
    <w:pPr>
      <w:keepNext/>
      <w:keepLines/>
      <w:spacing w:before="360" w:after="80"/>
      <w:contextualSpacing/>
      <w:outlineLvl w:val="1"/>
    </w:pPr>
    <w:rPr>
      <w:b/>
      <w:sz w:val="36"/>
      <w:szCs w:val="36"/>
    </w:rPr>
  </w:style>
  <w:style w:type="paragraph" w:styleId="Heading3">
    <w:name w:val="heading 3"/>
    <w:basedOn w:val="Normal"/>
    <w:next w:val="Normal"/>
    <w:rsid w:val="00983655"/>
    <w:pPr>
      <w:keepNext/>
      <w:keepLines/>
      <w:spacing w:before="280" w:after="80"/>
      <w:contextualSpacing/>
      <w:outlineLvl w:val="2"/>
    </w:pPr>
    <w:rPr>
      <w:b/>
      <w:sz w:val="28"/>
      <w:szCs w:val="28"/>
    </w:rPr>
  </w:style>
  <w:style w:type="paragraph" w:styleId="Heading4">
    <w:name w:val="heading 4"/>
    <w:basedOn w:val="Normal"/>
    <w:next w:val="Normal"/>
    <w:rsid w:val="00983655"/>
    <w:pPr>
      <w:keepNext/>
      <w:keepLines/>
      <w:spacing w:before="240" w:after="40"/>
      <w:contextualSpacing/>
      <w:outlineLvl w:val="3"/>
    </w:pPr>
    <w:rPr>
      <w:b/>
      <w:sz w:val="24"/>
      <w:szCs w:val="24"/>
    </w:rPr>
  </w:style>
  <w:style w:type="paragraph" w:styleId="Heading5">
    <w:name w:val="heading 5"/>
    <w:basedOn w:val="Normal"/>
    <w:next w:val="Normal"/>
    <w:rsid w:val="00983655"/>
    <w:pPr>
      <w:keepNext/>
      <w:keepLines/>
      <w:spacing w:before="220" w:after="40"/>
      <w:contextualSpacing/>
      <w:outlineLvl w:val="4"/>
    </w:pPr>
    <w:rPr>
      <w:b/>
    </w:rPr>
  </w:style>
  <w:style w:type="paragraph" w:styleId="Heading6">
    <w:name w:val="heading 6"/>
    <w:basedOn w:val="Normal"/>
    <w:next w:val="Normal"/>
    <w:rsid w:val="00983655"/>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983655"/>
    <w:pPr>
      <w:keepNext/>
      <w:keepLines/>
      <w:spacing w:before="480" w:after="120"/>
      <w:contextualSpacing/>
    </w:pPr>
    <w:rPr>
      <w:b/>
      <w:sz w:val="72"/>
      <w:szCs w:val="72"/>
    </w:rPr>
  </w:style>
  <w:style w:type="paragraph" w:styleId="Subtitle">
    <w:name w:val="Subtitle"/>
    <w:basedOn w:val="Normal"/>
    <w:next w:val="Normal"/>
    <w:rsid w:val="00983655"/>
    <w:pPr>
      <w:keepNext/>
      <w:keepLines/>
      <w:spacing w:before="360" w:after="80"/>
      <w:contextualSpacing/>
    </w:pPr>
    <w:rPr>
      <w:rFonts w:ascii="Georgia" w:eastAsia="Georgia" w:hAnsi="Georgia" w:cs="Georgia"/>
      <w:i/>
      <w:color w:val="666666"/>
      <w:sz w:val="48"/>
      <w:szCs w:val="48"/>
    </w:rPr>
  </w:style>
  <w:style w:type="paragraph" w:styleId="EndnoteText">
    <w:name w:val="endnote text"/>
    <w:basedOn w:val="Normal"/>
    <w:link w:val="EndnoteTextChar"/>
    <w:uiPriority w:val="99"/>
    <w:semiHidden/>
    <w:unhideWhenUsed/>
    <w:rsid w:val="00C8526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8526F"/>
    <w:rPr>
      <w:sz w:val="20"/>
      <w:szCs w:val="20"/>
    </w:rPr>
  </w:style>
  <w:style w:type="paragraph" w:styleId="FootnoteText">
    <w:name w:val="footnote text"/>
    <w:basedOn w:val="Normal"/>
    <w:link w:val="FootnoteTextChar"/>
    <w:uiPriority w:val="99"/>
    <w:semiHidden/>
    <w:unhideWhenUsed/>
    <w:rsid w:val="00C8526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8526F"/>
    <w:rPr>
      <w:sz w:val="20"/>
      <w:szCs w:val="20"/>
    </w:rPr>
  </w:style>
  <w:style w:type="character" w:styleId="EndnoteReference">
    <w:name w:val="endnote reference"/>
    <w:basedOn w:val="DefaultParagraphFont"/>
    <w:uiPriority w:val="99"/>
    <w:semiHidden/>
    <w:unhideWhenUsed/>
    <w:rsid w:val="00C8526F"/>
    <w:rPr>
      <w:vertAlign w:val="superscript"/>
    </w:rPr>
  </w:style>
  <w:style w:type="character" w:styleId="FootnoteReference">
    <w:name w:val="footnote reference"/>
    <w:basedOn w:val="DefaultParagraphFont"/>
    <w:uiPriority w:val="99"/>
    <w:semiHidden/>
    <w:unhideWhenUsed/>
    <w:rsid w:val="00C8526F"/>
    <w:rPr>
      <w:vertAlign w:val="superscript"/>
    </w:rPr>
  </w:style>
  <w:style w:type="paragraph" w:styleId="NormalWeb">
    <w:name w:val="Normal (Web)"/>
    <w:basedOn w:val="Normal"/>
    <w:uiPriority w:val="99"/>
    <w:unhideWhenUsed/>
    <w:rsid w:val="00664E1A"/>
    <w:pPr>
      <w:spacing w:before="100" w:beforeAutospacing="1" w:after="100" w:afterAutospacing="1" w:line="240" w:lineRule="auto"/>
    </w:pPr>
    <w:rPr>
      <w:rFonts w:ascii="Times" w:hAnsi="Times" w:cs="Times New Roman"/>
      <w:color w:val="auto"/>
      <w:sz w:val="20"/>
      <w:szCs w:val="20"/>
    </w:rPr>
  </w:style>
  <w:style w:type="paragraph" w:styleId="BalloonText">
    <w:name w:val="Balloon Text"/>
    <w:basedOn w:val="Normal"/>
    <w:link w:val="BalloonTextChar"/>
    <w:uiPriority w:val="99"/>
    <w:semiHidden/>
    <w:unhideWhenUsed/>
    <w:rsid w:val="00C4524E"/>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4524E"/>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A01ABD"/>
    <w:rPr>
      <w:sz w:val="18"/>
      <w:szCs w:val="18"/>
    </w:rPr>
  </w:style>
  <w:style w:type="paragraph" w:styleId="CommentText">
    <w:name w:val="annotation text"/>
    <w:basedOn w:val="Normal"/>
    <w:link w:val="CommentTextChar"/>
    <w:uiPriority w:val="99"/>
    <w:semiHidden/>
    <w:unhideWhenUsed/>
    <w:rsid w:val="00A01ABD"/>
    <w:pPr>
      <w:spacing w:line="240" w:lineRule="auto"/>
    </w:pPr>
    <w:rPr>
      <w:sz w:val="24"/>
      <w:szCs w:val="24"/>
    </w:rPr>
  </w:style>
  <w:style w:type="character" w:customStyle="1" w:styleId="CommentTextChar">
    <w:name w:val="Comment Text Char"/>
    <w:basedOn w:val="DefaultParagraphFont"/>
    <w:link w:val="CommentText"/>
    <w:uiPriority w:val="99"/>
    <w:semiHidden/>
    <w:rsid w:val="00A01ABD"/>
    <w:rPr>
      <w:sz w:val="24"/>
      <w:szCs w:val="24"/>
    </w:rPr>
  </w:style>
  <w:style w:type="paragraph" w:styleId="CommentSubject">
    <w:name w:val="annotation subject"/>
    <w:basedOn w:val="CommentText"/>
    <w:next w:val="CommentText"/>
    <w:link w:val="CommentSubjectChar"/>
    <w:uiPriority w:val="99"/>
    <w:semiHidden/>
    <w:unhideWhenUsed/>
    <w:rsid w:val="00A01ABD"/>
    <w:rPr>
      <w:b/>
      <w:bCs/>
      <w:sz w:val="20"/>
      <w:szCs w:val="20"/>
    </w:rPr>
  </w:style>
  <w:style w:type="character" w:customStyle="1" w:styleId="CommentSubjectChar">
    <w:name w:val="Comment Subject Char"/>
    <w:basedOn w:val="CommentTextChar"/>
    <w:link w:val="CommentSubject"/>
    <w:uiPriority w:val="99"/>
    <w:semiHidden/>
    <w:rsid w:val="00A01ABD"/>
    <w:rPr>
      <w:b/>
      <w:bCs/>
      <w:sz w:val="20"/>
      <w:szCs w:val="20"/>
    </w:rPr>
  </w:style>
  <w:style w:type="character" w:styleId="Hyperlink">
    <w:name w:val="Hyperlink"/>
    <w:basedOn w:val="DefaultParagraphFont"/>
    <w:uiPriority w:val="99"/>
    <w:semiHidden/>
    <w:unhideWhenUsed/>
    <w:rsid w:val="004757E7"/>
    <w:rPr>
      <w:color w:val="0000FF"/>
      <w:u w:val="single"/>
    </w:rPr>
  </w:style>
  <w:style w:type="character" w:styleId="FollowedHyperlink">
    <w:name w:val="FollowedHyperlink"/>
    <w:basedOn w:val="DefaultParagraphFont"/>
    <w:uiPriority w:val="99"/>
    <w:semiHidden/>
    <w:unhideWhenUsed/>
    <w:rsid w:val="00915F4C"/>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4506776">
      <w:bodyDiv w:val="1"/>
      <w:marLeft w:val="0"/>
      <w:marRight w:val="0"/>
      <w:marTop w:val="0"/>
      <w:marBottom w:val="0"/>
      <w:divBdr>
        <w:top w:val="none" w:sz="0" w:space="0" w:color="auto"/>
        <w:left w:val="none" w:sz="0" w:space="0" w:color="auto"/>
        <w:bottom w:val="none" w:sz="0" w:space="0" w:color="auto"/>
        <w:right w:val="none" w:sz="0" w:space="0" w:color="auto"/>
      </w:divBdr>
    </w:div>
    <w:div w:id="442961801">
      <w:bodyDiv w:val="1"/>
      <w:marLeft w:val="0"/>
      <w:marRight w:val="0"/>
      <w:marTop w:val="0"/>
      <w:marBottom w:val="0"/>
      <w:divBdr>
        <w:top w:val="none" w:sz="0" w:space="0" w:color="auto"/>
        <w:left w:val="none" w:sz="0" w:space="0" w:color="auto"/>
        <w:bottom w:val="none" w:sz="0" w:space="0" w:color="auto"/>
        <w:right w:val="none" w:sz="0" w:space="0" w:color="auto"/>
      </w:divBdr>
    </w:div>
    <w:div w:id="786004015">
      <w:bodyDiv w:val="1"/>
      <w:marLeft w:val="0"/>
      <w:marRight w:val="0"/>
      <w:marTop w:val="0"/>
      <w:marBottom w:val="0"/>
      <w:divBdr>
        <w:top w:val="none" w:sz="0" w:space="0" w:color="auto"/>
        <w:left w:val="none" w:sz="0" w:space="0" w:color="auto"/>
        <w:bottom w:val="none" w:sz="0" w:space="0" w:color="auto"/>
        <w:right w:val="none" w:sz="0" w:space="0" w:color="auto"/>
      </w:divBdr>
    </w:div>
    <w:div w:id="956986675">
      <w:bodyDiv w:val="1"/>
      <w:marLeft w:val="0"/>
      <w:marRight w:val="0"/>
      <w:marTop w:val="0"/>
      <w:marBottom w:val="0"/>
      <w:divBdr>
        <w:top w:val="none" w:sz="0" w:space="0" w:color="auto"/>
        <w:left w:val="none" w:sz="0" w:space="0" w:color="auto"/>
        <w:bottom w:val="none" w:sz="0" w:space="0" w:color="auto"/>
        <w:right w:val="none" w:sz="0" w:space="0" w:color="auto"/>
      </w:divBdr>
    </w:div>
    <w:div w:id="1260214685">
      <w:bodyDiv w:val="1"/>
      <w:marLeft w:val="0"/>
      <w:marRight w:val="0"/>
      <w:marTop w:val="0"/>
      <w:marBottom w:val="0"/>
      <w:divBdr>
        <w:top w:val="none" w:sz="0" w:space="0" w:color="auto"/>
        <w:left w:val="none" w:sz="0" w:space="0" w:color="auto"/>
        <w:bottom w:val="none" w:sz="0" w:space="0" w:color="auto"/>
        <w:right w:val="none" w:sz="0" w:space="0" w:color="auto"/>
      </w:divBdr>
    </w:div>
    <w:div w:id="1545562341">
      <w:bodyDiv w:val="1"/>
      <w:marLeft w:val="0"/>
      <w:marRight w:val="0"/>
      <w:marTop w:val="0"/>
      <w:marBottom w:val="0"/>
      <w:divBdr>
        <w:top w:val="none" w:sz="0" w:space="0" w:color="auto"/>
        <w:left w:val="none" w:sz="0" w:space="0" w:color="auto"/>
        <w:bottom w:val="none" w:sz="0" w:space="0" w:color="auto"/>
        <w:right w:val="none" w:sz="0" w:space="0" w:color="auto"/>
      </w:divBdr>
    </w:div>
    <w:div w:id="2066636738">
      <w:bodyDiv w:val="1"/>
      <w:marLeft w:val="0"/>
      <w:marRight w:val="0"/>
      <w:marTop w:val="0"/>
      <w:marBottom w:val="0"/>
      <w:divBdr>
        <w:top w:val="none" w:sz="0" w:space="0" w:color="auto"/>
        <w:left w:val="none" w:sz="0" w:space="0" w:color="auto"/>
        <w:bottom w:val="none" w:sz="0" w:space="0" w:color="auto"/>
        <w:right w:val="none" w:sz="0" w:space="0" w:color="auto"/>
      </w:divBdr>
    </w:div>
    <w:div w:id="21119262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0751A4-B867-4083-A683-9729E760EC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3013</Words>
  <Characters>17177</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Indiana University</Company>
  <LinksUpToDate>false</LinksUpToDate>
  <CharactersWithSpaces>20150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Robin</dc:creator>
  <cp:lastModifiedBy>Robin</cp:lastModifiedBy>
  <cp:revision>2</cp:revision>
  <dcterms:created xsi:type="dcterms:W3CDTF">2017-02-01T19:31:00Z</dcterms:created>
  <dcterms:modified xsi:type="dcterms:W3CDTF">2017-02-01T19:31:00Z</dcterms:modified>
</cp:coreProperties>
</file>