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32" w:rsidRDefault="003901E7" w:rsidP="00EA6D32">
      <w:pPr>
        <w:autoSpaceDE w:val="0"/>
        <w:autoSpaceDN w:val="0"/>
        <w:adjustRightInd w:val="0"/>
        <w:spacing w:line="360" w:lineRule="auto"/>
        <w:rPr>
          <w:b/>
          <w:sz w:val="24"/>
          <w:szCs w:val="24"/>
        </w:rPr>
      </w:pPr>
      <w:r>
        <w:rPr>
          <w:b/>
          <w:sz w:val="24"/>
          <w:szCs w:val="24"/>
        </w:rPr>
        <w:t>[title]</w:t>
      </w:r>
      <w:r w:rsidR="00700B6C" w:rsidRPr="003901E7">
        <w:rPr>
          <w:b/>
          <w:sz w:val="24"/>
          <w:szCs w:val="24"/>
        </w:rPr>
        <w:t xml:space="preserve">A </w:t>
      </w:r>
      <w:commentRangeStart w:id="0"/>
      <w:r w:rsidR="00700B6C" w:rsidRPr="003901E7">
        <w:rPr>
          <w:b/>
          <w:sz w:val="24"/>
          <w:szCs w:val="24"/>
        </w:rPr>
        <w:t xml:space="preserve">Defined Protocol </w:t>
      </w:r>
      <w:commentRangeEnd w:id="0"/>
      <w:r w:rsidR="00700B6C" w:rsidRPr="003901E7">
        <w:rPr>
          <w:rStyle w:val="CommentReference"/>
          <w:rFonts w:eastAsia="Calibri"/>
          <w:sz w:val="24"/>
          <w:szCs w:val="24"/>
          <w:lang w:eastAsia="el-GR"/>
        </w:rPr>
        <w:commentReference w:id="0"/>
      </w:r>
      <w:commentRangeStart w:id="1"/>
      <w:r w:rsidR="00700B6C" w:rsidRPr="003901E7">
        <w:rPr>
          <w:b/>
          <w:sz w:val="24"/>
          <w:szCs w:val="24"/>
        </w:rPr>
        <w:t xml:space="preserve">for </w:t>
      </w:r>
      <w:r w:rsidR="00700B6C" w:rsidRPr="00C36C84">
        <w:rPr>
          <w:b/>
          <w:i/>
          <w:sz w:val="24"/>
          <w:szCs w:val="24"/>
        </w:rPr>
        <w:t>I</w:t>
      </w:r>
      <w:commentRangeEnd w:id="1"/>
      <w:r w:rsidR="00843D73" w:rsidRPr="00C36C84">
        <w:rPr>
          <w:rStyle w:val="CommentReference"/>
          <w:rFonts w:eastAsia="Calibri"/>
          <w:i/>
          <w:lang w:eastAsia="el-GR"/>
        </w:rPr>
        <w:commentReference w:id="1"/>
      </w:r>
      <w:r w:rsidR="003C4D7A" w:rsidRPr="00C36C84">
        <w:rPr>
          <w:b/>
          <w:i/>
          <w:sz w:val="24"/>
          <w:szCs w:val="24"/>
        </w:rPr>
        <w:t>n</w:t>
      </w:r>
      <w:r w:rsidR="003C4D7A" w:rsidRPr="003901E7">
        <w:rPr>
          <w:b/>
          <w:sz w:val="24"/>
          <w:szCs w:val="24"/>
        </w:rPr>
        <w:t>-</w:t>
      </w:r>
      <w:r w:rsidR="003C4D7A" w:rsidRPr="003901E7">
        <w:rPr>
          <w:b/>
          <w:i/>
          <w:sz w:val="24"/>
          <w:szCs w:val="24"/>
        </w:rPr>
        <w:t>situ</w:t>
      </w:r>
      <w:r w:rsidR="00700B6C" w:rsidRPr="003901E7">
        <w:rPr>
          <w:b/>
          <w:sz w:val="24"/>
          <w:szCs w:val="24"/>
        </w:rPr>
        <w:t xml:space="preserve"> Micro-XRF Compositional Analysis of Bronze F</w:t>
      </w:r>
      <w:r w:rsidR="003C4D7A" w:rsidRPr="003901E7">
        <w:rPr>
          <w:b/>
          <w:sz w:val="24"/>
          <w:szCs w:val="24"/>
        </w:rPr>
        <w:t>igurines from the National Museum of Damascus, Syria</w:t>
      </w:r>
    </w:p>
    <w:p w:rsidR="00EA6D32" w:rsidRDefault="00EA6D32" w:rsidP="00EA6D32">
      <w:pPr>
        <w:autoSpaceDE w:val="0"/>
        <w:autoSpaceDN w:val="0"/>
        <w:adjustRightInd w:val="0"/>
        <w:spacing w:line="360" w:lineRule="auto"/>
        <w:rPr>
          <w:b/>
          <w:sz w:val="24"/>
          <w:szCs w:val="24"/>
        </w:rPr>
      </w:pPr>
    </w:p>
    <w:p w:rsidR="00EA6D32" w:rsidRDefault="00EA6D32" w:rsidP="00EA6D32">
      <w:pPr>
        <w:pStyle w:val="author"/>
        <w:rPr>
          <w:color w:val="000000"/>
          <w:szCs w:val="24"/>
          <w:vertAlign w:val="superscript"/>
        </w:rPr>
      </w:pPr>
      <w:r>
        <w:rPr>
          <w:color w:val="000000"/>
          <w:szCs w:val="24"/>
        </w:rPr>
        <w:t>[author</w:t>
      </w:r>
      <w:r w:rsidR="003901E7">
        <w:rPr>
          <w:color w:val="000000"/>
          <w:szCs w:val="24"/>
        </w:rPr>
        <w:t>]</w:t>
      </w:r>
      <w:r w:rsidR="003C4D7A" w:rsidRPr="003901E7">
        <w:rPr>
          <w:color w:val="000000"/>
          <w:szCs w:val="24"/>
        </w:rPr>
        <w:t>V. Kantarelou</w:t>
      </w:r>
    </w:p>
    <w:p w:rsidR="00EA6D32" w:rsidRPr="00EA6D32" w:rsidRDefault="00EA6D32" w:rsidP="00EA6D32">
      <w:pPr>
        <w:pStyle w:val="affiliation"/>
        <w:spacing w:before="0" w:line="360" w:lineRule="auto"/>
        <w:contextualSpacing/>
        <w:rPr>
          <w:i w:val="0"/>
          <w:color w:val="000000"/>
          <w:szCs w:val="24"/>
        </w:rPr>
      </w:pPr>
      <w:r>
        <w:rPr>
          <w:i w:val="0"/>
          <w:color w:val="000000"/>
          <w:szCs w:val="24"/>
        </w:rPr>
        <w:t>[affiliation</w:t>
      </w:r>
      <w:r w:rsidRPr="003901E7">
        <w:rPr>
          <w:i w:val="0"/>
          <w:color w:val="000000"/>
          <w:szCs w:val="24"/>
        </w:rPr>
        <w:t>]Institute of Nuclear P</w:t>
      </w:r>
      <w:r w:rsidR="0076753A">
        <w:rPr>
          <w:i w:val="0"/>
          <w:color w:val="000000"/>
          <w:szCs w:val="24"/>
        </w:rPr>
        <w:t xml:space="preserve">hysics, NCSR Demokritos, </w:t>
      </w:r>
      <w:r w:rsidRPr="003901E7">
        <w:rPr>
          <w:i w:val="0"/>
          <w:color w:val="000000"/>
          <w:szCs w:val="24"/>
        </w:rPr>
        <w:t>Athens, Greece</w:t>
      </w:r>
    </w:p>
    <w:p w:rsidR="00EA6D32" w:rsidRDefault="00EA6D32" w:rsidP="00EA6D32">
      <w:pPr>
        <w:pStyle w:val="author"/>
        <w:rPr>
          <w:color w:val="000000"/>
          <w:szCs w:val="24"/>
          <w:vertAlign w:val="superscript"/>
        </w:rPr>
      </w:pPr>
      <w:r>
        <w:rPr>
          <w:color w:val="000000"/>
          <w:szCs w:val="24"/>
        </w:rPr>
        <w:t>[author]</w:t>
      </w:r>
      <w:r w:rsidR="003C4D7A" w:rsidRPr="003901E7">
        <w:rPr>
          <w:color w:val="000000"/>
          <w:szCs w:val="24"/>
        </w:rPr>
        <w:t>A. G. Karydas</w:t>
      </w:r>
    </w:p>
    <w:p w:rsidR="00EA6D32" w:rsidRPr="00EA6D32" w:rsidRDefault="00EA6D32" w:rsidP="00EA6D32">
      <w:pPr>
        <w:pStyle w:val="affiliation"/>
        <w:spacing w:before="0" w:line="360" w:lineRule="auto"/>
        <w:contextualSpacing/>
        <w:rPr>
          <w:i w:val="0"/>
          <w:color w:val="000000"/>
          <w:szCs w:val="24"/>
        </w:rPr>
      </w:pPr>
      <w:r>
        <w:rPr>
          <w:i w:val="0"/>
          <w:color w:val="000000"/>
          <w:szCs w:val="24"/>
        </w:rPr>
        <w:t>[affiliation</w:t>
      </w:r>
      <w:r w:rsidRPr="003901E7">
        <w:rPr>
          <w:i w:val="0"/>
          <w:color w:val="000000"/>
          <w:szCs w:val="24"/>
        </w:rPr>
        <w:t>]Institute of Nuclear P</w:t>
      </w:r>
      <w:r w:rsidR="0076753A">
        <w:rPr>
          <w:i w:val="0"/>
          <w:color w:val="000000"/>
          <w:szCs w:val="24"/>
        </w:rPr>
        <w:t xml:space="preserve">hysics, NCSR Demokritos, </w:t>
      </w:r>
      <w:r w:rsidRPr="003901E7">
        <w:rPr>
          <w:i w:val="0"/>
          <w:color w:val="000000"/>
          <w:szCs w:val="24"/>
        </w:rPr>
        <w:t>Athens, Greece</w:t>
      </w:r>
    </w:p>
    <w:p w:rsidR="00EA6D32" w:rsidRPr="00EA6D32" w:rsidRDefault="00EA6D32" w:rsidP="00EA6D32">
      <w:pPr>
        <w:pStyle w:val="author"/>
        <w:rPr>
          <w:color w:val="000000"/>
          <w:szCs w:val="24"/>
          <w:vertAlign w:val="superscript"/>
        </w:rPr>
      </w:pPr>
      <w:r>
        <w:rPr>
          <w:color w:val="000000"/>
          <w:szCs w:val="24"/>
        </w:rPr>
        <w:t>[author]</w:t>
      </w:r>
      <w:r w:rsidR="003C4D7A" w:rsidRPr="003901E7">
        <w:rPr>
          <w:color w:val="000000"/>
          <w:szCs w:val="24"/>
        </w:rPr>
        <w:t>L. Mahfoud</w:t>
      </w:r>
    </w:p>
    <w:p w:rsidR="00EA6D32" w:rsidRPr="00EA6D32" w:rsidRDefault="00EA6D32" w:rsidP="00EA6D32">
      <w:pPr>
        <w:pStyle w:val="affiliation"/>
        <w:spacing w:before="0" w:line="360" w:lineRule="auto"/>
        <w:contextualSpacing/>
        <w:rPr>
          <w:i w:val="0"/>
          <w:iCs/>
          <w:color w:val="000000"/>
          <w:szCs w:val="24"/>
        </w:rPr>
      </w:pPr>
      <w:r>
        <w:rPr>
          <w:i w:val="0"/>
          <w:color w:val="000000"/>
          <w:szCs w:val="24"/>
        </w:rPr>
        <w:t>[affiliation</w:t>
      </w:r>
      <w:r w:rsidRPr="003901E7">
        <w:rPr>
          <w:i w:val="0"/>
          <w:color w:val="000000"/>
          <w:szCs w:val="24"/>
        </w:rPr>
        <w:t>]</w:t>
      </w:r>
      <w:r w:rsidRPr="003901E7">
        <w:rPr>
          <w:rStyle w:val="Emphasis"/>
          <w:iCs/>
          <w:color w:val="000000"/>
          <w:szCs w:val="24"/>
        </w:rPr>
        <w:t>Ministry of Culture, Directorate General of Antiquities &amp; Museums, Syria</w:t>
      </w:r>
    </w:p>
    <w:p w:rsidR="00EA6D32" w:rsidRPr="00EA6D32" w:rsidRDefault="00EA6D32" w:rsidP="00EA6D32">
      <w:pPr>
        <w:pStyle w:val="author"/>
        <w:rPr>
          <w:color w:val="000000"/>
          <w:szCs w:val="24"/>
          <w:vertAlign w:val="superscript"/>
        </w:rPr>
      </w:pPr>
      <w:r>
        <w:rPr>
          <w:color w:val="000000"/>
          <w:szCs w:val="24"/>
        </w:rPr>
        <w:t>[author]</w:t>
      </w:r>
      <w:r w:rsidR="003C4D7A" w:rsidRPr="003901E7">
        <w:rPr>
          <w:color w:val="000000"/>
          <w:szCs w:val="24"/>
        </w:rPr>
        <w:t>A. Qurdab</w:t>
      </w:r>
    </w:p>
    <w:p w:rsidR="00EA6D32" w:rsidRPr="00EA6D32" w:rsidRDefault="00EA6D32" w:rsidP="00EA6D32">
      <w:pPr>
        <w:pStyle w:val="affiliation"/>
        <w:spacing w:before="0" w:line="360" w:lineRule="auto"/>
        <w:contextualSpacing/>
        <w:rPr>
          <w:i w:val="0"/>
          <w:iCs/>
          <w:color w:val="000000"/>
          <w:szCs w:val="24"/>
        </w:rPr>
      </w:pPr>
      <w:r>
        <w:rPr>
          <w:i w:val="0"/>
          <w:color w:val="000000"/>
          <w:szCs w:val="24"/>
        </w:rPr>
        <w:t>[affiliation</w:t>
      </w:r>
      <w:r w:rsidRPr="003901E7">
        <w:rPr>
          <w:i w:val="0"/>
          <w:color w:val="000000"/>
          <w:szCs w:val="24"/>
        </w:rPr>
        <w:t>]</w:t>
      </w:r>
      <w:r w:rsidRPr="003901E7">
        <w:rPr>
          <w:rStyle w:val="Emphasis"/>
          <w:iCs/>
          <w:color w:val="000000"/>
          <w:szCs w:val="24"/>
        </w:rPr>
        <w:t>Ministry of Culture, Directorate General of Antiquities &amp; Museums, Syria</w:t>
      </w:r>
    </w:p>
    <w:p w:rsidR="0076753A" w:rsidRPr="0076753A" w:rsidRDefault="00EA6D32" w:rsidP="0076753A">
      <w:pPr>
        <w:pStyle w:val="author"/>
        <w:rPr>
          <w:color w:val="000000"/>
          <w:szCs w:val="24"/>
          <w:vertAlign w:val="superscript"/>
        </w:rPr>
      </w:pPr>
      <w:r>
        <w:rPr>
          <w:color w:val="000000"/>
          <w:szCs w:val="24"/>
        </w:rPr>
        <w:t>[author]</w:t>
      </w:r>
      <w:r w:rsidR="003C4D7A" w:rsidRPr="003901E7">
        <w:rPr>
          <w:color w:val="000000"/>
          <w:szCs w:val="24"/>
        </w:rPr>
        <w:t>M. Al-Saadi</w:t>
      </w:r>
    </w:p>
    <w:p w:rsidR="0076753A" w:rsidRPr="0076753A" w:rsidRDefault="0076753A" w:rsidP="0076753A">
      <w:pPr>
        <w:pStyle w:val="affiliation"/>
        <w:spacing w:before="0" w:line="360" w:lineRule="auto"/>
        <w:contextualSpacing/>
        <w:rPr>
          <w:i w:val="0"/>
          <w:iCs/>
          <w:color w:val="000000"/>
          <w:szCs w:val="24"/>
        </w:rPr>
      </w:pPr>
      <w:r>
        <w:rPr>
          <w:i w:val="0"/>
          <w:color w:val="000000"/>
          <w:szCs w:val="24"/>
        </w:rPr>
        <w:t>[affiliation</w:t>
      </w:r>
      <w:r w:rsidRPr="003901E7">
        <w:rPr>
          <w:i w:val="0"/>
          <w:color w:val="000000"/>
          <w:szCs w:val="24"/>
        </w:rPr>
        <w:t>]</w:t>
      </w:r>
      <w:r w:rsidRPr="003901E7">
        <w:rPr>
          <w:rStyle w:val="Emphasis"/>
          <w:iCs/>
          <w:color w:val="000000"/>
          <w:szCs w:val="24"/>
        </w:rPr>
        <w:t>Ministry of Culture, Directorate General of Antiquities &amp; Museums, Syria</w:t>
      </w:r>
    </w:p>
    <w:p w:rsidR="00EA6D32" w:rsidRDefault="00EA6D32" w:rsidP="00EA6D32">
      <w:pPr>
        <w:pStyle w:val="author"/>
        <w:rPr>
          <w:color w:val="000000"/>
          <w:szCs w:val="24"/>
          <w:vertAlign w:val="superscript"/>
        </w:rPr>
      </w:pPr>
      <w:r>
        <w:rPr>
          <w:color w:val="000000"/>
          <w:szCs w:val="24"/>
        </w:rPr>
        <w:t>[author]</w:t>
      </w:r>
      <w:r w:rsidR="003C4D7A" w:rsidRPr="003901E7">
        <w:rPr>
          <w:color w:val="000000"/>
          <w:szCs w:val="24"/>
        </w:rPr>
        <w:t>V. Argyropoulos</w:t>
      </w:r>
    </w:p>
    <w:p w:rsidR="00EA6D32" w:rsidRPr="00EA6D32" w:rsidRDefault="00EA6D32" w:rsidP="00EA6D32">
      <w:pPr>
        <w:pStyle w:val="affiliation"/>
        <w:spacing w:before="0" w:line="360" w:lineRule="auto"/>
        <w:contextualSpacing/>
        <w:rPr>
          <w:iCs/>
          <w:color w:val="000000"/>
          <w:sz w:val="18"/>
          <w:szCs w:val="24"/>
          <w:lang w:eastAsia="en-US"/>
        </w:rPr>
      </w:pPr>
      <w:r>
        <w:rPr>
          <w:i w:val="0"/>
          <w:color w:val="000000"/>
          <w:szCs w:val="24"/>
        </w:rPr>
        <w:t>[affiliation</w:t>
      </w:r>
      <w:r w:rsidRPr="003901E7">
        <w:rPr>
          <w:i w:val="0"/>
          <w:color w:val="000000"/>
          <w:szCs w:val="24"/>
        </w:rPr>
        <w:t>]</w:t>
      </w:r>
      <w:r w:rsidRPr="00EA6D32">
        <w:rPr>
          <w:rFonts w:eastAsia="Arial Unicode MS"/>
          <w:i w:val="0"/>
          <w:color w:val="000000"/>
          <w:szCs w:val="24"/>
          <w:shd w:val="clear" w:color="auto" w:fill="FFFFFF"/>
        </w:rPr>
        <w:t>Technological Educational Institute of Athens (TEI), Department of Conservation of Antiquities &amp; Works of Art, Athens, Greece</w:t>
      </w:r>
    </w:p>
    <w:p w:rsidR="00EA6D32" w:rsidRDefault="00EA6D32" w:rsidP="00EA6D32">
      <w:pPr>
        <w:pStyle w:val="phone"/>
        <w:spacing w:before="0" w:line="360" w:lineRule="auto"/>
        <w:contextualSpacing/>
        <w:rPr>
          <w:rFonts w:eastAsia="Arial Unicode MS"/>
          <w:color w:val="000000"/>
          <w:sz w:val="24"/>
          <w:szCs w:val="24"/>
          <w:shd w:val="clear" w:color="auto" w:fill="FFFFFF"/>
        </w:rPr>
      </w:pPr>
    </w:p>
    <w:p w:rsidR="003C4D7A" w:rsidRPr="00EA6D32" w:rsidRDefault="003901E7" w:rsidP="00EA6D32">
      <w:pPr>
        <w:pStyle w:val="phone"/>
        <w:spacing w:before="0" w:line="360" w:lineRule="auto"/>
        <w:contextualSpacing/>
        <w:rPr>
          <w:rFonts w:eastAsia="Arial Unicode MS"/>
          <w:color w:val="000000"/>
          <w:sz w:val="24"/>
          <w:szCs w:val="24"/>
          <w:shd w:val="clear" w:color="auto" w:fill="FFFFFF"/>
        </w:rPr>
      </w:pPr>
      <w:r>
        <w:rPr>
          <w:rFonts w:eastAsia="Arial Unicode MS"/>
          <w:sz w:val="24"/>
          <w:szCs w:val="24"/>
        </w:rPr>
        <w:t>[A-head]</w:t>
      </w:r>
      <w:r w:rsidR="003C4D7A" w:rsidRPr="003901E7">
        <w:rPr>
          <w:rFonts w:eastAsia="Arial Unicode MS"/>
          <w:b/>
          <w:sz w:val="24"/>
          <w:szCs w:val="24"/>
        </w:rPr>
        <w:t>Abstract</w:t>
      </w:r>
    </w:p>
    <w:p w:rsidR="003C4D7A" w:rsidRPr="003901E7" w:rsidRDefault="003901E7" w:rsidP="003901E7">
      <w:pPr>
        <w:spacing w:line="360" w:lineRule="auto"/>
        <w:rPr>
          <w:rFonts w:eastAsia="Arial Unicode MS"/>
          <w:b/>
          <w:sz w:val="24"/>
          <w:szCs w:val="24"/>
          <w:lang w:eastAsia="de-DE"/>
        </w:rPr>
      </w:pPr>
      <w:r>
        <w:rPr>
          <w:rFonts w:eastAsia="Arial Unicode MS"/>
          <w:b/>
          <w:sz w:val="24"/>
          <w:szCs w:val="24"/>
          <w:lang w:eastAsia="de-DE"/>
        </w:rPr>
        <w:t>[</w:t>
      </w:r>
      <w:r w:rsidRPr="00EA6D32">
        <w:rPr>
          <w:rFonts w:eastAsia="Arial Unicode MS"/>
          <w:sz w:val="24"/>
          <w:szCs w:val="24"/>
          <w:lang w:eastAsia="de-DE"/>
        </w:rPr>
        <w:t>abstract</w:t>
      </w:r>
      <w:r>
        <w:rPr>
          <w:rFonts w:eastAsia="Arial Unicode MS"/>
          <w:b/>
          <w:sz w:val="24"/>
          <w:szCs w:val="24"/>
          <w:lang w:eastAsia="de-DE"/>
        </w:rPr>
        <w:t>]</w:t>
      </w:r>
    </w:p>
    <w:p w:rsidR="003C4D7A" w:rsidRPr="003901E7" w:rsidRDefault="003C4D7A" w:rsidP="003901E7">
      <w:pPr>
        <w:pStyle w:val="BodyText"/>
        <w:spacing w:line="360" w:lineRule="auto"/>
        <w:contextualSpacing/>
        <w:rPr>
          <w:szCs w:val="24"/>
          <w:lang w:val="en-US"/>
        </w:rPr>
      </w:pPr>
      <w:r w:rsidRPr="003901E7">
        <w:rPr>
          <w:szCs w:val="24"/>
          <w:lang w:val="en-US"/>
        </w:rPr>
        <w:t xml:space="preserve">The use of portable and handheld XRF analyzers </w:t>
      </w:r>
      <w:r w:rsidR="003901E7">
        <w:rPr>
          <w:szCs w:val="24"/>
          <w:lang w:val="en-US"/>
        </w:rPr>
        <w:t xml:space="preserve">has been </w:t>
      </w:r>
      <w:r w:rsidR="00154FE0" w:rsidRPr="003901E7">
        <w:rPr>
          <w:szCs w:val="24"/>
          <w:lang w:val="en-US"/>
        </w:rPr>
        <w:t xml:space="preserve">widely adopted </w:t>
      </w:r>
      <w:r w:rsidRPr="003901E7">
        <w:rPr>
          <w:szCs w:val="24"/>
          <w:lang w:val="en-US"/>
        </w:rPr>
        <w:t>in metal compositional studies by cultural heritage professionals. However, studies have shown that the lack of certified reference materials and standardized quantification approaches has contributed to rather poor reproducibility of quantitative results among end-users in the analysis of historic and ancient copper alloys. The limited depth resolution of XRF analysis can impose additional difficulties for proper interpretation of analytical data obtained for ancient metal alloys</w:t>
      </w:r>
      <w:r w:rsidR="003901E7">
        <w:rPr>
          <w:szCs w:val="24"/>
          <w:lang w:val="en-US"/>
        </w:rPr>
        <w:t>,</w:t>
      </w:r>
      <w:r w:rsidRPr="003901E7">
        <w:rPr>
          <w:szCs w:val="24"/>
          <w:lang w:val="en-US"/>
        </w:rPr>
        <w:t xml:space="preserve"> due to stratified corrosion layers at the metal-corrosion interface.</w:t>
      </w:r>
      <w:r w:rsidR="003901E7">
        <w:rPr>
          <w:szCs w:val="24"/>
          <w:lang w:val="en-US"/>
        </w:rPr>
        <w:t xml:space="preserve">  </w:t>
      </w:r>
    </w:p>
    <w:p w:rsidR="00000000" w:rsidRDefault="003C4D7A">
      <w:pPr>
        <w:pStyle w:val="BodyText"/>
        <w:spacing w:line="360" w:lineRule="auto"/>
        <w:contextualSpacing/>
        <w:rPr>
          <w:szCs w:val="24"/>
          <w:lang w:val="en-US"/>
        </w:rPr>
      </w:pPr>
      <w:r w:rsidRPr="003901E7">
        <w:rPr>
          <w:szCs w:val="24"/>
          <w:lang w:val="en-US"/>
        </w:rPr>
        <w:t>During the PROMET European FP6 project, a customized micro-XRF spectrometer was transported to the National Museum of Damascus, Syria</w:t>
      </w:r>
      <w:r w:rsidR="003901E7">
        <w:rPr>
          <w:szCs w:val="24"/>
          <w:lang w:val="en-US"/>
        </w:rPr>
        <w:t>,</w:t>
      </w:r>
      <w:r w:rsidRPr="003901E7">
        <w:rPr>
          <w:szCs w:val="24"/>
          <w:lang w:val="en-US"/>
        </w:rPr>
        <w:t xml:space="preserve"> to study its unique bronze collection.</w:t>
      </w:r>
      <w:r w:rsidR="003901E7">
        <w:rPr>
          <w:szCs w:val="24"/>
          <w:lang w:val="en-US"/>
        </w:rPr>
        <w:t xml:space="preserve"> </w:t>
      </w:r>
      <w:r w:rsidRPr="003901E7">
        <w:rPr>
          <w:szCs w:val="24"/>
          <w:lang w:val="en-US"/>
        </w:rPr>
        <w:t>Analys</w:t>
      </w:r>
      <w:r w:rsidR="00154FE0" w:rsidRPr="003901E7">
        <w:rPr>
          <w:szCs w:val="24"/>
          <w:lang w:val="en-US"/>
        </w:rPr>
        <w:t>e</w:t>
      </w:r>
      <w:r w:rsidRPr="003901E7">
        <w:rPr>
          <w:szCs w:val="24"/>
          <w:lang w:val="en-US"/>
        </w:rPr>
        <w:t xml:space="preserve">s </w:t>
      </w:r>
      <w:r w:rsidR="003901E7" w:rsidRPr="003901E7">
        <w:rPr>
          <w:szCs w:val="24"/>
          <w:lang w:val="en-US"/>
        </w:rPr>
        <w:t xml:space="preserve">were carried out </w:t>
      </w:r>
      <w:r w:rsidRPr="003901E7">
        <w:rPr>
          <w:szCs w:val="24"/>
          <w:lang w:val="en-US"/>
        </w:rPr>
        <w:t>o</w:t>
      </w:r>
      <w:r w:rsidR="003901E7">
        <w:rPr>
          <w:szCs w:val="24"/>
          <w:lang w:val="en-US"/>
        </w:rPr>
        <w:t>n</w:t>
      </w:r>
      <w:r w:rsidRPr="003901E7">
        <w:rPr>
          <w:szCs w:val="24"/>
          <w:lang w:val="en-US"/>
        </w:rPr>
        <w:t xml:space="preserve"> many important artifacts, such as Late Bronze Age gilded</w:t>
      </w:r>
      <w:r w:rsidR="003901E7">
        <w:rPr>
          <w:szCs w:val="24"/>
          <w:lang w:val="en-US"/>
        </w:rPr>
        <w:t>-</w:t>
      </w:r>
      <w:r w:rsidRPr="003901E7">
        <w:rPr>
          <w:szCs w:val="24"/>
          <w:lang w:val="en-US"/>
        </w:rPr>
        <w:t xml:space="preserve">bronze </w:t>
      </w:r>
      <w:r w:rsidRPr="003901E7">
        <w:rPr>
          <w:szCs w:val="24"/>
          <w:lang w:val="en-US"/>
        </w:rPr>
        <w:lastRenderedPageBreak/>
        <w:t>figurines from the site of Ugarit. The paper focuses on the micro-XRF analyses of two of these bronze figurines and highlights the methodological issues regarding the optimization and validation of the micro-XRF analytical approach for ancient copper alloys. The XRF analys</w:t>
      </w:r>
      <w:r w:rsidR="00F53BE4">
        <w:rPr>
          <w:szCs w:val="24"/>
          <w:lang w:val="en-US"/>
        </w:rPr>
        <w:t>e</w:t>
      </w:r>
      <w:r w:rsidRPr="003901E7">
        <w:rPr>
          <w:szCs w:val="24"/>
          <w:lang w:val="en-US"/>
        </w:rPr>
        <w:t xml:space="preserve">s of these unique Mesopotamian figurines are presented with an emphasis </w:t>
      </w:r>
      <w:r w:rsidR="00F53BE4">
        <w:rPr>
          <w:szCs w:val="24"/>
          <w:lang w:val="en-US"/>
        </w:rPr>
        <w:t>on</w:t>
      </w:r>
      <w:r w:rsidRPr="003901E7">
        <w:rPr>
          <w:szCs w:val="24"/>
          <w:lang w:val="en-US"/>
        </w:rPr>
        <w:t xml:space="preserve"> best practices for micro-XRF measurement protocols, data analysis, and interpretation.</w:t>
      </w:r>
    </w:p>
    <w:p w:rsidR="004E6D6C" w:rsidRDefault="004E6D6C" w:rsidP="004E6D6C">
      <w:pPr>
        <w:pStyle w:val="BodyText"/>
        <w:spacing w:line="360" w:lineRule="auto"/>
        <w:contextualSpacing/>
        <w:rPr>
          <w:szCs w:val="24"/>
          <w:lang w:val="en-US"/>
        </w:rPr>
      </w:pPr>
    </w:p>
    <w:p w:rsidR="00EA6D32" w:rsidRPr="004E6D6C" w:rsidRDefault="00F53BE4" w:rsidP="004E6D6C">
      <w:pPr>
        <w:pStyle w:val="BodyText"/>
        <w:spacing w:line="360" w:lineRule="auto"/>
        <w:contextualSpacing/>
        <w:rPr>
          <w:szCs w:val="24"/>
          <w:lang w:val="en-US"/>
        </w:rPr>
      </w:pPr>
      <w:r w:rsidRPr="004E6D6C">
        <w:rPr>
          <w:szCs w:val="24"/>
          <w:lang w:val="en-US"/>
        </w:rPr>
        <w:t>[A-head]</w:t>
      </w:r>
      <w:r w:rsidR="003C4D7A" w:rsidRPr="004E6D6C">
        <w:rPr>
          <w:szCs w:val="24"/>
          <w:lang w:val="en-US"/>
        </w:rPr>
        <w:t>Introduction</w:t>
      </w:r>
    </w:p>
    <w:p w:rsidR="003C4D7A" w:rsidRPr="004E6D6C" w:rsidRDefault="00F53BE4" w:rsidP="003901E7">
      <w:pPr>
        <w:pStyle w:val="BodyText"/>
        <w:spacing w:line="360" w:lineRule="auto"/>
        <w:contextualSpacing/>
        <w:rPr>
          <w:szCs w:val="24"/>
          <w:lang w:val="en-US"/>
        </w:rPr>
      </w:pPr>
      <w:r w:rsidRPr="004E6D6C">
        <w:rPr>
          <w:szCs w:val="24"/>
          <w:lang w:val="en-US"/>
        </w:rPr>
        <w:t>[main text]</w:t>
      </w:r>
    </w:p>
    <w:p w:rsidR="00180E0A" w:rsidRDefault="003C4D7A" w:rsidP="003901E7">
      <w:pPr>
        <w:pStyle w:val="BodyText"/>
        <w:spacing w:after="0" w:line="360" w:lineRule="auto"/>
        <w:rPr>
          <w:szCs w:val="24"/>
          <w:lang w:val="en-US" w:eastAsia="en-US"/>
        </w:rPr>
      </w:pPr>
      <w:r w:rsidRPr="003901E7">
        <w:rPr>
          <w:szCs w:val="24"/>
          <w:lang w:val="en-US" w:eastAsia="en-US"/>
        </w:rPr>
        <w:t xml:space="preserve">During the PROMET </w:t>
      </w:r>
      <w:r w:rsidR="00F53BE4" w:rsidRPr="003901E7">
        <w:rPr>
          <w:szCs w:val="24"/>
          <w:lang w:val="en-US"/>
        </w:rPr>
        <w:t xml:space="preserve">European FP6 </w:t>
      </w:r>
      <w:r w:rsidRPr="003901E7">
        <w:rPr>
          <w:szCs w:val="24"/>
          <w:lang w:val="en-US" w:eastAsia="en-US"/>
        </w:rPr>
        <w:t>project, a micro-XRF mobile spectrometer was transported</w:t>
      </w:r>
      <w:r w:rsidR="00F53BE4" w:rsidRPr="00F53BE4">
        <w:rPr>
          <w:szCs w:val="24"/>
          <w:lang w:val="en-US"/>
        </w:rPr>
        <w:t xml:space="preserve"> </w:t>
      </w:r>
      <w:r w:rsidR="00180E0A">
        <w:rPr>
          <w:szCs w:val="24"/>
          <w:lang w:val="en-US"/>
        </w:rPr>
        <w:t xml:space="preserve">to </w:t>
      </w:r>
      <w:r w:rsidR="00F53BE4" w:rsidRPr="003901E7">
        <w:rPr>
          <w:szCs w:val="24"/>
          <w:lang w:val="en-US"/>
        </w:rPr>
        <w:t>the National Museum of Damascus, Syria</w:t>
      </w:r>
      <w:r w:rsidRPr="003901E7">
        <w:rPr>
          <w:szCs w:val="24"/>
          <w:lang w:val="en-US" w:eastAsia="en-US"/>
        </w:rPr>
        <w:t xml:space="preserve">, </w:t>
      </w:r>
      <w:r w:rsidR="00F53BE4">
        <w:rPr>
          <w:szCs w:val="24"/>
          <w:lang w:val="en-US" w:eastAsia="en-US"/>
        </w:rPr>
        <w:t xml:space="preserve">where it was </w:t>
      </w:r>
      <w:r w:rsidRPr="003901E7">
        <w:rPr>
          <w:szCs w:val="24"/>
          <w:lang w:val="en-US" w:eastAsia="en-US"/>
        </w:rPr>
        <w:t>applied</w:t>
      </w:r>
      <w:r w:rsidR="00F53BE4">
        <w:rPr>
          <w:szCs w:val="24"/>
          <w:lang w:val="en-US" w:eastAsia="en-US"/>
        </w:rPr>
        <w:t xml:space="preserve"> to</w:t>
      </w:r>
      <w:r w:rsidRPr="003901E7">
        <w:rPr>
          <w:szCs w:val="24"/>
          <w:lang w:val="en-US" w:eastAsia="en-US"/>
        </w:rPr>
        <w:t xml:space="preserve"> and validated for the quantitative noninvasive analysis of unique museum metal collections across the Mediterranean region, successfully </w:t>
      </w:r>
      <w:r w:rsidR="00154FE0" w:rsidRPr="003901E7">
        <w:rPr>
          <w:szCs w:val="24"/>
          <w:lang w:val="en-US" w:eastAsia="en-US"/>
        </w:rPr>
        <w:t xml:space="preserve">addressing </w:t>
      </w:r>
      <w:r w:rsidRPr="003901E7">
        <w:rPr>
          <w:szCs w:val="24"/>
          <w:lang w:val="en-US" w:eastAsia="en-US"/>
        </w:rPr>
        <w:t xml:space="preserve">archaeological and conservation questions. Given the value of these collections, transport of objects or sampling for analysis is generally not permitted. Thus, the development and validation of </w:t>
      </w:r>
      <w:r w:rsidR="00F53BE4">
        <w:rPr>
          <w:szCs w:val="24"/>
          <w:lang w:val="en-US" w:eastAsia="en-US"/>
        </w:rPr>
        <w:t>a reliable</w:t>
      </w:r>
      <w:r w:rsidRPr="003901E7">
        <w:rPr>
          <w:szCs w:val="24"/>
          <w:lang w:val="en-US" w:eastAsia="en-US"/>
        </w:rPr>
        <w:t xml:space="preserve"> portable </w:t>
      </w:r>
      <w:r w:rsidR="00F53BE4">
        <w:rPr>
          <w:szCs w:val="24"/>
          <w:lang w:val="en-US" w:eastAsia="en-US"/>
        </w:rPr>
        <w:t>technology</w:t>
      </w:r>
      <w:r w:rsidRPr="003901E7">
        <w:rPr>
          <w:szCs w:val="24"/>
          <w:lang w:val="en-US" w:eastAsia="en-US"/>
        </w:rPr>
        <w:t xml:space="preserve"> is critical for comparisons of analytical compositional results</w:t>
      </w:r>
      <w:r w:rsidR="00F53BE4">
        <w:rPr>
          <w:szCs w:val="24"/>
          <w:lang w:val="en-US" w:eastAsia="en-US"/>
        </w:rPr>
        <w:t>,</w:t>
      </w:r>
      <w:r w:rsidRPr="003901E7">
        <w:rPr>
          <w:szCs w:val="24"/>
          <w:lang w:val="en-US" w:eastAsia="en-US"/>
        </w:rPr>
        <w:t xml:space="preserve"> especially for similar museum collections or objects housed around the world. </w:t>
      </w:r>
    </w:p>
    <w:p w:rsidR="003C4D7A" w:rsidRPr="003901E7" w:rsidRDefault="003C4D7A" w:rsidP="003901E7">
      <w:pPr>
        <w:pStyle w:val="BodyText"/>
        <w:spacing w:after="0" w:line="360" w:lineRule="auto"/>
        <w:rPr>
          <w:szCs w:val="24"/>
          <w:lang w:val="en-US" w:eastAsia="en-US"/>
        </w:rPr>
      </w:pPr>
      <w:r w:rsidRPr="003901E7">
        <w:rPr>
          <w:szCs w:val="24"/>
          <w:lang w:val="en-US" w:eastAsia="en-US"/>
        </w:rPr>
        <w:t xml:space="preserve">The mobile micro-XRF spectrometer of NCSR “Demokritos” was utilized in campaigns at the </w:t>
      </w:r>
      <w:r w:rsidR="00F53BE4">
        <w:rPr>
          <w:szCs w:val="24"/>
          <w:lang w:val="en-US" w:eastAsia="en-US"/>
        </w:rPr>
        <w:t>Archaeological M</w:t>
      </w:r>
      <w:r w:rsidRPr="003901E7">
        <w:rPr>
          <w:szCs w:val="24"/>
          <w:lang w:val="en-US" w:eastAsia="en-US"/>
        </w:rPr>
        <w:t>useum of Ancient Messene</w:t>
      </w:r>
      <w:r w:rsidR="00F53BE4">
        <w:rPr>
          <w:szCs w:val="24"/>
          <w:lang w:val="en-US" w:eastAsia="en-US"/>
        </w:rPr>
        <w:t xml:space="preserve"> (</w:t>
      </w:r>
      <w:r w:rsidR="005F309F">
        <w:rPr>
          <w:szCs w:val="24"/>
          <w:lang w:val="en-US" w:eastAsia="en-US"/>
        </w:rPr>
        <w:t>Peloponnese</w:t>
      </w:r>
      <w:r w:rsidR="00F53BE4">
        <w:rPr>
          <w:szCs w:val="24"/>
          <w:lang w:val="en-US" w:eastAsia="en-US"/>
        </w:rPr>
        <w:t>)</w:t>
      </w:r>
      <w:r w:rsidRPr="003901E7">
        <w:rPr>
          <w:szCs w:val="24"/>
          <w:lang w:val="en-US" w:eastAsia="en-US"/>
        </w:rPr>
        <w:t xml:space="preserve">, the Palace Armoury </w:t>
      </w:r>
      <w:r w:rsidR="002318E3" w:rsidRPr="003901E7">
        <w:rPr>
          <w:szCs w:val="24"/>
          <w:lang w:val="en-US" w:eastAsia="en-US"/>
        </w:rPr>
        <w:t>M</w:t>
      </w:r>
      <w:r w:rsidRPr="003901E7">
        <w:rPr>
          <w:szCs w:val="24"/>
          <w:lang w:val="en-US" w:eastAsia="en-US"/>
        </w:rPr>
        <w:t xml:space="preserve">useum in Malta, the Umm Qais and Numismatic </w:t>
      </w:r>
      <w:r w:rsidR="00F53BE4">
        <w:rPr>
          <w:szCs w:val="24"/>
          <w:lang w:val="en-US" w:eastAsia="en-US"/>
        </w:rPr>
        <w:t>M</w:t>
      </w:r>
      <w:r w:rsidRPr="003901E7">
        <w:rPr>
          <w:szCs w:val="24"/>
          <w:lang w:val="en-US" w:eastAsia="en-US"/>
        </w:rPr>
        <w:t xml:space="preserve">useums in Jordan, and the National </w:t>
      </w:r>
      <w:r w:rsidR="002318E3" w:rsidRPr="003901E7">
        <w:rPr>
          <w:szCs w:val="24"/>
          <w:lang w:val="en-US" w:eastAsia="en-US"/>
        </w:rPr>
        <w:t>M</w:t>
      </w:r>
      <w:r w:rsidRPr="003901E7">
        <w:rPr>
          <w:szCs w:val="24"/>
          <w:lang w:val="en-US" w:eastAsia="en-US"/>
        </w:rPr>
        <w:t xml:space="preserve">useum </w:t>
      </w:r>
      <w:r w:rsidR="00F53BE4">
        <w:rPr>
          <w:szCs w:val="24"/>
          <w:lang w:val="en-US" w:eastAsia="en-US"/>
        </w:rPr>
        <w:t>of</w:t>
      </w:r>
      <w:r w:rsidR="00F53BE4" w:rsidRPr="003901E7">
        <w:rPr>
          <w:szCs w:val="24"/>
          <w:lang w:val="en-US" w:eastAsia="en-US"/>
        </w:rPr>
        <w:t xml:space="preserve"> </w:t>
      </w:r>
      <w:r w:rsidRPr="003901E7">
        <w:rPr>
          <w:szCs w:val="24"/>
          <w:lang w:val="en-US" w:eastAsia="en-US"/>
        </w:rPr>
        <w:t xml:space="preserve">Damascus, Syria. These studies revealed important information about their metals collections concerning the manufacturing techniques and the condition of objects from various periods, but more importantly developed a standard approach for validating the precision and accuracy of compositional data for ancient and historic copper and iron alloys, as well as gilding techniques from various periods. At the </w:t>
      </w:r>
      <w:r w:rsidR="00F53BE4">
        <w:rPr>
          <w:szCs w:val="24"/>
          <w:lang w:val="en-US" w:eastAsia="en-US"/>
        </w:rPr>
        <w:t>Archaeological M</w:t>
      </w:r>
      <w:r w:rsidR="00F53BE4" w:rsidRPr="003901E7">
        <w:rPr>
          <w:szCs w:val="24"/>
          <w:lang w:val="en-US" w:eastAsia="en-US"/>
        </w:rPr>
        <w:t xml:space="preserve">useum </w:t>
      </w:r>
      <w:r w:rsidRPr="003901E7">
        <w:rPr>
          <w:szCs w:val="24"/>
          <w:lang w:val="en-US" w:eastAsia="en-US"/>
        </w:rPr>
        <w:t>of Ancient Messen</w:t>
      </w:r>
      <w:r w:rsidR="00180E0A">
        <w:rPr>
          <w:szCs w:val="24"/>
          <w:lang w:val="en-US" w:eastAsia="en-US"/>
        </w:rPr>
        <w:t>e, high-tin bronze mirrors dating</w:t>
      </w:r>
      <w:r w:rsidRPr="003901E7">
        <w:rPr>
          <w:szCs w:val="24"/>
          <w:lang w:val="en-US" w:eastAsia="en-US"/>
        </w:rPr>
        <w:t xml:space="preserve"> from the </w:t>
      </w:r>
      <w:r w:rsidR="00F53BE4">
        <w:rPr>
          <w:szCs w:val="24"/>
          <w:lang w:val="en-US" w:eastAsia="en-US"/>
        </w:rPr>
        <w:t>second</w:t>
      </w:r>
      <w:r w:rsidR="00F53BE4">
        <w:rPr>
          <w:szCs w:val="24"/>
          <w:vertAlign w:val="superscript"/>
          <w:lang w:val="en-US" w:eastAsia="en-US"/>
        </w:rPr>
        <w:t xml:space="preserve"> </w:t>
      </w:r>
      <w:r w:rsidRPr="003901E7">
        <w:rPr>
          <w:szCs w:val="24"/>
          <w:lang w:val="en-US" w:eastAsia="en-US"/>
        </w:rPr>
        <w:t>c</w:t>
      </w:r>
      <w:r w:rsidR="002318E3" w:rsidRPr="003901E7">
        <w:rPr>
          <w:szCs w:val="24"/>
          <w:lang w:val="en-US" w:eastAsia="en-US"/>
        </w:rPr>
        <w:t>entury</w:t>
      </w:r>
      <w:r w:rsidRPr="003901E7">
        <w:rPr>
          <w:szCs w:val="24"/>
          <w:lang w:val="en-US" w:eastAsia="en-US"/>
        </w:rPr>
        <w:t xml:space="preserve"> BC were analyzed to identify the composition of the alloy</w:t>
      </w:r>
      <w:r w:rsidR="00F53BE4">
        <w:rPr>
          <w:szCs w:val="24"/>
          <w:lang w:val="en-US" w:eastAsia="en-US"/>
        </w:rPr>
        <w:t xml:space="preserve"> and</w:t>
      </w:r>
      <w:r w:rsidRPr="003901E7">
        <w:rPr>
          <w:szCs w:val="24"/>
          <w:lang w:val="en-US" w:eastAsia="en-US"/>
        </w:rPr>
        <w:t xml:space="preserve"> corrosion products</w:t>
      </w:r>
      <w:r w:rsidR="00F53BE4">
        <w:rPr>
          <w:szCs w:val="24"/>
          <w:lang w:val="en-US" w:eastAsia="en-US"/>
        </w:rPr>
        <w:t>,</w:t>
      </w:r>
      <w:r w:rsidRPr="003901E7">
        <w:rPr>
          <w:szCs w:val="24"/>
          <w:lang w:val="en-US" w:eastAsia="en-US"/>
        </w:rPr>
        <w:t xml:space="preserve"> as well as to characterize the </w:t>
      </w:r>
      <w:r w:rsidR="00F53BE4" w:rsidRPr="003901E7">
        <w:rPr>
          <w:szCs w:val="24"/>
          <w:lang w:val="en-US" w:eastAsia="en-US"/>
        </w:rPr>
        <w:t xml:space="preserve">reflecting </w:t>
      </w:r>
      <w:r w:rsidRPr="003901E7">
        <w:rPr>
          <w:szCs w:val="24"/>
          <w:lang w:val="en-US" w:eastAsia="en-US"/>
        </w:rPr>
        <w:t>gr</w:t>
      </w:r>
      <w:r w:rsidR="00F53BE4">
        <w:rPr>
          <w:szCs w:val="24"/>
          <w:lang w:val="en-US" w:eastAsia="en-US"/>
        </w:rPr>
        <w:t>a</w:t>
      </w:r>
      <w:r w:rsidRPr="003901E7">
        <w:rPr>
          <w:szCs w:val="24"/>
          <w:lang w:val="en-US" w:eastAsia="en-US"/>
        </w:rPr>
        <w:t>y</w:t>
      </w:r>
      <w:r w:rsidR="00F53BE4">
        <w:rPr>
          <w:szCs w:val="24"/>
          <w:lang w:val="en-US" w:eastAsia="en-US"/>
        </w:rPr>
        <w:t>-</w:t>
      </w:r>
      <w:r w:rsidRPr="003901E7">
        <w:rPr>
          <w:szCs w:val="24"/>
          <w:lang w:val="en-US" w:eastAsia="en-US"/>
        </w:rPr>
        <w:t>silverish and black</w:t>
      </w:r>
      <w:r w:rsidR="00F53BE4">
        <w:rPr>
          <w:szCs w:val="24"/>
          <w:lang w:val="en-US" w:eastAsia="en-US"/>
        </w:rPr>
        <w:t>-</w:t>
      </w:r>
      <w:r w:rsidRPr="003901E7">
        <w:rPr>
          <w:szCs w:val="24"/>
          <w:lang w:val="en-US" w:eastAsia="en-US"/>
        </w:rPr>
        <w:t>colored surface finish</w:t>
      </w:r>
      <w:r w:rsidR="00F53BE4">
        <w:rPr>
          <w:szCs w:val="24"/>
          <w:lang w:val="en-US" w:eastAsia="en-US"/>
        </w:rPr>
        <w:t>es</w:t>
      </w:r>
      <w:r w:rsidRPr="003901E7">
        <w:rPr>
          <w:szCs w:val="24"/>
          <w:lang w:val="en-US" w:eastAsia="en-US"/>
        </w:rPr>
        <w:t xml:space="preserve"> of the mirrors</w:t>
      </w:r>
      <w:r w:rsidR="00F53BE4">
        <w:rPr>
          <w:szCs w:val="24"/>
          <w:lang w:val="en-US" w:eastAsia="en-US"/>
        </w:rPr>
        <w:t>.</w:t>
      </w:r>
      <w:r w:rsidR="00F53BE4">
        <w:rPr>
          <w:rStyle w:val="EndnoteReference"/>
          <w:szCs w:val="24"/>
          <w:lang w:val="en-US" w:eastAsia="en-US"/>
        </w:rPr>
        <w:endnoteReference w:id="1"/>
      </w:r>
      <w:r w:rsidRPr="003901E7">
        <w:rPr>
          <w:szCs w:val="24"/>
          <w:lang w:val="en-US" w:eastAsia="en-US"/>
        </w:rPr>
        <w:t xml:space="preserve"> The Palace Armoury campaign included the XRF analysis of steel armor elements with emphasis on manufacturing techniques such as surface gilding.</w:t>
      </w:r>
      <w:r w:rsidR="00F53BE4">
        <w:rPr>
          <w:rStyle w:val="EndnoteReference"/>
          <w:szCs w:val="24"/>
          <w:lang w:val="en-US" w:eastAsia="en-US"/>
        </w:rPr>
        <w:endnoteReference w:id="2"/>
      </w:r>
      <w:r w:rsidRPr="003901E7">
        <w:rPr>
          <w:szCs w:val="24"/>
          <w:lang w:val="en-US" w:eastAsia="en-US"/>
        </w:rPr>
        <w:t xml:space="preserve"> At Yarmouk Uni</w:t>
      </w:r>
      <w:r w:rsidR="00180E0A">
        <w:rPr>
          <w:szCs w:val="24"/>
          <w:lang w:val="en-US" w:eastAsia="en-US"/>
        </w:rPr>
        <w:t>versity in Jordan, Roman copper-</w:t>
      </w:r>
      <w:r w:rsidRPr="003901E7">
        <w:rPr>
          <w:szCs w:val="24"/>
          <w:lang w:val="en-US" w:eastAsia="en-US"/>
        </w:rPr>
        <w:t xml:space="preserve">alloy artifacts from the Umm Qais </w:t>
      </w:r>
      <w:r w:rsidR="00184872">
        <w:rPr>
          <w:szCs w:val="24"/>
          <w:lang w:val="en-US" w:eastAsia="en-US"/>
        </w:rPr>
        <w:t>M</w:t>
      </w:r>
      <w:r w:rsidRPr="003901E7">
        <w:rPr>
          <w:szCs w:val="24"/>
          <w:lang w:val="en-US" w:eastAsia="en-US"/>
        </w:rPr>
        <w:t>useum were analyzed to characterize the metal composition and corrosion products,</w:t>
      </w:r>
      <w:r w:rsidR="00184872">
        <w:rPr>
          <w:rStyle w:val="EndnoteReference"/>
          <w:szCs w:val="24"/>
          <w:lang w:val="en-US" w:eastAsia="en-US"/>
        </w:rPr>
        <w:endnoteReference w:id="3"/>
      </w:r>
      <w:r w:rsidRPr="003901E7">
        <w:rPr>
          <w:szCs w:val="24"/>
          <w:lang w:val="en-US" w:eastAsia="en-US"/>
        </w:rPr>
        <w:t xml:space="preserve"> </w:t>
      </w:r>
      <w:r w:rsidR="00184872">
        <w:rPr>
          <w:szCs w:val="24"/>
          <w:lang w:val="en-US" w:eastAsia="en-US"/>
        </w:rPr>
        <w:t>while</w:t>
      </w:r>
      <w:r w:rsidR="00184872" w:rsidRPr="003901E7">
        <w:rPr>
          <w:szCs w:val="24"/>
          <w:lang w:val="en-US" w:eastAsia="en-US"/>
        </w:rPr>
        <w:t xml:space="preserve"> </w:t>
      </w:r>
      <w:r w:rsidRPr="003901E7">
        <w:rPr>
          <w:szCs w:val="24"/>
          <w:lang w:val="en-US" w:eastAsia="en-US"/>
        </w:rPr>
        <w:t xml:space="preserve">gold coins from the collection of the Numismatic </w:t>
      </w:r>
      <w:r w:rsidR="002318E3" w:rsidRPr="003901E7">
        <w:rPr>
          <w:szCs w:val="24"/>
          <w:lang w:val="en-US" w:eastAsia="en-US"/>
        </w:rPr>
        <w:t>M</w:t>
      </w:r>
      <w:r w:rsidRPr="003901E7">
        <w:rPr>
          <w:szCs w:val="24"/>
          <w:lang w:val="en-US" w:eastAsia="en-US"/>
        </w:rPr>
        <w:t xml:space="preserve">useum were also analyzed in order to identify compositional </w:t>
      </w:r>
      <w:r w:rsidRPr="003901E7">
        <w:rPr>
          <w:szCs w:val="24"/>
          <w:lang w:val="en-US" w:eastAsia="en-US"/>
        </w:rPr>
        <w:lastRenderedPageBreak/>
        <w:t xml:space="preserve">differences and elucidate the </w:t>
      </w:r>
      <w:r w:rsidR="00184872">
        <w:rPr>
          <w:szCs w:val="24"/>
          <w:lang w:val="en-US" w:eastAsia="en-US"/>
        </w:rPr>
        <w:t>use</w:t>
      </w:r>
      <w:r w:rsidR="00184872" w:rsidRPr="003901E7">
        <w:rPr>
          <w:szCs w:val="24"/>
          <w:lang w:val="en-US" w:eastAsia="en-US"/>
        </w:rPr>
        <w:t xml:space="preserve"> </w:t>
      </w:r>
      <w:r w:rsidRPr="003901E7">
        <w:rPr>
          <w:szCs w:val="24"/>
          <w:lang w:val="en-US" w:eastAsia="en-US"/>
        </w:rPr>
        <w:t xml:space="preserve">of raw materials and processing practices through different historical periods. At the National Museum </w:t>
      </w:r>
      <w:r w:rsidR="00184872">
        <w:rPr>
          <w:szCs w:val="24"/>
          <w:lang w:val="en-US" w:eastAsia="en-US"/>
        </w:rPr>
        <w:t>of</w:t>
      </w:r>
      <w:r w:rsidR="00184872" w:rsidRPr="003901E7">
        <w:rPr>
          <w:szCs w:val="24"/>
          <w:lang w:val="en-US" w:eastAsia="en-US"/>
        </w:rPr>
        <w:t xml:space="preserve"> </w:t>
      </w:r>
      <w:r w:rsidRPr="003901E7">
        <w:rPr>
          <w:szCs w:val="24"/>
          <w:lang w:val="en-US" w:eastAsia="en-US"/>
        </w:rPr>
        <w:t>Damascus</w:t>
      </w:r>
      <w:r w:rsidR="00184872">
        <w:rPr>
          <w:szCs w:val="24"/>
          <w:lang w:val="en-US" w:eastAsia="en-US"/>
        </w:rPr>
        <w:t>,</w:t>
      </w:r>
      <w:r w:rsidRPr="003901E7">
        <w:rPr>
          <w:szCs w:val="24"/>
          <w:lang w:val="en-US" w:eastAsia="en-US"/>
        </w:rPr>
        <w:t xml:space="preserve"> gilded copper and gold artifacts of the </w:t>
      </w:r>
      <w:r w:rsidR="00184872">
        <w:rPr>
          <w:szCs w:val="24"/>
          <w:lang w:val="en-US" w:eastAsia="en-US"/>
        </w:rPr>
        <w:t>third</w:t>
      </w:r>
      <w:r w:rsidRPr="003901E7">
        <w:rPr>
          <w:szCs w:val="24"/>
          <w:lang w:val="en-US" w:eastAsia="en-US"/>
        </w:rPr>
        <w:t xml:space="preserve"> </w:t>
      </w:r>
      <w:r w:rsidR="002318E3" w:rsidRPr="003901E7">
        <w:rPr>
          <w:szCs w:val="24"/>
          <w:lang w:val="en-US" w:eastAsia="en-US"/>
        </w:rPr>
        <w:t>m</w:t>
      </w:r>
      <w:r w:rsidRPr="003901E7">
        <w:rPr>
          <w:szCs w:val="24"/>
          <w:lang w:val="en-US" w:eastAsia="en-US"/>
        </w:rPr>
        <w:t>illennium BC and</w:t>
      </w:r>
      <w:r w:rsidR="002318E3" w:rsidRPr="003901E7">
        <w:rPr>
          <w:szCs w:val="24"/>
          <w:lang w:val="en-US" w:eastAsia="en-US"/>
        </w:rPr>
        <w:t xml:space="preserve"> from about</w:t>
      </w:r>
      <w:r w:rsidRPr="003901E7">
        <w:rPr>
          <w:szCs w:val="24"/>
          <w:lang w:val="en-US" w:eastAsia="en-US"/>
        </w:rPr>
        <w:t xml:space="preserve"> 1500 BC</w:t>
      </w:r>
      <w:r w:rsidR="00184872">
        <w:rPr>
          <w:szCs w:val="24"/>
          <w:lang w:val="en-US" w:eastAsia="en-US"/>
        </w:rPr>
        <w:t xml:space="preserve"> were studied.</w:t>
      </w:r>
      <w:r w:rsidRPr="003901E7">
        <w:rPr>
          <w:szCs w:val="24"/>
          <w:lang w:val="en-US" w:eastAsia="en-US"/>
        </w:rPr>
        <w:t xml:space="preserve"> </w:t>
      </w:r>
      <w:r w:rsidR="00184872">
        <w:rPr>
          <w:szCs w:val="24"/>
          <w:lang w:val="en-US" w:eastAsia="en-US"/>
        </w:rPr>
        <w:t>T</w:t>
      </w:r>
      <w:r w:rsidRPr="003901E7">
        <w:rPr>
          <w:szCs w:val="24"/>
          <w:lang w:val="en-US" w:eastAsia="en-US"/>
        </w:rPr>
        <w:t>he micro-XRF analysis was used for the first time to investigate the composition of copper and gold alloys and their corrosion products, the thickness of the gold foil used for the gilding, and finally to assess the</w:t>
      </w:r>
      <w:r w:rsidR="00184872">
        <w:rPr>
          <w:szCs w:val="24"/>
          <w:lang w:val="en-US" w:eastAsia="en-US"/>
        </w:rPr>
        <w:t>ir</w:t>
      </w:r>
      <w:r w:rsidRPr="003901E7">
        <w:rPr>
          <w:szCs w:val="24"/>
          <w:lang w:val="en-US" w:eastAsia="en-US"/>
        </w:rPr>
        <w:t xml:space="preserve"> state of preservation.</w:t>
      </w:r>
      <w:r w:rsidR="00184872">
        <w:rPr>
          <w:rStyle w:val="EndnoteReference"/>
          <w:szCs w:val="24"/>
          <w:lang w:val="en-US" w:eastAsia="en-US"/>
        </w:rPr>
        <w:endnoteReference w:id="4"/>
      </w:r>
      <w:r w:rsidRPr="003901E7">
        <w:rPr>
          <w:szCs w:val="24"/>
          <w:lang w:val="en-US" w:eastAsia="en-US"/>
        </w:rPr>
        <w:t xml:space="preserve"> </w:t>
      </w:r>
    </w:p>
    <w:p w:rsidR="00000000" w:rsidRDefault="003C4D7A">
      <w:pPr>
        <w:spacing w:line="360" w:lineRule="auto"/>
        <w:outlineLvl w:val="0"/>
        <w:rPr>
          <w:sz w:val="24"/>
          <w:szCs w:val="24"/>
        </w:rPr>
      </w:pPr>
      <w:r w:rsidRPr="003901E7">
        <w:rPr>
          <w:sz w:val="24"/>
          <w:szCs w:val="24"/>
        </w:rPr>
        <w:t>The results of these studies introduced and validated universal semi-quantitative criteria</w:t>
      </w:r>
      <w:r w:rsidR="00180E0A">
        <w:rPr>
          <w:sz w:val="24"/>
          <w:szCs w:val="24"/>
        </w:rPr>
        <w:t xml:space="preserve"> for the analysis of bronze arti</w:t>
      </w:r>
      <w:r w:rsidRPr="003901E7">
        <w:rPr>
          <w:sz w:val="24"/>
          <w:szCs w:val="24"/>
        </w:rPr>
        <w:t xml:space="preserve">facts using a certifiable quantification model, which was also tested </w:t>
      </w:r>
      <w:r w:rsidRPr="003901E7">
        <w:rPr>
          <w:color w:val="000000"/>
          <w:sz w:val="24"/>
          <w:szCs w:val="24"/>
        </w:rPr>
        <w:t xml:space="preserve">during </w:t>
      </w:r>
      <w:r w:rsidR="00184872">
        <w:rPr>
          <w:color w:val="000000"/>
          <w:sz w:val="24"/>
          <w:szCs w:val="24"/>
        </w:rPr>
        <w:t xml:space="preserve">a </w:t>
      </w:r>
      <w:r w:rsidRPr="003901E7">
        <w:rPr>
          <w:color w:val="000000"/>
          <w:sz w:val="24"/>
          <w:szCs w:val="24"/>
        </w:rPr>
        <w:t xml:space="preserve">comparison exercise organized by the Getty </w:t>
      </w:r>
      <w:r w:rsidR="002318E3" w:rsidRPr="003901E7">
        <w:rPr>
          <w:color w:val="000000"/>
          <w:sz w:val="24"/>
          <w:szCs w:val="24"/>
        </w:rPr>
        <w:t>M</w:t>
      </w:r>
      <w:r w:rsidRPr="003901E7">
        <w:rPr>
          <w:color w:val="000000"/>
          <w:sz w:val="24"/>
          <w:szCs w:val="24"/>
        </w:rPr>
        <w:t>useum.</w:t>
      </w:r>
      <w:r w:rsidR="00184872">
        <w:rPr>
          <w:rStyle w:val="EndnoteReference"/>
          <w:color w:val="000000"/>
          <w:sz w:val="24"/>
          <w:szCs w:val="24"/>
        </w:rPr>
        <w:endnoteReference w:id="5"/>
      </w:r>
      <w:r w:rsidR="003901E7">
        <w:rPr>
          <w:color w:val="000000"/>
          <w:sz w:val="24"/>
          <w:szCs w:val="24"/>
        </w:rPr>
        <w:t xml:space="preserve"> </w:t>
      </w:r>
      <w:r w:rsidRPr="003901E7">
        <w:rPr>
          <w:color w:val="000000"/>
          <w:sz w:val="24"/>
          <w:szCs w:val="24"/>
        </w:rPr>
        <w:t xml:space="preserve">This approach is discussed </w:t>
      </w:r>
      <w:r w:rsidR="00184872">
        <w:rPr>
          <w:color w:val="000000"/>
          <w:sz w:val="24"/>
          <w:szCs w:val="24"/>
        </w:rPr>
        <w:t>here,</w:t>
      </w:r>
      <w:r w:rsidRPr="003901E7">
        <w:rPr>
          <w:color w:val="000000"/>
          <w:sz w:val="24"/>
          <w:szCs w:val="24"/>
        </w:rPr>
        <w:t xml:space="preserve"> based on the scientific examination of two unique Bronze Age figurines from the National Museum </w:t>
      </w:r>
      <w:r w:rsidR="00184872">
        <w:rPr>
          <w:color w:val="000000"/>
          <w:sz w:val="24"/>
          <w:szCs w:val="24"/>
        </w:rPr>
        <w:t>of</w:t>
      </w:r>
      <w:r w:rsidR="00184872" w:rsidRPr="003901E7">
        <w:rPr>
          <w:color w:val="000000"/>
          <w:sz w:val="24"/>
          <w:szCs w:val="24"/>
        </w:rPr>
        <w:t xml:space="preserve"> </w:t>
      </w:r>
      <w:r w:rsidRPr="003901E7">
        <w:rPr>
          <w:color w:val="000000"/>
          <w:sz w:val="24"/>
          <w:szCs w:val="24"/>
        </w:rPr>
        <w:t>Damascus.</w:t>
      </w:r>
      <w:r w:rsidR="003901E7">
        <w:rPr>
          <w:color w:val="000000"/>
          <w:sz w:val="24"/>
          <w:szCs w:val="24"/>
        </w:rPr>
        <w:t xml:space="preserve"> </w:t>
      </w:r>
      <w:r w:rsidR="00180E0A">
        <w:rPr>
          <w:color w:val="000000"/>
          <w:sz w:val="24"/>
          <w:szCs w:val="24"/>
        </w:rPr>
        <w:t>These gilded copper-</w:t>
      </w:r>
      <w:r w:rsidRPr="003901E7">
        <w:rPr>
          <w:color w:val="000000"/>
          <w:sz w:val="24"/>
          <w:szCs w:val="24"/>
        </w:rPr>
        <w:t xml:space="preserve">alloy figurines represent the El </w:t>
      </w:r>
      <w:r w:rsidR="00184872">
        <w:rPr>
          <w:color w:val="000000"/>
          <w:sz w:val="24"/>
          <w:szCs w:val="24"/>
        </w:rPr>
        <w:t>g</w:t>
      </w:r>
      <w:r w:rsidRPr="003901E7">
        <w:rPr>
          <w:color w:val="000000"/>
          <w:sz w:val="24"/>
          <w:szCs w:val="24"/>
        </w:rPr>
        <w:t xml:space="preserve">od </w:t>
      </w:r>
      <w:r w:rsidR="00184872">
        <w:rPr>
          <w:color w:val="000000"/>
          <w:sz w:val="24"/>
          <w:szCs w:val="24"/>
        </w:rPr>
        <w:t xml:space="preserve">(the </w:t>
      </w:r>
      <w:r w:rsidRPr="003901E7">
        <w:rPr>
          <w:color w:val="000000"/>
          <w:sz w:val="24"/>
          <w:szCs w:val="24"/>
        </w:rPr>
        <w:t xml:space="preserve">principal </w:t>
      </w:r>
      <w:r w:rsidR="00184872">
        <w:rPr>
          <w:color w:val="000000"/>
          <w:sz w:val="24"/>
          <w:szCs w:val="24"/>
        </w:rPr>
        <w:t>g</w:t>
      </w:r>
      <w:r w:rsidRPr="003901E7">
        <w:rPr>
          <w:color w:val="000000"/>
          <w:sz w:val="24"/>
          <w:szCs w:val="24"/>
        </w:rPr>
        <w:t>od of Ugarit</w:t>
      </w:r>
      <w:r w:rsidR="00184872">
        <w:rPr>
          <w:color w:val="000000"/>
          <w:sz w:val="24"/>
          <w:szCs w:val="24"/>
        </w:rPr>
        <w:t>)</w:t>
      </w:r>
      <w:r w:rsidRPr="003901E7">
        <w:rPr>
          <w:color w:val="000000"/>
          <w:sz w:val="24"/>
          <w:szCs w:val="24"/>
        </w:rPr>
        <w:t xml:space="preserve"> and the </w:t>
      </w:r>
      <w:r w:rsidR="00184872">
        <w:rPr>
          <w:color w:val="000000"/>
          <w:sz w:val="24"/>
          <w:szCs w:val="24"/>
        </w:rPr>
        <w:t>g</w:t>
      </w:r>
      <w:r w:rsidRPr="003901E7">
        <w:rPr>
          <w:color w:val="000000"/>
          <w:sz w:val="24"/>
          <w:szCs w:val="24"/>
        </w:rPr>
        <w:t>od Baal</w:t>
      </w:r>
      <w:r w:rsidR="003A4FE9" w:rsidRPr="003901E7">
        <w:rPr>
          <w:color w:val="000000"/>
          <w:sz w:val="24"/>
          <w:szCs w:val="24"/>
        </w:rPr>
        <w:t>,</w:t>
      </w:r>
      <w:r w:rsidRPr="003901E7">
        <w:rPr>
          <w:color w:val="000000"/>
          <w:sz w:val="24"/>
          <w:szCs w:val="24"/>
        </w:rPr>
        <w:t xml:space="preserve"> both dated to the </w:t>
      </w:r>
      <w:r w:rsidR="003A4FE9" w:rsidRPr="003901E7">
        <w:rPr>
          <w:color w:val="000000"/>
          <w:sz w:val="24"/>
          <w:szCs w:val="24"/>
        </w:rPr>
        <w:t>L</w:t>
      </w:r>
      <w:r w:rsidRPr="003901E7">
        <w:rPr>
          <w:color w:val="000000"/>
          <w:sz w:val="24"/>
          <w:szCs w:val="24"/>
        </w:rPr>
        <w:t>ate Bronze Age (</w:t>
      </w:r>
      <w:r w:rsidR="00184872">
        <w:rPr>
          <w:color w:val="000000"/>
          <w:sz w:val="24"/>
          <w:szCs w:val="24"/>
        </w:rPr>
        <w:t>fourtee</w:t>
      </w:r>
      <w:r w:rsidR="00B23589">
        <w:rPr>
          <w:color w:val="000000"/>
          <w:sz w:val="24"/>
          <w:szCs w:val="24"/>
        </w:rPr>
        <w:t>n</w:t>
      </w:r>
      <w:r w:rsidR="00184872">
        <w:rPr>
          <w:color w:val="000000"/>
          <w:sz w:val="24"/>
          <w:szCs w:val="24"/>
        </w:rPr>
        <w:t>th</w:t>
      </w:r>
      <w:r w:rsidR="00184872" w:rsidRPr="003901E7">
        <w:rPr>
          <w:color w:val="000000"/>
          <w:sz w:val="24"/>
          <w:szCs w:val="24"/>
        </w:rPr>
        <w:t xml:space="preserve"> </w:t>
      </w:r>
      <w:r w:rsidRPr="003901E7">
        <w:rPr>
          <w:color w:val="000000"/>
          <w:sz w:val="24"/>
          <w:szCs w:val="24"/>
        </w:rPr>
        <w:t>century BC) (</w:t>
      </w:r>
      <w:r w:rsidR="00CF3E6A" w:rsidRPr="00CF3E6A">
        <w:rPr>
          <w:b/>
          <w:color w:val="000000"/>
          <w:sz w:val="24"/>
          <w:szCs w:val="24"/>
        </w:rPr>
        <w:t>fig. 46.1</w:t>
      </w:r>
      <w:r w:rsidRPr="003901E7">
        <w:rPr>
          <w:color w:val="000000"/>
          <w:sz w:val="24"/>
          <w:szCs w:val="24"/>
        </w:rPr>
        <w:t xml:space="preserve">). Compositional results of the copper alloys are presented </w:t>
      </w:r>
      <w:r w:rsidRPr="003901E7">
        <w:rPr>
          <w:sz w:val="24"/>
          <w:szCs w:val="24"/>
        </w:rPr>
        <w:t>to highlight the main problems in micro-XRF analysis of ancient bronzes, such as the heterogeneity of the alloys</w:t>
      </w:r>
      <w:r w:rsidR="003F4A20">
        <w:rPr>
          <w:sz w:val="24"/>
          <w:szCs w:val="24"/>
        </w:rPr>
        <w:t>;</w:t>
      </w:r>
      <w:r w:rsidRPr="003901E7">
        <w:rPr>
          <w:sz w:val="24"/>
          <w:szCs w:val="24"/>
        </w:rPr>
        <w:t xml:space="preserve"> the importance of using filters in the excitation path</w:t>
      </w:r>
      <w:r w:rsidR="003F4A20">
        <w:rPr>
          <w:sz w:val="24"/>
          <w:szCs w:val="24"/>
        </w:rPr>
        <w:t>;</w:t>
      </w:r>
      <w:r w:rsidRPr="003901E7">
        <w:rPr>
          <w:sz w:val="24"/>
          <w:szCs w:val="24"/>
        </w:rPr>
        <w:t xml:space="preserve"> and the production of reliable quantitative results. The scientific examination of the figurines allowed </w:t>
      </w:r>
      <w:r w:rsidR="003F4A20">
        <w:rPr>
          <w:sz w:val="24"/>
          <w:szCs w:val="24"/>
        </w:rPr>
        <w:t xml:space="preserve">us </w:t>
      </w:r>
      <w:r w:rsidRPr="003901E7">
        <w:rPr>
          <w:sz w:val="24"/>
          <w:szCs w:val="24"/>
        </w:rPr>
        <w:t>to develop practical guidelines for micro-XRF users on how to generate</w:t>
      </w:r>
      <w:r w:rsidR="00180E0A" w:rsidRPr="00180E0A">
        <w:rPr>
          <w:sz w:val="24"/>
          <w:szCs w:val="24"/>
        </w:rPr>
        <w:t xml:space="preserve"> </w:t>
      </w:r>
      <w:r w:rsidR="00180E0A" w:rsidRPr="003901E7">
        <w:rPr>
          <w:sz w:val="24"/>
          <w:szCs w:val="24"/>
        </w:rPr>
        <w:t xml:space="preserve">good quality </w:t>
      </w:r>
      <w:r w:rsidRPr="003901E7">
        <w:rPr>
          <w:sz w:val="24"/>
          <w:szCs w:val="24"/>
        </w:rPr>
        <w:t>XRF analytical data</w:t>
      </w:r>
      <w:r w:rsidR="003901E7">
        <w:rPr>
          <w:sz w:val="24"/>
          <w:szCs w:val="24"/>
        </w:rPr>
        <w:t xml:space="preserve"> </w:t>
      </w:r>
      <w:r w:rsidR="003A4FE9" w:rsidRPr="003901E7">
        <w:rPr>
          <w:sz w:val="24"/>
          <w:szCs w:val="24"/>
        </w:rPr>
        <w:t xml:space="preserve">that </w:t>
      </w:r>
      <w:r w:rsidRPr="003901E7">
        <w:rPr>
          <w:sz w:val="24"/>
          <w:szCs w:val="24"/>
        </w:rPr>
        <w:t>are representative of the bulk composition of the metal alloy.</w:t>
      </w:r>
    </w:p>
    <w:p w:rsidR="004E6D6C" w:rsidRDefault="004E6D6C" w:rsidP="004E6D6C">
      <w:pPr>
        <w:spacing w:line="360" w:lineRule="auto"/>
        <w:outlineLvl w:val="0"/>
        <w:rPr>
          <w:sz w:val="24"/>
          <w:szCs w:val="24"/>
        </w:rPr>
      </w:pPr>
    </w:p>
    <w:p w:rsidR="00EA6D32" w:rsidRPr="004E6D6C" w:rsidRDefault="003F4A20" w:rsidP="004E6D6C">
      <w:pPr>
        <w:spacing w:line="360" w:lineRule="auto"/>
        <w:outlineLvl w:val="0"/>
        <w:rPr>
          <w:sz w:val="24"/>
          <w:szCs w:val="24"/>
        </w:rPr>
      </w:pPr>
      <w:r>
        <w:rPr>
          <w:b/>
          <w:sz w:val="24"/>
          <w:szCs w:val="24"/>
        </w:rPr>
        <w:t>[A-head]</w:t>
      </w:r>
      <w:r w:rsidR="00CF3E6A" w:rsidRPr="00CF3E6A">
        <w:rPr>
          <w:b/>
          <w:sz w:val="24"/>
          <w:szCs w:val="24"/>
        </w:rPr>
        <w:t>Background</w:t>
      </w:r>
    </w:p>
    <w:p w:rsidR="003C4D7A" w:rsidRPr="003901E7" w:rsidRDefault="003C4D7A" w:rsidP="003901E7">
      <w:pPr>
        <w:spacing w:line="360" w:lineRule="auto"/>
        <w:outlineLvl w:val="0"/>
        <w:rPr>
          <w:b/>
          <w:sz w:val="24"/>
          <w:szCs w:val="24"/>
        </w:rPr>
      </w:pPr>
    </w:p>
    <w:p w:rsidR="003C4D7A" w:rsidRPr="003901E7" w:rsidRDefault="003C4D7A" w:rsidP="003901E7">
      <w:pPr>
        <w:spacing w:line="360" w:lineRule="auto"/>
        <w:outlineLvl w:val="0"/>
        <w:rPr>
          <w:sz w:val="24"/>
          <w:szCs w:val="24"/>
        </w:rPr>
      </w:pPr>
      <w:r w:rsidRPr="003901E7">
        <w:rPr>
          <w:sz w:val="24"/>
          <w:szCs w:val="24"/>
        </w:rPr>
        <w:t xml:space="preserve">XRF spectrometry is the most popular technique for the elemental analysis of </w:t>
      </w:r>
      <w:r w:rsidR="003A4FE9" w:rsidRPr="003901E7">
        <w:rPr>
          <w:sz w:val="24"/>
          <w:szCs w:val="24"/>
        </w:rPr>
        <w:t>c</w:t>
      </w:r>
      <w:r w:rsidRPr="003901E7">
        <w:rPr>
          <w:sz w:val="24"/>
          <w:szCs w:val="24"/>
        </w:rPr>
        <w:t xml:space="preserve">ulture </w:t>
      </w:r>
      <w:r w:rsidR="003A4FE9" w:rsidRPr="003901E7">
        <w:rPr>
          <w:sz w:val="24"/>
          <w:szCs w:val="24"/>
        </w:rPr>
        <w:t>h</w:t>
      </w:r>
      <w:r w:rsidRPr="003901E7">
        <w:rPr>
          <w:sz w:val="24"/>
          <w:szCs w:val="24"/>
        </w:rPr>
        <w:t>eritage</w:t>
      </w:r>
      <w:r w:rsidR="003901E7">
        <w:rPr>
          <w:sz w:val="24"/>
          <w:szCs w:val="24"/>
        </w:rPr>
        <w:t xml:space="preserve"> </w:t>
      </w:r>
      <w:r w:rsidRPr="003901E7">
        <w:rPr>
          <w:sz w:val="24"/>
          <w:szCs w:val="24"/>
        </w:rPr>
        <w:t>(CH) objects,</w:t>
      </w:r>
      <w:r w:rsidR="003F4A20">
        <w:rPr>
          <w:rStyle w:val="EndnoteReference"/>
          <w:sz w:val="24"/>
          <w:szCs w:val="24"/>
        </w:rPr>
        <w:endnoteReference w:id="6"/>
      </w:r>
      <w:r w:rsidRPr="003901E7">
        <w:rPr>
          <w:sz w:val="24"/>
          <w:szCs w:val="24"/>
        </w:rPr>
        <w:t xml:space="preserve"> since </w:t>
      </w:r>
      <w:r w:rsidR="003F4A20">
        <w:rPr>
          <w:sz w:val="24"/>
          <w:szCs w:val="24"/>
        </w:rPr>
        <w:t>it is</w:t>
      </w:r>
      <w:r w:rsidRPr="003901E7">
        <w:rPr>
          <w:sz w:val="24"/>
          <w:szCs w:val="24"/>
        </w:rPr>
        <w:t xml:space="preserve"> noninvasive </w:t>
      </w:r>
      <w:r w:rsidR="003F4A20">
        <w:rPr>
          <w:sz w:val="24"/>
          <w:szCs w:val="24"/>
        </w:rPr>
        <w:t>and</w:t>
      </w:r>
      <w:r w:rsidRPr="003901E7">
        <w:rPr>
          <w:sz w:val="24"/>
          <w:szCs w:val="24"/>
        </w:rPr>
        <w:t xml:space="preserve"> can detect a wide range of elements, providing fast qualitative and in some cases validated quantitative results. </w:t>
      </w:r>
    </w:p>
    <w:p w:rsidR="003C4D7A" w:rsidRPr="003901E7" w:rsidRDefault="00E807F6" w:rsidP="003901E7">
      <w:pPr>
        <w:spacing w:line="360" w:lineRule="auto"/>
        <w:outlineLvl w:val="0"/>
        <w:rPr>
          <w:sz w:val="24"/>
          <w:szCs w:val="24"/>
        </w:rPr>
      </w:pPr>
      <w:r>
        <w:rPr>
          <w:sz w:val="24"/>
          <w:szCs w:val="24"/>
        </w:rPr>
        <w:t>Despite</w:t>
      </w:r>
      <w:r w:rsidRPr="003901E7">
        <w:rPr>
          <w:sz w:val="24"/>
          <w:szCs w:val="24"/>
        </w:rPr>
        <w:t xml:space="preserve"> </w:t>
      </w:r>
      <w:r w:rsidR="003C4D7A" w:rsidRPr="003901E7">
        <w:rPr>
          <w:sz w:val="24"/>
          <w:szCs w:val="24"/>
        </w:rPr>
        <w:t>the obvious advantages, the technique does have limitations</w:t>
      </w:r>
      <w:r>
        <w:rPr>
          <w:sz w:val="24"/>
          <w:szCs w:val="24"/>
        </w:rPr>
        <w:t>,</w:t>
      </w:r>
      <w:r w:rsidR="003C4D7A" w:rsidRPr="003901E7">
        <w:rPr>
          <w:sz w:val="24"/>
          <w:szCs w:val="24"/>
        </w:rPr>
        <w:t xml:space="preserve"> in particular when it is used for the analysis of CH metal objects utilizing an exciting X-ray beam with a size at the order of 0.1mm or below.</w:t>
      </w:r>
      <w:r w:rsidR="003C4D7A" w:rsidRPr="003901E7">
        <w:rPr>
          <w:rFonts w:eastAsia="MS Mincho"/>
          <w:sz w:val="24"/>
          <w:szCs w:val="24"/>
          <w:lang w:eastAsia="ja-JP"/>
        </w:rPr>
        <w:t xml:space="preserve"> The high spatial resolution of the exciting X-ray may produce misleading results for specific metal alloys</w:t>
      </w:r>
      <w:r>
        <w:rPr>
          <w:rFonts w:eastAsia="MS Mincho"/>
          <w:sz w:val="24"/>
          <w:szCs w:val="24"/>
          <w:lang w:eastAsia="ja-JP"/>
        </w:rPr>
        <w:t>. This is</w:t>
      </w:r>
      <w:r w:rsidR="003C4D7A" w:rsidRPr="003901E7">
        <w:rPr>
          <w:rFonts w:eastAsia="MS Mincho"/>
          <w:sz w:val="24"/>
          <w:szCs w:val="24"/>
          <w:lang w:eastAsia="ja-JP"/>
        </w:rPr>
        <w:t xml:space="preserve"> due to their micro-scale heterogeneity</w:t>
      </w:r>
      <w:r>
        <w:rPr>
          <w:rFonts w:eastAsia="MS Mincho"/>
          <w:sz w:val="24"/>
          <w:szCs w:val="24"/>
          <w:lang w:eastAsia="ja-JP"/>
        </w:rPr>
        <w:t>,</w:t>
      </w:r>
      <w:r w:rsidR="003C4D7A" w:rsidRPr="003901E7">
        <w:rPr>
          <w:sz w:val="24"/>
          <w:szCs w:val="24"/>
        </w:rPr>
        <w:t xml:space="preserve"> </w:t>
      </w:r>
      <w:r>
        <w:rPr>
          <w:sz w:val="24"/>
          <w:szCs w:val="24"/>
        </w:rPr>
        <w:t>which</w:t>
      </w:r>
      <w:r w:rsidRPr="003901E7">
        <w:rPr>
          <w:sz w:val="24"/>
          <w:szCs w:val="24"/>
        </w:rPr>
        <w:t xml:space="preserve"> </w:t>
      </w:r>
      <w:r w:rsidR="003C4D7A" w:rsidRPr="003901E7">
        <w:rPr>
          <w:sz w:val="24"/>
          <w:szCs w:val="24"/>
        </w:rPr>
        <w:t>originates from the degree of solubility of the individual constituent elements and/or from the formation of corrosion products on the surface.</w:t>
      </w:r>
      <w:r>
        <w:rPr>
          <w:rStyle w:val="EndnoteReference"/>
          <w:sz w:val="24"/>
          <w:szCs w:val="24"/>
        </w:rPr>
        <w:endnoteReference w:id="7"/>
      </w:r>
      <w:r w:rsidR="003C4D7A" w:rsidRPr="003901E7">
        <w:rPr>
          <w:sz w:val="24"/>
          <w:szCs w:val="24"/>
        </w:rPr>
        <w:t xml:space="preserve"> </w:t>
      </w:r>
    </w:p>
    <w:p w:rsidR="003C4D7A" w:rsidRPr="003901E7" w:rsidRDefault="003C4D7A" w:rsidP="003901E7">
      <w:pPr>
        <w:spacing w:line="360" w:lineRule="auto"/>
        <w:outlineLvl w:val="0"/>
        <w:rPr>
          <w:sz w:val="24"/>
          <w:szCs w:val="24"/>
        </w:rPr>
      </w:pPr>
      <w:r w:rsidRPr="003901E7">
        <w:rPr>
          <w:rFonts w:eastAsia="MS Mincho"/>
          <w:sz w:val="24"/>
          <w:szCs w:val="24"/>
          <w:lang w:eastAsia="ja-JP"/>
        </w:rPr>
        <w:lastRenderedPageBreak/>
        <w:t>In the case of quaternary copper (Cu) alloys with significant lead (Pb) concentration, segregation</w:t>
      </w:r>
      <w:r w:rsidRPr="003901E7">
        <w:rPr>
          <w:sz w:val="24"/>
          <w:szCs w:val="24"/>
        </w:rPr>
        <w:t xml:space="preserve"> effects appear due to the immiscibility of the Cu and Pb phases</w:t>
      </w:r>
      <w:r w:rsidR="004E12EC" w:rsidRPr="003901E7">
        <w:rPr>
          <w:sz w:val="24"/>
          <w:szCs w:val="24"/>
        </w:rPr>
        <w:t>,</w:t>
      </w:r>
      <w:r w:rsidRPr="003901E7">
        <w:rPr>
          <w:sz w:val="24"/>
          <w:szCs w:val="24"/>
        </w:rPr>
        <w:t xml:space="preserve"> resulting in the concentration of Pb globules </w:t>
      </w:r>
      <w:r w:rsidR="00E807F6">
        <w:rPr>
          <w:sz w:val="24"/>
          <w:szCs w:val="24"/>
        </w:rPr>
        <w:t>at</w:t>
      </w:r>
      <w:r w:rsidR="00E807F6" w:rsidRPr="003901E7">
        <w:rPr>
          <w:sz w:val="24"/>
          <w:szCs w:val="24"/>
        </w:rPr>
        <w:t xml:space="preserve"> </w:t>
      </w:r>
      <w:r w:rsidRPr="003901E7">
        <w:rPr>
          <w:sz w:val="24"/>
          <w:szCs w:val="24"/>
        </w:rPr>
        <w:t>the Cu grain boundaries.</w:t>
      </w:r>
      <w:r w:rsidR="00E807F6">
        <w:rPr>
          <w:rStyle w:val="EndnoteReference"/>
          <w:sz w:val="24"/>
          <w:szCs w:val="24"/>
        </w:rPr>
        <w:endnoteReference w:id="8"/>
      </w:r>
      <w:r w:rsidRPr="003901E7">
        <w:rPr>
          <w:sz w:val="24"/>
          <w:szCs w:val="24"/>
        </w:rPr>
        <w:t xml:space="preserve"> Also, surface finishing techniques may result in partial removal of Pb from the inter-granular regions or to cause Pb smearing across the surface.</w:t>
      </w:r>
      <w:r w:rsidR="00E807F6">
        <w:rPr>
          <w:rStyle w:val="EndnoteReference"/>
          <w:sz w:val="24"/>
          <w:szCs w:val="24"/>
        </w:rPr>
        <w:endnoteReference w:id="9"/>
      </w:r>
      <w:r w:rsidR="003901E7">
        <w:rPr>
          <w:sz w:val="24"/>
          <w:szCs w:val="24"/>
        </w:rPr>
        <w:t xml:space="preserve"> </w:t>
      </w:r>
      <w:r w:rsidRPr="003901E7">
        <w:rPr>
          <w:sz w:val="24"/>
          <w:szCs w:val="24"/>
        </w:rPr>
        <w:t xml:space="preserve">In the case of bronzes, the corrosion process may alter the surface in particular due to the </w:t>
      </w:r>
      <w:r w:rsidR="00E807F6" w:rsidRPr="003901E7">
        <w:rPr>
          <w:sz w:val="24"/>
          <w:szCs w:val="24"/>
          <w:lang w:eastAsia="el-GR"/>
        </w:rPr>
        <w:t xml:space="preserve">phenomenon </w:t>
      </w:r>
      <w:r w:rsidR="00E807F6">
        <w:rPr>
          <w:sz w:val="24"/>
          <w:szCs w:val="24"/>
          <w:lang w:eastAsia="el-GR"/>
        </w:rPr>
        <w:t xml:space="preserve">of </w:t>
      </w:r>
      <w:r w:rsidRPr="003901E7">
        <w:rPr>
          <w:sz w:val="24"/>
          <w:szCs w:val="24"/>
          <w:lang w:eastAsia="el-GR"/>
        </w:rPr>
        <w:t>decuprification. For</w:t>
      </w:r>
      <w:r w:rsidRPr="003901E7">
        <w:rPr>
          <w:sz w:val="24"/>
          <w:szCs w:val="24"/>
        </w:rPr>
        <w:t xml:space="preserve"> binary bronze alloys</w:t>
      </w:r>
      <w:r w:rsidR="00E807F6">
        <w:rPr>
          <w:sz w:val="24"/>
          <w:szCs w:val="24"/>
        </w:rPr>
        <w:t>,</w:t>
      </w:r>
      <w:r w:rsidRPr="003901E7">
        <w:rPr>
          <w:sz w:val="24"/>
          <w:szCs w:val="24"/>
        </w:rPr>
        <w:t xml:space="preserve"> the alteration of the surface is very well described by </w:t>
      </w:r>
      <w:r w:rsidR="00E807F6">
        <w:rPr>
          <w:sz w:val="24"/>
          <w:szCs w:val="24"/>
        </w:rPr>
        <w:t xml:space="preserve">Luc </w:t>
      </w:r>
      <w:r w:rsidRPr="003901E7">
        <w:rPr>
          <w:sz w:val="24"/>
          <w:szCs w:val="24"/>
        </w:rPr>
        <w:t xml:space="preserve">Robbiola </w:t>
      </w:r>
      <w:r w:rsidR="00CF3E6A" w:rsidRPr="00CF3E6A">
        <w:rPr>
          <w:rFonts w:eastAsia="MS Mincho"/>
          <w:color w:val="000000"/>
          <w:sz w:val="24"/>
          <w:szCs w:val="24"/>
          <w:lang w:eastAsia="ja-JP"/>
        </w:rPr>
        <w:t>and colleagues</w:t>
      </w:r>
      <w:r w:rsidR="00E807F6">
        <w:rPr>
          <w:sz w:val="24"/>
          <w:szCs w:val="24"/>
        </w:rPr>
        <w:t>,</w:t>
      </w:r>
      <w:r w:rsidRPr="003901E7">
        <w:rPr>
          <w:sz w:val="24"/>
          <w:szCs w:val="24"/>
        </w:rPr>
        <w:t xml:space="preserve"> who proposed a factor to transform the analytical results obtained from the surface (corrosion layer) to those that represent the bulk of the metal alloy.</w:t>
      </w:r>
      <w:r w:rsidR="00E807F6">
        <w:rPr>
          <w:rStyle w:val="EndnoteReference"/>
          <w:sz w:val="24"/>
          <w:szCs w:val="24"/>
        </w:rPr>
        <w:endnoteReference w:id="10"/>
      </w:r>
      <w:r w:rsidRPr="003901E7">
        <w:rPr>
          <w:sz w:val="24"/>
          <w:szCs w:val="24"/>
        </w:rPr>
        <w:t xml:space="preserve"> Another way to achieve reliable quantitative results is to distinguish corroded from </w:t>
      </w:r>
      <w:r w:rsidR="00E807F6">
        <w:rPr>
          <w:sz w:val="24"/>
          <w:szCs w:val="24"/>
        </w:rPr>
        <w:t>“</w:t>
      </w:r>
      <w:r w:rsidRPr="003901E7">
        <w:rPr>
          <w:sz w:val="24"/>
          <w:szCs w:val="24"/>
        </w:rPr>
        <w:t>corrosion-free</w:t>
      </w:r>
      <w:r w:rsidR="00E807F6">
        <w:rPr>
          <w:sz w:val="24"/>
          <w:szCs w:val="24"/>
        </w:rPr>
        <w:t>”</w:t>
      </w:r>
      <w:r w:rsidRPr="003901E7">
        <w:rPr>
          <w:sz w:val="24"/>
          <w:szCs w:val="24"/>
        </w:rPr>
        <w:t xml:space="preserve"> surfaces, if </w:t>
      </w:r>
      <w:r w:rsidR="00E807F6">
        <w:rPr>
          <w:sz w:val="24"/>
          <w:szCs w:val="24"/>
        </w:rPr>
        <w:t>such exist</w:t>
      </w:r>
      <w:r w:rsidRPr="003901E7">
        <w:rPr>
          <w:sz w:val="24"/>
          <w:szCs w:val="24"/>
        </w:rPr>
        <w:t>. In the case of binary (Cu-Sn) bronzes, the ratio of Sn Kα to Lα lines of the examined alloy was suggested</w:t>
      </w:r>
      <w:r w:rsidR="00E807F6">
        <w:rPr>
          <w:rStyle w:val="EndnoteReference"/>
          <w:sz w:val="24"/>
          <w:szCs w:val="24"/>
        </w:rPr>
        <w:endnoteReference w:id="11"/>
      </w:r>
      <w:r w:rsidRPr="003901E7">
        <w:rPr>
          <w:sz w:val="24"/>
          <w:szCs w:val="24"/>
        </w:rPr>
        <w:t xml:space="preserve"> in order to access a finishing technique or/and the alteration of the original alloy. Later on</w:t>
      </w:r>
      <w:r w:rsidR="00BE3650" w:rsidRPr="003901E7">
        <w:rPr>
          <w:sz w:val="24"/>
          <w:szCs w:val="24"/>
        </w:rPr>
        <w:t>,</w:t>
      </w:r>
      <w:r w:rsidRPr="003901E7">
        <w:rPr>
          <w:sz w:val="24"/>
          <w:szCs w:val="24"/>
        </w:rPr>
        <w:t xml:space="preserve"> this ratio was further developed as a robust semi-quantitative criterion</w:t>
      </w:r>
      <w:r w:rsidR="003901E7">
        <w:rPr>
          <w:sz w:val="24"/>
          <w:szCs w:val="24"/>
        </w:rPr>
        <w:t xml:space="preserve"> </w:t>
      </w:r>
      <w:r w:rsidRPr="003901E7">
        <w:rPr>
          <w:sz w:val="24"/>
          <w:szCs w:val="24"/>
        </w:rPr>
        <w:t xml:space="preserve">to assess the </w:t>
      </w:r>
      <w:r w:rsidR="00E807F6">
        <w:rPr>
          <w:sz w:val="24"/>
          <w:szCs w:val="24"/>
        </w:rPr>
        <w:t xml:space="preserve">presence or absence of </w:t>
      </w:r>
      <w:r w:rsidRPr="003901E7">
        <w:rPr>
          <w:sz w:val="24"/>
          <w:szCs w:val="24"/>
        </w:rPr>
        <w:t>surface alteration</w:t>
      </w:r>
      <w:r w:rsidR="00E807F6">
        <w:rPr>
          <w:sz w:val="24"/>
          <w:szCs w:val="24"/>
        </w:rPr>
        <w:t>,</w:t>
      </w:r>
      <w:r w:rsidRPr="003901E7">
        <w:rPr>
          <w:sz w:val="24"/>
          <w:szCs w:val="24"/>
        </w:rPr>
        <w:t xml:space="preserve"> </w:t>
      </w:r>
      <w:r w:rsidR="00E807F6">
        <w:rPr>
          <w:sz w:val="24"/>
          <w:szCs w:val="24"/>
        </w:rPr>
        <w:t>which</w:t>
      </w:r>
      <w:r w:rsidR="00E807F6" w:rsidRPr="003901E7">
        <w:rPr>
          <w:sz w:val="24"/>
          <w:szCs w:val="24"/>
        </w:rPr>
        <w:t xml:space="preserve"> </w:t>
      </w:r>
      <w:r w:rsidRPr="003901E7">
        <w:rPr>
          <w:sz w:val="24"/>
          <w:szCs w:val="24"/>
        </w:rPr>
        <w:t>can be used for different XRF spectrometers and operational conditions</w:t>
      </w:r>
      <w:r w:rsidR="00BE3650" w:rsidRPr="003901E7">
        <w:rPr>
          <w:sz w:val="24"/>
          <w:szCs w:val="24"/>
        </w:rPr>
        <w:t>.</w:t>
      </w:r>
      <w:r w:rsidR="00E807F6">
        <w:rPr>
          <w:rStyle w:val="EndnoteReference"/>
          <w:sz w:val="24"/>
          <w:szCs w:val="24"/>
        </w:rPr>
        <w:endnoteReference w:id="12"/>
      </w:r>
      <w:r w:rsidRPr="003901E7">
        <w:rPr>
          <w:sz w:val="24"/>
          <w:szCs w:val="24"/>
        </w:rPr>
        <w:t xml:space="preserve"> Another way to approach the original composition of the alloy is by using </w:t>
      </w:r>
      <w:r w:rsidR="00843D73" w:rsidRPr="00537963">
        <w:rPr>
          <w:sz w:val="24"/>
          <w:szCs w:val="24"/>
        </w:rPr>
        <w:t>energy</w:t>
      </w:r>
      <w:r w:rsidR="00843D73">
        <w:rPr>
          <w:sz w:val="24"/>
          <w:szCs w:val="24"/>
        </w:rPr>
        <w:t xml:space="preserve"> dispersive x-ray fluorescence (</w:t>
      </w:r>
      <w:r w:rsidRPr="003901E7">
        <w:rPr>
          <w:sz w:val="24"/>
          <w:szCs w:val="24"/>
        </w:rPr>
        <w:t>EDXRF</w:t>
      </w:r>
      <w:r w:rsidR="00843D73">
        <w:rPr>
          <w:sz w:val="24"/>
          <w:szCs w:val="24"/>
        </w:rPr>
        <w:t>)</w:t>
      </w:r>
      <w:r w:rsidRPr="003901E7">
        <w:rPr>
          <w:sz w:val="24"/>
          <w:szCs w:val="24"/>
        </w:rPr>
        <w:t xml:space="preserve"> measurements combined with Mon</w:t>
      </w:r>
      <w:r w:rsidR="00843D73">
        <w:rPr>
          <w:sz w:val="24"/>
          <w:szCs w:val="24"/>
        </w:rPr>
        <w:t>t</w:t>
      </w:r>
      <w:r w:rsidRPr="003901E7">
        <w:rPr>
          <w:sz w:val="24"/>
          <w:szCs w:val="24"/>
        </w:rPr>
        <w:t>e Carlo methods.</w:t>
      </w:r>
      <w:r w:rsidR="00843D73">
        <w:rPr>
          <w:rStyle w:val="EndnoteReference"/>
          <w:sz w:val="24"/>
          <w:szCs w:val="24"/>
        </w:rPr>
        <w:endnoteReference w:id="13"/>
      </w:r>
      <w:r w:rsidRPr="003901E7">
        <w:rPr>
          <w:sz w:val="24"/>
          <w:szCs w:val="24"/>
        </w:rPr>
        <w:t xml:space="preserve"> </w:t>
      </w:r>
    </w:p>
    <w:p w:rsidR="003C4D7A" w:rsidRDefault="003C4D7A" w:rsidP="003901E7">
      <w:pPr>
        <w:spacing w:line="360" w:lineRule="auto"/>
        <w:outlineLvl w:val="0"/>
        <w:rPr>
          <w:bCs/>
          <w:sz w:val="24"/>
          <w:szCs w:val="24"/>
        </w:rPr>
      </w:pPr>
      <w:r w:rsidRPr="003901E7">
        <w:rPr>
          <w:sz w:val="24"/>
          <w:szCs w:val="24"/>
        </w:rPr>
        <w:t xml:space="preserve">Another problem </w:t>
      </w:r>
      <w:r w:rsidR="00843D73">
        <w:rPr>
          <w:sz w:val="24"/>
          <w:szCs w:val="24"/>
        </w:rPr>
        <w:t>with</w:t>
      </w:r>
      <w:r w:rsidR="00843D73" w:rsidRPr="003901E7">
        <w:rPr>
          <w:sz w:val="24"/>
          <w:szCs w:val="24"/>
        </w:rPr>
        <w:t xml:space="preserve"> </w:t>
      </w:r>
      <w:r w:rsidRPr="003901E7">
        <w:rPr>
          <w:sz w:val="24"/>
          <w:szCs w:val="24"/>
        </w:rPr>
        <w:t>the micro-XRF analysis of metals is the presence in the spectrum of peaks that energetically coincide with constituent elements</w:t>
      </w:r>
      <w:r w:rsidR="00843D73">
        <w:rPr>
          <w:sz w:val="24"/>
          <w:szCs w:val="24"/>
        </w:rPr>
        <w:t>’</w:t>
      </w:r>
      <w:r w:rsidRPr="003901E7">
        <w:rPr>
          <w:sz w:val="24"/>
          <w:szCs w:val="24"/>
        </w:rPr>
        <w:t xml:space="preserve"> characteristic X-rays. </w:t>
      </w:r>
      <w:r w:rsidRPr="003901E7">
        <w:rPr>
          <w:bCs/>
          <w:sz w:val="24"/>
          <w:szCs w:val="24"/>
        </w:rPr>
        <w:t xml:space="preserve">The surface of a </w:t>
      </w:r>
      <w:r w:rsidR="00843D73">
        <w:rPr>
          <w:bCs/>
          <w:sz w:val="24"/>
          <w:szCs w:val="24"/>
        </w:rPr>
        <w:t>“</w:t>
      </w:r>
      <w:r w:rsidRPr="003901E7">
        <w:rPr>
          <w:bCs/>
          <w:sz w:val="24"/>
          <w:szCs w:val="24"/>
        </w:rPr>
        <w:t>corrosion-free</w:t>
      </w:r>
      <w:r w:rsidR="00843D73">
        <w:rPr>
          <w:bCs/>
          <w:sz w:val="24"/>
          <w:szCs w:val="24"/>
        </w:rPr>
        <w:t>”</w:t>
      </w:r>
      <w:r w:rsidRPr="003901E7">
        <w:rPr>
          <w:bCs/>
          <w:sz w:val="24"/>
          <w:szCs w:val="24"/>
        </w:rPr>
        <w:t xml:space="preserve"> metal alloy exhibits a rather polycrystalline structure. Therefore, when the X-ray tube continuum-</w:t>
      </w:r>
      <w:r w:rsidR="00BE3650" w:rsidRPr="003901E7">
        <w:rPr>
          <w:bCs/>
          <w:sz w:val="24"/>
          <w:szCs w:val="24"/>
        </w:rPr>
        <w:t>B</w:t>
      </w:r>
      <w:r w:rsidRPr="003901E7">
        <w:rPr>
          <w:bCs/>
          <w:sz w:val="24"/>
          <w:szCs w:val="24"/>
        </w:rPr>
        <w:t>remsstrahlung radiation is utilized as an excitation source, it is probable that the Bragg equation will be fulfilled at certain energies under a particular geometrical set-up configuration. More specifically, according to Bragg</w:t>
      </w:r>
      <w:r w:rsidR="00843D73">
        <w:rPr>
          <w:bCs/>
          <w:sz w:val="24"/>
          <w:szCs w:val="24"/>
        </w:rPr>
        <w:t>’s</w:t>
      </w:r>
      <w:r w:rsidRPr="003901E7">
        <w:rPr>
          <w:bCs/>
          <w:sz w:val="24"/>
          <w:szCs w:val="24"/>
        </w:rPr>
        <w:t xml:space="preserve"> law:</w:t>
      </w:r>
    </w:p>
    <w:p w:rsidR="00843D73" w:rsidRPr="003901E7" w:rsidRDefault="00843D73" w:rsidP="003901E7">
      <w:pPr>
        <w:spacing w:line="360" w:lineRule="auto"/>
        <w:outlineLvl w:val="0"/>
        <w:rPr>
          <w:bCs/>
          <w:sz w:val="24"/>
          <w:szCs w:val="24"/>
        </w:rPr>
      </w:pPr>
      <w:r>
        <w:rPr>
          <w:bCs/>
          <w:sz w:val="24"/>
          <w:szCs w:val="24"/>
        </w:rPr>
        <w:t>[unnumbered list]</w:t>
      </w:r>
    </w:p>
    <w:p w:rsidR="003C4D7A" w:rsidRPr="003901E7" w:rsidRDefault="00843D73" w:rsidP="003901E7">
      <w:pPr>
        <w:spacing w:line="360" w:lineRule="auto"/>
        <w:outlineLvl w:val="0"/>
        <w:rPr>
          <w:bCs/>
          <w:sz w:val="24"/>
          <w:szCs w:val="24"/>
        </w:rPr>
      </w:pPr>
      <w:r w:rsidRPr="003901E7">
        <w:rPr>
          <w:bCs/>
          <w:sz w:val="24"/>
          <w:szCs w:val="24"/>
        </w:rPr>
        <w:t>2</w:t>
      </w:r>
      <w:r w:rsidR="00CF3E6A" w:rsidRPr="00CF3E6A">
        <w:rPr>
          <w:bCs/>
          <w:i/>
          <w:sz w:val="24"/>
          <w:szCs w:val="24"/>
        </w:rPr>
        <w:t>d</w:t>
      </w:r>
      <w:r>
        <w:rPr>
          <w:bCs/>
          <w:sz w:val="24"/>
          <w:szCs w:val="24"/>
          <w:rtl/>
          <w:lang w:bidi="he-IL"/>
        </w:rPr>
        <w:t xml:space="preserve"> </w:t>
      </w:r>
      <w:r w:rsidRPr="003901E7">
        <w:rPr>
          <w:bCs/>
          <w:sz w:val="24"/>
          <w:szCs w:val="24"/>
        </w:rPr>
        <w:t xml:space="preserve">sin </w:t>
      </w:r>
      <w:r w:rsidR="00CF3E6A" w:rsidRPr="00CF3E6A">
        <w:rPr>
          <w:bCs/>
          <w:i/>
          <w:sz w:val="24"/>
          <w:szCs w:val="24"/>
        </w:rPr>
        <w:t>θ</w:t>
      </w:r>
      <w:r w:rsidR="003C4D7A" w:rsidRPr="003901E7">
        <w:rPr>
          <w:bCs/>
          <w:sz w:val="24"/>
          <w:szCs w:val="24"/>
        </w:rPr>
        <w:t xml:space="preserve"> = </w:t>
      </w:r>
      <w:r w:rsidR="00CF3E6A" w:rsidRPr="00CF3E6A">
        <w:rPr>
          <w:bCs/>
          <w:i/>
          <w:sz w:val="24"/>
          <w:szCs w:val="24"/>
        </w:rPr>
        <w:t>n</w:t>
      </w:r>
      <w:r w:rsidR="003C4D7A" w:rsidRPr="003901E7">
        <w:rPr>
          <w:bCs/>
          <w:sz w:val="24"/>
          <w:szCs w:val="24"/>
        </w:rPr>
        <w:t xml:space="preserve">λ, where </w:t>
      </w:r>
    </w:p>
    <w:p w:rsidR="003C4D7A" w:rsidRPr="003901E7" w:rsidRDefault="003C4D7A" w:rsidP="003901E7">
      <w:pPr>
        <w:spacing w:line="360" w:lineRule="auto"/>
        <w:outlineLvl w:val="0"/>
        <w:rPr>
          <w:bCs/>
          <w:sz w:val="24"/>
          <w:szCs w:val="24"/>
        </w:rPr>
      </w:pPr>
      <w:r w:rsidRPr="003901E7">
        <w:rPr>
          <w:bCs/>
          <w:sz w:val="24"/>
          <w:szCs w:val="24"/>
        </w:rPr>
        <w:t xml:space="preserve"> </w:t>
      </w:r>
      <w:r w:rsidR="00CF3E6A" w:rsidRPr="00CF3E6A">
        <w:rPr>
          <w:bCs/>
          <w:i/>
          <w:sz w:val="24"/>
          <w:szCs w:val="24"/>
        </w:rPr>
        <w:t>d</w:t>
      </w:r>
      <w:r w:rsidRPr="003901E7">
        <w:rPr>
          <w:bCs/>
          <w:sz w:val="24"/>
          <w:szCs w:val="24"/>
        </w:rPr>
        <w:t xml:space="preserve"> = sample crystal lattice spacing; </w:t>
      </w:r>
    </w:p>
    <w:p w:rsidR="003C4D7A" w:rsidRPr="003901E7" w:rsidRDefault="003C4D7A" w:rsidP="003901E7">
      <w:pPr>
        <w:spacing w:line="360" w:lineRule="auto"/>
        <w:outlineLvl w:val="0"/>
        <w:rPr>
          <w:bCs/>
          <w:sz w:val="24"/>
          <w:szCs w:val="24"/>
        </w:rPr>
      </w:pPr>
      <w:r w:rsidRPr="003901E7">
        <w:rPr>
          <w:bCs/>
          <w:sz w:val="24"/>
          <w:szCs w:val="24"/>
        </w:rPr>
        <w:t>2</w:t>
      </w:r>
      <w:r w:rsidR="00CF3E6A" w:rsidRPr="00CF3E6A">
        <w:rPr>
          <w:bCs/>
          <w:i/>
          <w:sz w:val="24"/>
          <w:szCs w:val="24"/>
        </w:rPr>
        <w:t>θ</w:t>
      </w:r>
      <w:r w:rsidRPr="003901E7">
        <w:rPr>
          <w:bCs/>
          <w:sz w:val="24"/>
          <w:szCs w:val="24"/>
        </w:rPr>
        <w:t xml:space="preserve"> = </w:t>
      </w:r>
      <w:r w:rsidR="00396FF5">
        <w:rPr>
          <w:bCs/>
          <w:sz w:val="24"/>
          <w:szCs w:val="24"/>
        </w:rPr>
        <w:t xml:space="preserve">angle between the incident and the </w:t>
      </w:r>
      <w:r w:rsidRPr="003901E7">
        <w:rPr>
          <w:bCs/>
          <w:sz w:val="24"/>
          <w:szCs w:val="24"/>
        </w:rPr>
        <w:t xml:space="preserve">reflected beam from the sample; </w:t>
      </w:r>
    </w:p>
    <w:p w:rsidR="003C4D7A" w:rsidRDefault="003C4D7A" w:rsidP="003901E7">
      <w:pPr>
        <w:spacing w:line="360" w:lineRule="auto"/>
        <w:outlineLvl w:val="0"/>
        <w:rPr>
          <w:bCs/>
          <w:sz w:val="24"/>
          <w:szCs w:val="24"/>
        </w:rPr>
      </w:pPr>
      <w:r w:rsidRPr="003901E7">
        <w:rPr>
          <w:bCs/>
          <w:sz w:val="24"/>
          <w:szCs w:val="24"/>
        </w:rPr>
        <w:t xml:space="preserve"> λ = wavelength of the incident radiation. </w:t>
      </w:r>
    </w:p>
    <w:p w:rsidR="00843D73" w:rsidRPr="003901E7" w:rsidRDefault="00843D73" w:rsidP="003901E7">
      <w:pPr>
        <w:spacing w:line="360" w:lineRule="auto"/>
        <w:outlineLvl w:val="0"/>
        <w:rPr>
          <w:bCs/>
          <w:sz w:val="24"/>
          <w:szCs w:val="24"/>
        </w:rPr>
      </w:pPr>
      <w:r>
        <w:rPr>
          <w:bCs/>
          <w:sz w:val="24"/>
          <w:szCs w:val="24"/>
        </w:rPr>
        <w:t>[end unnumbered list]</w:t>
      </w:r>
    </w:p>
    <w:p w:rsidR="00881C17" w:rsidRDefault="003C4D7A" w:rsidP="003901E7">
      <w:pPr>
        <w:spacing w:line="360" w:lineRule="auto"/>
        <w:outlineLvl w:val="0"/>
        <w:rPr>
          <w:bCs/>
          <w:sz w:val="24"/>
          <w:szCs w:val="24"/>
        </w:rPr>
      </w:pPr>
      <w:r w:rsidRPr="003901E7">
        <w:rPr>
          <w:bCs/>
          <w:sz w:val="24"/>
          <w:szCs w:val="24"/>
        </w:rPr>
        <w:t>Thus, it might be possible that</w:t>
      </w:r>
      <w:r w:rsidR="00843D73">
        <w:rPr>
          <w:bCs/>
          <w:sz w:val="24"/>
          <w:szCs w:val="24"/>
        </w:rPr>
        <w:t>,</w:t>
      </w:r>
      <w:r w:rsidRPr="003901E7">
        <w:rPr>
          <w:bCs/>
          <w:sz w:val="24"/>
          <w:szCs w:val="24"/>
        </w:rPr>
        <w:t xml:space="preserve"> for certain </w:t>
      </w:r>
      <w:r w:rsidR="00396FF5" w:rsidRPr="003901E7">
        <w:rPr>
          <w:bCs/>
          <w:sz w:val="24"/>
          <w:szCs w:val="24"/>
        </w:rPr>
        <w:t>values</w:t>
      </w:r>
      <w:r w:rsidR="00396FF5">
        <w:rPr>
          <w:bCs/>
          <w:sz w:val="24"/>
          <w:szCs w:val="24"/>
        </w:rPr>
        <w:t xml:space="preserve"> of</w:t>
      </w:r>
      <w:r w:rsidR="00396FF5" w:rsidRPr="00B81C9E">
        <w:rPr>
          <w:bCs/>
          <w:i/>
          <w:sz w:val="24"/>
          <w:szCs w:val="24"/>
        </w:rPr>
        <w:t xml:space="preserve"> </w:t>
      </w:r>
      <w:r w:rsidR="00CF3E6A" w:rsidRPr="00CF3E6A">
        <w:rPr>
          <w:bCs/>
          <w:i/>
          <w:sz w:val="24"/>
          <w:szCs w:val="24"/>
        </w:rPr>
        <w:t>d</w:t>
      </w:r>
      <w:r w:rsidRPr="003901E7">
        <w:rPr>
          <w:bCs/>
          <w:sz w:val="24"/>
          <w:szCs w:val="24"/>
        </w:rPr>
        <w:t xml:space="preserve"> and </w:t>
      </w:r>
      <w:r w:rsidR="00CF3E6A" w:rsidRPr="00CF3E6A">
        <w:rPr>
          <w:bCs/>
          <w:i/>
          <w:sz w:val="24"/>
          <w:szCs w:val="24"/>
        </w:rPr>
        <w:t>θ</w:t>
      </w:r>
      <w:r w:rsidRPr="003901E7">
        <w:rPr>
          <w:bCs/>
          <w:sz w:val="24"/>
          <w:szCs w:val="24"/>
        </w:rPr>
        <w:t xml:space="preserve">, the aforementioned equation </w:t>
      </w:r>
      <w:r w:rsidR="00396FF5">
        <w:rPr>
          <w:bCs/>
          <w:sz w:val="24"/>
          <w:szCs w:val="24"/>
        </w:rPr>
        <w:t>may</w:t>
      </w:r>
      <w:r w:rsidR="00396FF5" w:rsidRPr="003901E7">
        <w:rPr>
          <w:bCs/>
          <w:sz w:val="24"/>
          <w:szCs w:val="24"/>
        </w:rPr>
        <w:t xml:space="preserve"> </w:t>
      </w:r>
      <w:r w:rsidRPr="003901E7">
        <w:rPr>
          <w:bCs/>
          <w:sz w:val="24"/>
          <w:szCs w:val="24"/>
        </w:rPr>
        <w:t xml:space="preserve">be fulfilled by an incident wavelength λ contained within the polychromatic tube spectrum. As a consequence, various undesirable peaks that correspond to different orders of diffraction will </w:t>
      </w:r>
      <w:r w:rsidRPr="003901E7">
        <w:rPr>
          <w:bCs/>
          <w:sz w:val="24"/>
          <w:szCs w:val="24"/>
        </w:rPr>
        <w:lastRenderedPageBreak/>
        <w:t xml:space="preserve">appear in the spectrum and possibly interfere with characteristic X-rays of interest. The phenomenon is significantly enhanced with the highly focused exciting beam produced by X-ray lenses in micro-XRF spectrometers. In this case, due to the well-defined excitation geometry, the Bragg condition will be fulfilled by the majority of the incident flux at </w:t>
      </w:r>
      <w:r w:rsidR="00843D73">
        <w:rPr>
          <w:bCs/>
          <w:sz w:val="24"/>
          <w:szCs w:val="24"/>
        </w:rPr>
        <w:t xml:space="preserve">a </w:t>
      </w:r>
      <w:r w:rsidRPr="003901E7">
        <w:rPr>
          <w:bCs/>
          <w:sz w:val="24"/>
          <w:szCs w:val="24"/>
        </w:rPr>
        <w:t xml:space="preserve">particular energy, whereas with broader beams the diffraction peaks are </w:t>
      </w:r>
      <w:r w:rsidR="00396FF5">
        <w:rPr>
          <w:bCs/>
          <w:sz w:val="24"/>
          <w:szCs w:val="24"/>
        </w:rPr>
        <w:t>less pronounced</w:t>
      </w:r>
      <w:r w:rsidRPr="003901E7">
        <w:rPr>
          <w:bCs/>
          <w:sz w:val="24"/>
          <w:szCs w:val="24"/>
        </w:rPr>
        <w:t>. The appearance of the diffraction peaks can be identified in the XRF spectra based on the following criteria:</w:t>
      </w:r>
    </w:p>
    <w:p w:rsidR="003C4D7A" w:rsidRPr="003901E7" w:rsidRDefault="00881C17" w:rsidP="003901E7">
      <w:pPr>
        <w:spacing w:line="360" w:lineRule="auto"/>
        <w:outlineLvl w:val="0"/>
        <w:rPr>
          <w:bCs/>
          <w:sz w:val="24"/>
          <w:szCs w:val="24"/>
        </w:rPr>
      </w:pPr>
      <w:r>
        <w:rPr>
          <w:bCs/>
          <w:sz w:val="24"/>
          <w:szCs w:val="24"/>
        </w:rPr>
        <w:t>[numbered list]</w:t>
      </w:r>
      <w:r w:rsidR="003C4D7A" w:rsidRPr="003901E7">
        <w:rPr>
          <w:bCs/>
          <w:sz w:val="24"/>
          <w:szCs w:val="24"/>
        </w:rPr>
        <w:t xml:space="preserve"> </w:t>
      </w:r>
    </w:p>
    <w:p w:rsidR="003C4D7A" w:rsidRPr="003901E7" w:rsidRDefault="00881C17" w:rsidP="003901E7">
      <w:pPr>
        <w:spacing w:line="360" w:lineRule="auto"/>
        <w:outlineLvl w:val="0"/>
        <w:rPr>
          <w:bCs/>
          <w:sz w:val="24"/>
          <w:szCs w:val="24"/>
        </w:rPr>
      </w:pPr>
      <w:r>
        <w:rPr>
          <w:bCs/>
          <w:sz w:val="24"/>
          <w:szCs w:val="24"/>
        </w:rPr>
        <w:t>(1</w:t>
      </w:r>
      <w:r w:rsidR="003C4D7A" w:rsidRPr="003901E7">
        <w:rPr>
          <w:bCs/>
          <w:sz w:val="24"/>
          <w:szCs w:val="24"/>
        </w:rPr>
        <w:t xml:space="preserve">) Usually a Bragg peak does not coincide with the tabulated energy of any characteristic X-ray, or if it does, it is not accompanied by the rest of the transition lines following the decay of an inner shell (K-, L-) hole. For example, if the energy of the diffraction peak coincides with the Κα line of one element, then depending on the presence of this particular element within the analyzed sample, the respective Κβ line </w:t>
      </w:r>
      <w:r w:rsidR="00396FF5" w:rsidRPr="003901E7">
        <w:rPr>
          <w:bCs/>
          <w:sz w:val="24"/>
          <w:szCs w:val="24"/>
        </w:rPr>
        <w:t xml:space="preserve">either </w:t>
      </w:r>
      <w:r w:rsidR="00396FF5">
        <w:rPr>
          <w:bCs/>
          <w:sz w:val="24"/>
          <w:szCs w:val="24"/>
        </w:rPr>
        <w:t>has</w:t>
      </w:r>
      <w:r w:rsidR="00396FF5" w:rsidRPr="003901E7">
        <w:rPr>
          <w:bCs/>
          <w:sz w:val="24"/>
          <w:szCs w:val="24"/>
        </w:rPr>
        <w:t xml:space="preserve"> </w:t>
      </w:r>
      <w:r w:rsidR="003C4D7A" w:rsidRPr="003901E7">
        <w:rPr>
          <w:bCs/>
          <w:sz w:val="24"/>
          <w:szCs w:val="24"/>
        </w:rPr>
        <w:t>an abnormal relative intensity with respect to the Κα line intensity or it would be completely absent</w:t>
      </w:r>
      <w:r>
        <w:rPr>
          <w:bCs/>
          <w:sz w:val="24"/>
          <w:szCs w:val="24"/>
        </w:rPr>
        <w:t>.</w:t>
      </w:r>
      <w:r w:rsidR="003C4D7A" w:rsidRPr="003901E7">
        <w:rPr>
          <w:bCs/>
          <w:sz w:val="24"/>
          <w:szCs w:val="24"/>
        </w:rPr>
        <w:t xml:space="preserve"> </w:t>
      </w:r>
    </w:p>
    <w:p w:rsidR="003C4D7A" w:rsidRPr="003901E7" w:rsidRDefault="00881C17" w:rsidP="003901E7">
      <w:pPr>
        <w:spacing w:line="360" w:lineRule="auto"/>
        <w:outlineLvl w:val="0"/>
        <w:rPr>
          <w:bCs/>
          <w:sz w:val="24"/>
          <w:szCs w:val="24"/>
        </w:rPr>
      </w:pPr>
      <w:r>
        <w:rPr>
          <w:bCs/>
          <w:sz w:val="24"/>
          <w:szCs w:val="24"/>
        </w:rPr>
        <w:t>(2</w:t>
      </w:r>
      <w:r w:rsidR="003C4D7A" w:rsidRPr="003901E7">
        <w:rPr>
          <w:bCs/>
          <w:sz w:val="24"/>
          <w:szCs w:val="24"/>
        </w:rPr>
        <w:t>) Typically the diffraction peaks exhibit a broader shape than the typical characteristic X-ray peaks</w:t>
      </w:r>
      <w:r>
        <w:rPr>
          <w:bCs/>
          <w:sz w:val="24"/>
          <w:szCs w:val="24"/>
        </w:rPr>
        <w:t>,</w:t>
      </w:r>
      <w:r w:rsidR="003C4D7A" w:rsidRPr="003901E7">
        <w:rPr>
          <w:bCs/>
          <w:sz w:val="24"/>
          <w:szCs w:val="24"/>
        </w:rPr>
        <w:t xml:space="preserve"> which are modulated by the detector energy resolution and natural linewidth and not by the sample irradiation geometry</w:t>
      </w:r>
      <w:r>
        <w:rPr>
          <w:bCs/>
          <w:sz w:val="24"/>
          <w:szCs w:val="24"/>
        </w:rPr>
        <w:t>.</w:t>
      </w:r>
      <w:r w:rsidR="003C4D7A" w:rsidRPr="003901E7">
        <w:rPr>
          <w:bCs/>
          <w:sz w:val="24"/>
          <w:szCs w:val="24"/>
        </w:rPr>
        <w:t xml:space="preserve"> </w:t>
      </w:r>
    </w:p>
    <w:p w:rsidR="003C4D7A" w:rsidRDefault="00881C17" w:rsidP="003901E7">
      <w:pPr>
        <w:spacing w:line="360" w:lineRule="auto"/>
        <w:outlineLvl w:val="0"/>
        <w:rPr>
          <w:bCs/>
          <w:sz w:val="24"/>
          <w:szCs w:val="24"/>
        </w:rPr>
      </w:pPr>
      <w:r>
        <w:rPr>
          <w:bCs/>
          <w:sz w:val="24"/>
          <w:szCs w:val="24"/>
        </w:rPr>
        <w:t>(3</w:t>
      </w:r>
      <w:r w:rsidR="003C4D7A" w:rsidRPr="003901E7">
        <w:rPr>
          <w:bCs/>
          <w:sz w:val="24"/>
          <w:szCs w:val="24"/>
        </w:rPr>
        <w:t xml:space="preserve">) If the sample orientation is changed slightly with respect to the exciting beam, a respective shift in their energy is observed. </w:t>
      </w:r>
    </w:p>
    <w:p w:rsidR="00881C17" w:rsidRPr="003901E7" w:rsidRDefault="00881C17" w:rsidP="003901E7">
      <w:pPr>
        <w:spacing w:line="360" w:lineRule="auto"/>
        <w:outlineLvl w:val="0"/>
        <w:rPr>
          <w:bCs/>
          <w:sz w:val="24"/>
          <w:szCs w:val="24"/>
        </w:rPr>
      </w:pPr>
      <w:r>
        <w:rPr>
          <w:bCs/>
          <w:sz w:val="24"/>
          <w:szCs w:val="24"/>
        </w:rPr>
        <w:t>[end numbered list]</w:t>
      </w:r>
    </w:p>
    <w:p w:rsidR="003C4D7A" w:rsidRPr="003901E7" w:rsidRDefault="003C4D7A" w:rsidP="003901E7">
      <w:pPr>
        <w:spacing w:line="360" w:lineRule="auto"/>
        <w:outlineLvl w:val="0"/>
        <w:rPr>
          <w:bCs/>
          <w:sz w:val="24"/>
          <w:szCs w:val="24"/>
        </w:rPr>
      </w:pPr>
      <w:r w:rsidRPr="003901E7">
        <w:rPr>
          <w:bCs/>
          <w:sz w:val="24"/>
          <w:szCs w:val="24"/>
        </w:rPr>
        <w:t>A standard methodology to minimize or even eliminate the presence of Bragg peaks in the spectrum is to introduce a strong absorber between the source and the sample/spot to filter the interfering part of the exciting radiation. Usually the low energy continuum (&lt;10 k</w:t>
      </w:r>
      <w:r w:rsidR="00881C17">
        <w:rPr>
          <w:bCs/>
          <w:sz w:val="24"/>
          <w:szCs w:val="24"/>
        </w:rPr>
        <w:t xml:space="preserve"> </w:t>
      </w:r>
      <w:r w:rsidRPr="003901E7">
        <w:rPr>
          <w:bCs/>
          <w:sz w:val="24"/>
          <w:szCs w:val="24"/>
        </w:rPr>
        <w:t>eV)</w:t>
      </w:r>
      <w:r w:rsidR="003901E7">
        <w:rPr>
          <w:bCs/>
          <w:sz w:val="24"/>
          <w:szCs w:val="24"/>
        </w:rPr>
        <w:t xml:space="preserve"> </w:t>
      </w:r>
      <w:r w:rsidR="00881C17">
        <w:rPr>
          <w:bCs/>
          <w:sz w:val="24"/>
          <w:szCs w:val="24"/>
        </w:rPr>
        <w:t>has</w:t>
      </w:r>
      <w:r w:rsidR="00881C17" w:rsidRPr="003901E7">
        <w:rPr>
          <w:bCs/>
          <w:sz w:val="24"/>
          <w:szCs w:val="24"/>
        </w:rPr>
        <w:t xml:space="preserve"> </w:t>
      </w:r>
      <w:r w:rsidRPr="003901E7">
        <w:rPr>
          <w:bCs/>
          <w:sz w:val="24"/>
          <w:szCs w:val="24"/>
        </w:rPr>
        <w:t xml:space="preserve">a more pronounced probability </w:t>
      </w:r>
      <w:r w:rsidR="00881C17">
        <w:rPr>
          <w:bCs/>
          <w:sz w:val="24"/>
          <w:szCs w:val="24"/>
        </w:rPr>
        <w:t>of</w:t>
      </w:r>
      <w:r w:rsidR="00881C17" w:rsidRPr="003901E7">
        <w:rPr>
          <w:bCs/>
          <w:sz w:val="24"/>
          <w:szCs w:val="24"/>
        </w:rPr>
        <w:t xml:space="preserve"> </w:t>
      </w:r>
      <w:r w:rsidRPr="003901E7">
        <w:rPr>
          <w:bCs/>
          <w:sz w:val="24"/>
          <w:szCs w:val="24"/>
        </w:rPr>
        <w:t>undertak</w:t>
      </w:r>
      <w:r w:rsidR="00881C17">
        <w:rPr>
          <w:bCs/>
          <w:sz w:val="24"/>
          <w:szCs w:val="24"/>
        </w:rPr>
        <w:t>ing</w:t>
      </w:r>
      <w:r w:rsidRPr="003901E7">
        <w:rPr>
          <w:bCs/>
          <w:sz w:val="24"/>
          <w:szCs w:val="24"/>
        </w:rPr>
        <w:t xml:space="preserve"> Bragg diffraction. </w:t>
      </w:r>
    </w:p>
    <w:p w:rsidR="00000000" w:rsidRDefault="003C4D7A">
      <w:pPr>
        <w:spacing w:line="360" w:lineRule="auto"/>
        <w:outlineLvl w:val="0"/>
        <w:rPr>
          <w:b/>
          <w:sz w:val="24"/>
          <w:szCs w:val="24"/>
        </w:rPr>
      </w:pPr>
      <w:r w:rsidRPr="003901E7">
        <w:rPr>
          <w:sz w:val="24"/>
          <w:szCs w:val="24"/>
        </w:rPr>
        <w:t>In micro-XRF analysis, a polycapillary X-ray lens is usually utilized in the excitation channel to collect efficiently, propagate</w:t>
      </w:r>
      <w:r w:rsidR="00B36E9D" w:rsidRPr="003901E7">
        <w:rPr>
          <w:sz w:val="24"/>
          <w:szCs w:val="24"/>
        </w:rPr>
        <w:t>,</w:t>
      </w:r>
      <w:r w:rsidRPr="003901E7">
        <w:rPr>
          <w:sz w:val="24"/>
          <w:szCs w:val="24"/>
        </w:rPr>
        <w:t xml:space="preserve"> and focus to a few tens of micrometers the exciting X-ray beam radiation. Nevertheless, the X-ray lens introduces major difficulties in quantification, since its transmission </w:t>
      </w:r>
      <w:r w:rsidR="00881C17" w:rsidRPr="003901E7">
        <w:rPr>
          <w:sz w:val="24"/>
          <w:szCs w:val="24"/>
        </w:rPr>
        <w:t>efficiency</w:t>
      </w:r>
      <w:r w:rsidR="00881C17">
        <w:rPr>
          <w:sz w:val="24"/>
          <w:szCs w:val="24"/>
        </w:rPr>
        <w:t>—</w:t>
      </w:r>
      <w:r w:rsidRPr="003901E7">
        <w:rPr>
          <w:sz w:val="24"/>
          <w:szCs w:val="24"/>
        </w:rPr>
        <w:t xml:space="preserve">being highly dependent on the transmitted X-ray </w:t>
      </w:r>
      <w:r w:rsidR="00881C17" w:rsidRPr="003901E7">
        <w:rPr>
          <w:sz w:val="24"/>
          <w:szCs w:val="24"/>
        </w:rPr>
        <w:t>energy</w:t>
      </w:r>
      <w:r w:rsidR="00881C17">
        <w:rPr>
          <w:sz w:val="24"/>
          <w:szCs w:val="24"/>
        </w:rPr>
        <w:t>—</w:t>
      </w:r>
      <w:r w:rsidRPr="003901E7">
        <w:rPr>
          <w:sz w:val="24"/>
          <w:szCs w:val="24"/>
        </w:rPr>
        <w:t>results in significant and not easily predicted modification</w:t>
      </w:r>
      <w:r w:rsidR="00396FF5">
        <w:rPr>
          <w:sz w:val="24"/>
          <w:szCs w:val="24"/>
        </w:rPr>
        <w:t>s</w:t>
      </w:r>
      <w:r w:rsidRPr="003901E7">
        <w:rPr>
          <w:sz w:val="24"/>
          <w:szCs w:val="24"/>
        </w:rPr>
        <w:t xml:space="preserve"> of the energy distribution of the primary tube spectrum. </w:t>
      </w:r>
      <w:r w:rsidRPr="003901E7">
        <w:rPr>
          <w:color w:val="131413"/>
          <w:sz w:val="24"/>
          <w:szCs w:val="24"/>
          <w:lang w:eastAsia="el-GR"/>
        </w:rPr>
        <w:t xml:space="preserve">Although quantitative analysis by direct comparison with a certified reference material (CRM) is a rather simple and straightforward approach, it assumes the availability of CRMs with </w:t>
      </w:r>
      <w:r w:rsidR="00B36E9D" w:rsidRPr="003901E7">
        <w:rPr>
          <w:color w:val="131413"/>
          <w:sz w:val="24"/>
          <w:szCs w:val="24"/>
          <w:lang w:eastAsia="el-GR"/>
        </w:rPr>
        <w:t xml:space="preserve">a </w:t>
      </w:r>
      <w:r w:rsidRPr="003901E7">
        <w:rPr>
          <w:color w:val="131413"/>
          <w:sz w:val="24"/>
          <w:szCs w:val="24"/>
          <w:lang w:eastAsia="el-GR"/>
        </w:rPr>
        <w:t xml:space="preserve">compositional profile (matrix) similar to the unknown one. This necessity can be </w:t>
      </w:r>
      <w:r w:rsidR="00881C17">
        <w:rPr>
          <w:color w:val="131413"/>
          <w:sz w:val="24"/>
          <w:szCs w:val="24"/>
          <w:lang w:eastAsia="el-GR"/>
        </w:rPr>
        <w:t xml:space="preserve">avoided, </w:t>
      </w:r>
      <w:r w:rsidR="00881C17">
        <w:rPr>
          <w:color w:val="131413"/>
          <w:sz w:val="24"/>
          <w:szCs w:val="24"/>
          <w:lang w:eastAsia="el-GR"/>
        </w:rPr>
        <w:lastRenderedPageBreak/>
        <w:t>however,</w:t>
      </w:r>
      <w:r w:rsidR="00881C17" w:rsidRPr="003901E7">
        <w:rPr>
          <w:color w:val="131413"/>
          <w:sz w:val="24"/>
          <w:szCs w:val="24"/>
          <w:lang w:eastAsia="el-GR"/>
        </w:rPr>
        <w:t xml:space="preserve"> </w:t>
      </w:r>
      <w:r w:rsidRPr="003901E7">
        <w:rPr>
          <w:color w:val="131413"/>
          <w:sz w:val="24"/>
          <w:szCs w:val="24"/>
          <w:lang w:eastAsia="el-GR"/>
        </w:rPr>
        <w:t xml:space="preserve">by applying for the micro-XRF quantification analysis a fundamental parameters approach </w:t>
      </w:r>
      <w:r w:rsidRPr="003901E7">
        <w:rPr>
          <w:bCs/>
          <w:sz w:val="24"/>
          <w:szCs w:val="24"/>
        </w:rPr>
        <w:t>that utilizes an analytical description of the lens transmission efficiency.</w:t>
      </w:r>
      <w:r w:rsidR="00881C17">
        <w:rPr>
          <w:rStyle w:val="EndnoteReference"/>
          <w:bCs/>
          <w:sz w:val="24"/>
          <w:szCs w:val="24"/>
        </w:rPr>
        <w:endnoteReference w:id="14"/>
      </w:r>
      <w:r w:rsidRPr="003901E7">
        <w:rPr>
          <w:bCs/>
          <w:sz w:val="24"/>
          <w:szCs w:val="24"/>
        </w:rPr>
        <w:t xml:space="preserve"> This methodology is applied below for the compositional analysis of two gilded</w:t>
      </w:r>
      <w:r w:rsidR="00396FF5">
        <w:rPr>
          <w:bCs/>
          <w:sz w:val="24"/>
          <w:szCs w:val="24"/>
        </w:rPr>
        <w:t>-</w:t>
      </w:r>
      <w:r w:rsidRPr="003901E7">
        <w:rPr>
          <w:bCs/>
          <w:sz w:val="24"/>
          <w:szCs w:val="24"/>
        </w:rPr>
        <w:t>bronze figurines from the National Museum of Damascus in Syria.</w:t>
      </w:r>
    </w:p>
    <w:p w:rsidR="004E6D6C" w:rsidRDefault="004E6D6C" w:rsidP="004E6D6C">
      <w:pPr>
        <w:spacing w:line="360" w:lineRule="auto"/>
        <w:outlineLvl w:val="0"/>
        <w:rPr>
          <w:b/>
          <w:sz w:val="24"/>
          <w:szCs w:val="24"/>
        </w:rPr>
      </w:pPr>
    </w:p>
    <w:p w:rsidR="00EA6D32" w:rsidRDefault="00B23589" w:rsidP="004E6D6C">
      <w:pPr>
        <w:spacing w:line="360" w:lineRule="auto"/>
        <w:outlineLvl w:val="0"/>
        <w:rPr>
          <w:b/>
          <w:sz w:val="24"/>
          <w:szCs w:val="24"/>
        </w:rPr>
      </w:pPr>
      <w:r>
        <w:rPr>
          <w:b/>
          <w:sz w:val="24"/>
          <w:szCs w:val="24"/>
        </w:rPr>
        <w:t>[A-head]</w:t>
      </w:r>
      <w:r w:rsidR="00CF3E6A" w:rsidRPr="00CF3E6A">
        <w:rPr>
          <w:b/>
          <w:sz w:val="24"/>
          <w:szCs w:val="24"/>
        </w:rPr>
        <w:t>The Gilded Bronze Figurines from the Late Bronze Age</w:t>
      </w:r>
    </w:p>
    <w:p w:rsidR="003C4D7A" w:rsidRPr="003901E7" w:rsidRDefault="003C4D7A" w:rsidP="003901E7">
      <w:pPr>
        <w:spacing w:line="360" w:lineRule="auto"/>
        <w:outlineLvl w:val="0"/>
        <w:rPr>
          <w:b/>
          <w:sz w:val="24"/>
          <w:szCs w:val="24"/>
        </w:rPr>
      </w:pPr>
    </w:p>
    <w:p w:rsidR="00000000" w:rsidRDefault="003C4D7A">
      <w:pPr>
        <w:spacing w:line="360" w:lineRule="auto"/>
        <w:outlineLvl w:val="0"/>
        <w:rPr>
          <w:sz w:val="24"/>
          <w:szCs w:val="24"/>
        </w:rPr>
      </w:pPr>
      <w:r w:rsidRPr="003901E7">
        <w:rPr>
          <w:color w:val="000000"/>
          <w:sz w:val="24"/>
          <w:szCs w:val="24"/>
        </w:rPr>
        <w:t>Th</w:t>
      </w:r>
      <w:r w:rsidR="00B23589">
        <w:rPr>
          <w:color w:val="000000"/>
          <w:sz w:val="24"/>
          <w:szCs w:val="24"/>
        </w:rPr>
        <w:t>is</w:t>
      </w:r>
      <w:r w:rsidRPr="003901E7">
        <w:rPr>
          <w:color w:val="000000"/>
          <w:sz w:val="24"/>
          <w:szCs w:val="24"/>
        </w:rPr>
        <w:t xml:space="preserve"> paper focuses on the analysis</w:t>
      </w:r>
      <w:r w:rsidR="00B27214" w:rsidRPr="003901E7">
        <w:rPr>
          <w:color w:val="000000"/>
          <w:sz w:val="24"/>
          <w:szCs w:val="24"/>
        </w:rPr>
        <w:t xml:space="preserve"> of</w:t>
      </w:r>
      <w:r w:rsidRPr="003901E7">
        <w:rPr>
          <w:color w:val="000000"/>
          <w:sz w:val="24"/>
          <w:szCs w:val="24"/>
        </w:rPr>
        <w:t xml:space="preserve"> two </w:t>
      </w:r>
      <w:r w:rsidR="00B23589" w:rsidRPr="003901E7">
        <w:rPr>
          <w:color w:val="000000"/>
          <w:sz w:val="24"/>
          <w:szCs w:val="24"/>
        </w:rPr>
        <w:t>gilded</w:t>
      </w:r>
      <w:r w:rsidR="00396FF5">
        <w:rPr>
          <w:color w:val="000000"/>
          <w:sz w:val="24"/>
          <w:szCs w:val="24"/>
        </w:rPr>
        <w:t>-</w:t>
      </w:r>
      <w:r w:rsidRPr="003901E7">
        <w:rPr>
          <w:color w:val="000000"/>
          <w:sz w:val="24"/>
          <w:szCs w:val="24"/>
        </w:rPr>
        <w:t xml:space="preserve">bronze figurines </w:t>
      </w:r>
      <w:r w:rsidR="00B27214" w:rsidRPr="003901E7">
        <w:rPr>
          <w:color w:val="000000"/>
          <w:sz w:val="24"/>
          <w:szCs w:val="24"/>
        </w:rPr>
        <w:t>using</w:t>
      </w:r>
      <w:r w:rsidRPr="003901E7">
        <w:rPr>
          <w:color w:val="000000"/>
          <w:sz w:val="24"/>
          <w:szCs w:val="24"/>
        </w:rPr>
        <w:t xml:space="preserve"> micro-XRF during the </w:t>
      </w:r>
      <w:r w:rsidR="00CF3E6A" w:rsidRPr="00CF3E6A">
        <w:rPr>
          <w:i/>
          <w:color w:val="000000"/>
          <w:sz w:val="24"/>
          <w:szCs w:val="24"/>
        </w:rPr>
        <w:t>in</w:t>
      </w:r>
      <w:r w:rsidR="00B27214" w:rsidRPr="003901E7">
        <w:rPr>
          <w:color w:val="000000"/>
          <w:sz w:val="24"/>
          <w:szCs w:val="24"/>
        </w:rPr>
        <w:t xml:space="preserve"> </w:t>
      </w:r>
      <w:r w:rsidRPr="003901E7">
        <w:rPr>
          <w:i/>
          <w:color w:val="000000"/>
          <w:sz w:val="24"/>
          <w:szCs w:val="24"/>
        </w:rPr>
        <w:t>situ</w:t>
      </w:r>
      <w:r w:rsidRPr="003901E7">
        <w:rPr>
          <w:color w:val="000000"/>
          <w:sz w:val="24"/>
          <w:szCs w:val="24"/>
        </w:rPr>
        <w:t xml:space="preserve"> campaign. The figurines belong to the Late Bronze Age (1400</w:t>
      </w:r>
      <w:r w:rsidR="00B27214" w:rsidRPr="003901E7">
        <w:rPr>
          <w:color w:val="000000"/>
          <w:sz w:val="24"/>
          <w:szCs w:val="24"/>
        </w:rPr>
        <w:t>–</w:t>
      </w:r>
      <w:r w:rsidRPr="003901E7">
        <w:rPr>
          <w:color w:val="000000"/>
          <w:sz w:val="24"/>
          <w:szCs w:val="24"/>
        </w:rPr>
        <w:t>1300 BC)</w:t>
      </w:r>
      <w:r w:rsidRPr="003901E7">
        <w:rPr>
          <w:iCs/>
          <w:color w:val="000000"/>
          <w:sz w:val="24"/>
          <w:szCs w:val="24"/>
        </w:rPr>
        <w:t xml:space="preserve"> and were discovered at the southern area of Ugarit, </w:t>
      </w:r>
      <w:r w:rsidR="00F922B0" w:rsidRPr="003901E7">
        <w:rPr>
          <w:iCs/>
          <w:color w:val="000000"/>
          <w:sz w:val="24"/>
          <w:szCs w:val="24"/>
        </w:rPr>
        <w:t xml:space="preserve">which was </w:t>
      </w:r>
      <w:r w:rsidRPr="003901E7">
        <w:rPr>
          <w:iCs/>
          <w:color w:val="000000"/>
          <w:sz w:val="24"/>
          <w:szCs w:val="24"/>
        </w:rPr>
        <w:t xml:space="preserve">first excavated in 1929 by French archaeologists. </w:t>
      </w:r>
      <w:r w:rsidR="00B23589">
        <w:rPr>
          <w:iCs/>
          <w:color w:val="000000"/>
          <w:sz w:val="24"/>
          <w:szCs w:val="24"/>
        </w:rPr>
        <w:t xml:space="preserve">Site </w:t>
      </w:r>
      <w:r w:rsidRPr="003901E7">
        <w:rPr>
          <w:iCs/>
          <w:color w:val="000000"/>
          <w:sz w:val="24"/>
          <w:szCs w:val="24"/>
        </w:rPr>
        <w:t xml:space="preserve">research </w:t>
      </w:r>
      <w:r w:rsidR="00B27214" w:rsidRPr="003901E7">
        <w:rPr>
          <w:iCs/>
          <w:color w:val="000000"/>
          <w:sz w:val="24"/>
          <w:szCs w:val="24"/>
        </w:rPr>
        <w:t xml:space="preserve">suggests </w:t>
      </w:r>
      <w:r w:rsidRPr="003901E7">
        <w:rPr>
          <w:iCs/>
          <w:color w:val="000000"/>
          <w:sz w:val="24"/>
          <w:szCs w:val="24"/>
        </w:rPr>
        <w:t xml:space="preserve">that the city acted as a link between the Near East and the </w:t>
      </w:r>
      <w:r w:rsidR="00B27214" w:rsidRPr="003901E7">
        <w:rPr>
          <w:iCs/>
          <w:color w:val="000000"/>
          <w:sz w:val="24"/>
          <w:szCs w:val="24"/>
        </w:rPr>
        <w:t>a</w:t>
      </w:r>
      <w:r w:rsidRPr="003901E7">
        <w:rPr>
          <w:iCs/>
          <w:color w:val="000000"/>
          <w:sz w:val="24"/>
          <w:szCs w:val="24"/>
        </w:rPr>
        <w:t xml:space="preserve">ncient </w:t>
      </w:r>
      <w:r w:rsidR="00B27214" w:rsidRPr="003901E7">
        <w:rPr>
          <w:iCs/>
          <w:color w:val="000000"/>
          <w:sz w:val="24"/>
          <w:szCs w:val="24"/>
        </w:rPr>
        <w:t xml:space="preserve">Mediterranean </w:t>
      </w:r>
      <w:r w:rsidRPr="003901E7">
        <w:rPr>
          <w:iCs/>
          <w:color w:val="000000"/>
          <w:sz w:val="24"/>
          <w:szCs w:val="24"/>
        </w:rPr>
        <w:t>world.</w:t>
      </w:r>
      <w:r w:rsidR="00B23589">
        <w:rPr>
          <w:rStyle w:val="EndnoteReference"/>
          <w:iCs/>
          <w:color w:val="000000"/>
          <w:sz w:val="24"/>
          <w:szCs w:val="24"/>
        </w:rPr>
        <w:endnoteReference w:id="15"/>
      </w:r>
      <w:r w:rsidRPr="003901E7">
        <w:rPr>
          <w:iCs/>
          <w:color w:val="000000"/>
          <w:sz w:val="24"/>
          <w:szCs w:val="24"/>
        </w:rPr>
        <w:t xml:space="preserve"> </w:t>
      </w:r>
      <w:r w:rsidRPr="003901E7">
        <w:rPr>
          <w:color w:val="000000"/>
          <w:sz w:val="24"/>
          <w:szCs w:val="24"/>
        </w:rPr>
        <w:t>Ugarit became the center of interaction between Egypt, Crete, Cyprus</w:t>
      </w:r>
      <w:r w:rsidR="00F922B0" w:rsidRPr="003901E7">
        <w:rPr>
          <w:color w:val="000000"/>
          <w:sz w:val="24"/>
          <w:szCs w:val="24"/>
        </w:rPr>
        <w:t>,</w:t>
      </w:r>
      <w:r w:rsidRPr="003901E7">
        <w:rPr>
          <w:color w:val="000000"/>
          <w:sz w:val="24"/>
          <w:szCs w:val="24"/>
        </w:rPr>
        <w:t xml:space="preserve"> and Anatolia</w:t>
      </w:r>
      <w:r w:rsidR="00F922B0" w:rsidRPr="003901E7">
        <w:rPr>
          <w:color w:val="000000"/>
          <w:sz w:val="24"/>
          <w:szCs w:val="24"/>
        </w:rPr>
        <w:t>,</w:t>
      </w:r>
      <w:r w:rsidRPr="003901E7">
        <w:rPr>
          <w:color w:val="000000"/>
          <w:sz w:val="24"/>
          <w:szCs w:val="24"/>
        </w:rPr>
        <w:t xml:space="preserve"> promoting </w:t>
      </w:r>
      <w:r w:rsidR="00F922B0" w:rsidRPr="003901E7">
        <w:rPr>
          <w:color w:val="000000"/>
          <w:sz w:val="24"/>
          <w:szCs w:val="24"/>
        </w:rPr>
        <w:t xml:space="preserve">an </w:t>
      </w:r>
      <w:r w:rsidRPr="003901E7">
        <w:rPr>
          <w:color w:val="000000"/>
          <w:sz w:val="24"/>
          <w:szCs w:val="24"/>
        </w:rPr>
        <w:t xml:space="preserve">exchange of the </w:t>
      </w:r>
      <w:r w:rsidR="00F922B0" w:rsidRPr="003901E7">
        <w:rPr>
          <w:color w:val="000000"/>
          <w:sz w:val="24"/>
          <w:szCs w:val="24"/>
        </w:rPr>
        <w:t xml:space="preserve">earliest </w:t>
      </w:r>
      <w:r w:rsidRPr="003901E7">
        <w:rPr>
          <w:color w:val="000000"/>
          <w:sz w:val="24"/>
          <w:szCs w:val="24"/>
        </w:rPr>
        <w:t>artistic styles within the ancient world.</w:t>
      </w:r>
      <w:r w:rsidRPr="003901E7">
        <w:rPr>
          <w:iCs/>
          <w:color w:val="000000"/>
          <w:sz w:val="24"/>
          <w:szCs w:val="24"/>
        </w:rPr>
        <w:t xml:space="preserve"> </w:t>
      </w:r>
      <w:r w:rsidRPr="003901E7">
        <w:rPr>
          <w:color w:val="000000"/>
          <w:sz w:val="24"/>
          <w:szCs w:val="24"/>
        </w:rPr>
        <w:t xml:space="preserve">These statues represent ancient </w:t>
      </w:r>
      <w:r w:rsidR="00F922B0" w:rsidRPr="003901E7">
        <w:rPr>
          <w:color w:val="000000"/>
          <w:sz w:val="24"/>
          <w:szCs w:val="24"/>
        </w:rPr>
        <w:t>g</w:t>
      </w:r>
      <w:r w:rsidRPr="003901E7">
        <w:rPr>
          <w:color w:val="000000"/>
          <w:sz w:val="24"/>
          <w:szCs w:val="24"/>
        </w:rPr>
        <w:t xml:space="preserve">ods: the first one </w:t>
      </w:r>
      <w:r w:rsidR="00B23589">
        <w:rPr>
          <w:color w:val="000000"/>
          <w:sz w:val="24"/>
          <w:szCs w:val="24"/>
        </w:rPr>
        <w:t>represents the</w:t>
      </w:r>
      <w:r w:rsidRPr="003901E7">
        <w:rPr>
          <w:color w:val="000000"/>
          <w:sz w:val="24"/>
          <w:szCs w:val="24"/>
        </w:rPr>
        <w:t xml:space="preserve"> El </w:t>
      </w:r>
      <w:r w:rsidR="00B23589">
        <w:rPr>
          <w:color w:val="000000"/>
          <w:sz w:val="24"/>
          <w:szCs w:val="24"/>
        </w:rPr>
        <w:t>g</w:t>
      </w:r>
      <w:r w:rsidRPr="003901E7">
        <w:rPr>
          <w:color w:val="000000"/>
          <w:sz w:val="24"/>
          <w:szCs w:val="24"/>
        </w:rPr>
        <w:t>od (</w:t>
      </w:r>
      <w:r w:rsidR="00F922B0" w:rsidRPr="003901E7">
        <w:rPr>
          <w:color w:val="000000"/>
          <w:sz w:val="24"/>
          <w:szCs w:val="24"/>
        </w:rPr>
        <w:t>inv.</w:t>
      </w:r>
      <w:r w:rsidRPr="003901E7">
        <w:rPr>
          <w:color w:val="000000"/>
          <w:sz w:val="24"/>
          <w:szCs w:val="24"/>
        </w:rPr>
        <w:t xml:space="preserve"> RS23) and the other, the Baal </w:t>
      </w:r>
      <w:r w:rsidR="00B23589">
        <w:rPr>
          <w:color w:val="000000"/>
          <w:sz w:val="24"/>
          <w:szCs w:val="24"/>
        </w:rPr>
        <w:t>g</w:t>
      </w:r>
      <w:r w:rsidRPr="003901E7">
        <w:rPr>
          <w:color w:val="000000"/>
          <w:sz w:val="24"/>
          <w:szCs w:val="24"/>
        </w:rPr>
        <w:t xml:space="preserve">od </w:t>
      </w:r>
      <w:r w:rsidRPr="003901E7">
        <w:rPr>
          <w:iCs/>
          <w:color w:val="000000"/>
          <w:sz w:val="24"/>
          <w:szCs w:val="24"/>
        </w:rPr>
        <w:t>(</w:t>
      </w:r>
      <w:r w:rsidR="00F922B0" w:rsidRPr="003901E7">
        <w:rPr>
          <w:iCs/>
          <w:color w:val="000000"/>
          <w:sz w:val="24"/>
          <w:szCs w:val="24"/>
        </w:rPr>
        <w:t>inv.</w:t>
      </w:r>
      <w:r w:rsidRPr="003901E7">
        <w:rPr>
          <w:iCs/>
          <w:color w:val="000000"/>
          <w:sz w:val="24"/>
          <w:szCs w:val="24"/>
        </w:rPr>
        <w:t xml:space="preserve"> 3572) (</w:t>
      </w:r>
      <w:r w:rsidR="00B23589">
        <w:rPr>
          <w:iCs/>
          <w:color w:val="000000"/>
          <w:sz w:val="24"/>
          <w:szCs w:val="24"/>
        </w:rPr>
        <w:t>see fig.</w:t>
      </w:r>
      <w:r w:rsidRPr="003901E7">
        <w:rPr>
          <w:iCs/>
          <w:color w:val="000000"/>
          <w:sz w:val="24"/>
          <w:szCs w:val="24"/>
        </w:rPr>
        <w:t xml:space="preserve"> </w:t>
      </w:r>
      <w:r w:rsidR="00B23589">
        <w:rPr>
          <w:iCs/>
          <w:color w:val="000000"/>
          <w:sz w:val="24"/>
          <w:szCs w:val="24"/>
        </w:rPr>
        <w:t>46.</w:t>
      </w:r>
      <w:r w:rsidRPr="003901E7">
        <w:rPr>
          <w:iCs/>
          <w:color w:val="000000"/>
          <w:sz w:val="24"/>
          <w:szCs w:val="24"/>
        </w:rPr>
        <w:t xml:space="preserve">1). The El </w:t>
      </w:r>
      <w:r w:rsidR="00B23589">
        <w:rPr>
          <w:iCs/>
          <w:color w:val="000000"/>
          <w:sz w:val="24"/>
          <w:szCs w:val="24"/>
        </w:rPr>
        <w:t>g</w:t>
      </w:r>
      <w:r w:rsidRPr="003901E7">
        <w:rPr>
          <w:iCs/>
          <w:color w:val="000000"/>
          <w:sz w:val="24"/>
          <w:szCs w:val="24"/>
        </w:rPr>
        <w:t xml:space="preserve">od </w:t>
      </w:r>
      <w:r w:rsidR="00F922B0" w:rsidRPr="003901E7">
        <w:rPr>
          <w:iCs/>
          <w:color w:val="000000"/>
          <w:sz w:val="24"/>
          <w:szCs w:val="24"/>
        </w:rPr>
        <w:t>f</w:t>
      </w:r>
      <w:r w:rsidRPr="003901E7">
        <w:rPr>
          <w:iCs/>
          <w:color w:val="000000"/>
          <w:sz w:val="24"/>
          <w:szCs w:val="24"/>
        </w:rPr>
        <w:t>igurine is in a seated position with its right hand raised</w:t>
      </w:r>
      <w:r w:rsidR="00B23589">
        <w:rPr>
          <w:iCs/>
          <w:color w:val="000000"/>
          <w:sz w:val="24"/>
          <w:szCs w:val="24"/>
        </w:rPr>
        <w:t>,</w:t>
      </w:r>
      <w:r w:rsidRPr="003901E7">
        <w:rPr>
          <w:iCs/>
          <w:color w:val="000000"/>
          <w:sz w:val="24"/>
          <w:szCs w:val="24"/>
        </w:rPr>
        <w:t xml:space="preserve"> </w:t>
      </w:r>
      <w:r w:rsidR="00B23589">
        <w:rPr>
          <w:iCs/>
          <w:color w:val="000000"/>
          <w:sz w:val="24"/>
          <w:szCs w:val="24"/>
        </w:rPr>
        <w:t>apparently in</w:t>
      </w:r>
      <w:r w:rsidRPr="003901E7">
        <w:rPr>
          <w:iCs/>
          <w:color w:val="000000"/>
          <w:sz w:val="24"/>
          <w:szCs w:val="24"/>
        </w:rPr>
        <w:t xml:space="preserve"> blessing, and its crown resembles the crown of Osiris. The stance of the Baal </w:t>
      </w:r>
      <w:r w:rsidR="00B23589">
        <w:rPr>
          <w:iCs/>
          <w:color w:val="000000"/>
          <w:sz w:val="24"/>
          <w:szCs w:val="24"/>
        </w:rPr>
        <w:t>g</w:t>
      </w:r>
      <w:r w:rsidRPr="003901E7">
        <w:rPr>
          <w:iCs/>
          <w:color w:val="000000"/>
          <w:sz w:val="24"/>
          <w:szCs w:val="24"/>
        </w:rPr>
        <w:t xml:space="preserve">od is borrowed from Egyptian images of triumphant kings striding over </w:t>
      </w:r>
      <w:r w:rsidR="00B23589">
        <w:rPr>
          <w:iCs/>
          <w:color w:val="000000"/>
          <w:sz w:val="24"/>
          <w:szCs w:val="24"/>
        </w:rPr>
        <w:t xml:space="preserve">their </w:t>
      </w:r>
      <w:r w:rsidRPr="003901E7">
        <w:rPr>
          <w:iCs/>
          <w:color w:val="000000"/>
          <w:sz w:val="24"/>
          <w:szCs w:val="24"/>
        </w:rPr>
        <w:t>fallen enemies.</w:t>
      </w:r>
      <w:r w:rsidR="00B23589">
        <w:rPr>
          <w:rStyle w:val="EndnoteReference"/>
          <w:iCs/>
          <w:color w:val="000000"/>
          <w:sz w:val="24"/>
          <w:szCs w:val="24"/>
        </w:rPr>
        <w:endnoteReference w:id="16"/>
      </w:r>
      <w:r w:rsidRPr="003901E7">
        <w:rPr>
          <w:iCs/>
          <w:color w:val="000000"/>
          <w:sz w:val="24"/>
          <w:szCs w:val="24"/>
        </w:rPr>
        <w:t xml:space="preserve"> </w:t>
      </w:r>
      <w:r w:rsidRPr="003901E7">
        <w:rPr>
          <w:color w:val="000000"/>
          <w:sz w:val="24"/>
          <w:szCs w:val="24"/>
        </w:rPr>
        <w:t>At that time, Ugarit art was highly influenced by Egyptian art</w:t>
      </w:r>
      <w:r w:rsidR="00B23589">
        <w:rPr>
          <w:color w:val="000000"/>
          <w:sz w:val="24"/>
          <w:szCs w:val="24"/>
        </w:rPr>
        <w:t xml:space="preserve">, </w:t>
      </w:r>
      <w:r w:rsidRPr="003901E7">
        <w:rPr>
          <w:color w:val="000000"/>
          <w:sz w:val="24"/>
          <w:szCs w:val="24"/>
        </w:rPr>
        <w:t>as can be observed in the examined artifacts.</w:t>
      </w:r>
      <w:r w:rsidR="003901E7">
        <w:rPr>
          <w:color w:val="000000"/>
          <w:sz w:val="24"/>
          <w:szCs w:val="24"/>
        </w:rPr>
        <w:t xml:space="preserve"> </w:t>
      </w:r>
      <w:r w:rsidRPr="003901E7">
        <w:rPr>
          <w:color w:val="000000"/>
          <w:sz w:val="24"/>
          <w:szCs w:val="24"/>
        </w:rPr>
        <w:t>In another paper</w:t>
      </w:r>
      <w:r w:rsidR="00B23589">
        <w:rPr>
          <w:color w:val="000000"/>
          <w:sz w:val="24"/>
          <w:szCs w:val="24"/>
        </w:rPr>
        <w:t>,</w:t>
      </w:r>
      <w:r w:rsidR="00B23589">
        <w:rPr>
          <w:rStyle w:val="EndnoteReference"/>
          <w:color w:val="000000"/>
          <w:sz w:val="24"/>
          <w:szCs w:val="24"/>
        </w:rPr>
        <w:endnoteReference w:id="17"/>
      </w:r>
      <w:r w:rsidRPr="003901E7">
        <w:rPr>
          <w:color w:val="000000"/>
          <w:sz w:val="24"/>
          <w:szCs w:val="24"/>
        </w:rPr>
        <w:t xml:space="preserve"> </w:t>
      </w:r>
      <w:r w:rsidR="00B23589">
        <w:rPr>
          <w:color w:val="000000"/>
          <w:sz w:val="24"/>
          <w:szCs w:val="24"/>
        </w:rPr>
        <w:t xml:space="preserve">we </w:t>
      </w:r>
      <w:r w:rsidRPr="003901E7">
        <w:rPr>
          <w:color w:val="000000"/>
          <w:sz w:val="24"/>
          <w:szCs w:val="24"/>
        </w:rPr>
        <w:t xml:space="preserve">discussed the methodology for the micro-XRF analysis of the gilded parts of the objects. </w:t>
      </w:r>
      <w:r w:rsidRPr="003901E7">
        <w:rPr>
          <w:sz w:val="24"/>
          <w:szCs w:val="24"/>
        </w:rPr>
        <w:t>The examination of gilded areas showed the use of the foil gilding technique, determined the composition of the gilded areas, and revealed the use of different gold sheets on these objects.</w:t>
      </w:r>
    </w:p>
    <w:p w:rsidR="004E6D6C" w:rsidRDefault="004E6D6C" w:rsidP="004E6D6C">
      <w:pPr>
        <w:spacing w:line="360" w:lineRule="auto"/>
        <w:outlineLvl w:val="0"/>
        <w:rPr>
          <w:sz w:val="24"/>
          <w:szCs w:val="24"/>
        </w:rPr>
      </w:pPr>
    </w:p>
    <w:p w:rsidR="00EA6D32" w:rsidRPr="004E6D6C" w:rsidRDefault="00B23589" w:rsidP="004E6D6C">
      <w:pPr>
        <w:spacing w:line="360" w:lineRule="auto"/>
        <w:outlineLvl w:val="0"/>
        <w:rPr>
          <w:sz w:val="24"/>
          <w:szCs w:val="24"/>
        </w:rPr>
      </w:pPr>
      <w:r>
        <w:rPr>
          <w:b/>
          <w:sz w:val="24"/>
          <w:szCs w:val="24"/>
        </w:rPr>
        <w:t>[A-head]</w:t>
      </w:r>
      <w:r w:rsidR="003C4D7A" w:rsidRPr="003901E7">
        <w:rPr>
          <w:b/>
          <w:sz w:val="24"/>
          <w:szCs w:val="24"/>
        </w:rPr>
        <w:t xml:space="preserve">Measurement </w:t>
      </w:r>
      <w:r>
        <w:rPr>
          <w:b/>
          <w:sz w:val="24"/>
          <w:szCs w:val="24"/>
        </w:rPr>
        <w:t>S</w:t>
      </w:r>
      <w:r w:rsidR="003C4D7A" w:rsidRPr="003901E7">
        <w:rPr>
          <w:b/>
          <w:sz w:val="24"/>
          <w:szCs w:val="24"/>
        </w:rPr>
        <w:t>et-up</w:t>
      </w:r>
    </w:p>
    <w:p w:rsidR="003C4D7A" w:rsidRPr="003901E7" w:rsidRDefault="003C4D7A" w:rsidP="003901E7">
      <w:pPr>
        <w:spacing w:line="360" w:lineRule="auto"/>
        <w:outlineLvl w:val="0"/>
        <w:rPr>
          <w:b/>
          <w:sz w:val="24"/>
          <w:szCs w:val="24"/>
        </w:rPr>
      </w:pPr>
    </w:p>
    <w:p w:rsidR="00000000" w:rsidRDefault="003C4D7A">
      <w:pPr>
        <w:spacing w:line="360" w:lineRule="auto"/>
        <w:outlineLvl w:val="0"/>
        <w:rPr>
          <w:sz w:val="24"/>
          <w:szCs w:val="24"/>
        </w:rPr>
      </w:pPr>
      <w:r w:rsidRPr="003901E7">
        <w:rPr>
          <w:sz w:val="24"/>
          <w:szCs w:val="24"/>
        </w:rPr>
        <w:t>The scientific examination of the bronze figurines was carried out by a portable micro-XRF spectrometer (</w:t>
      </w:r>
      <w:r w:rsidR="00CF3E6A" w:rsidRPr="00CF3E6A">
        <w:rPr>
          <w:b/>
          <w:sz w:val="24"/>
          <w:szCs w:val="24"/>
        </w:rPr>
        <w:t>fig. 46.2</w:t>
      </w:r>
      <w:r w:rsidRPr="003901E7">
        <w:rPr>
          <w:sz w:val="24"/>
          <w:szCs w:val="24"/>
        </w:rPr>
        <w:t>)</w:t>
      </w:r>
      <w:r w:rsidR="00B23589">
        <w:rPr>
          <w:sz w:val="24"/>
          <w:szCs w:val="24"/>
        </w:rPr>
        <w:t>.</w:t>
      </w:r>
      <w:r w:rsidRPr="003901E7">
        <w:rPr>
          <w:sz w:val="24"/>
          <w:szCs w:val="24"/>
        </w:rPr>
        <w:t xml:space="preserve"> </w:t>
      </w:r>
      <w:r w:rsidR="00B23589">
        <w:rPr>
          <w:sz w:val="24"/>
          <w:szCs w:val="24"/>
        </w:rPr>
        <w:t>This instrument</w:t>
      </w:r>
      <w:r w:rsidR="00B23589" w:rsidRPr="003901E7">
        <w:rPr>
          <w:sz w:val="24"/>
          <w:szCs w:val="24"/>
        </w:rPr>
        <w:t xml:space="preserve"> </w:t>
      </w:r>
      <w:r w:rsidRPr="003901E7">
        <w:rPr>
          <w:sz w:val="24"/>
          <w:szCs w:val="24"/>
        </w:rPr>
        <w:t>was developed based on a commercial spectrometer (Bruker-Nano</w:t>
      </w:r>
      <w:r w:rsidR="00B23589">
        <w:rPr>
          <w:sz w:val="24"/>
          <w:szCs w:val="24"/>
        </w:rPr>
        <w:t xml:space="preserve"> ARTAX</w:t>
      </w:r>
      <w:r w:rsidRPr="003901E7">
        <w:rPr>
          <w:sz w:val="24"/>
          <w:szCs w:val="24"/>
        </w:rPr>
        <w:t>) with optimized features regarding the design of the spectrometry head and the lens transmission efficiency at high energies (&gt;20 k</w:t>
      </w:r>
      <w:r w:rsidR="00B23589">
        <w:rPr>
          <w:sz w:val="24"/>
          <w:szCs w:val="24"/>
        </w:rPr>
        <w:t xml:space="preserve"> </w:t>
      </w:r>
      <w:r w:rsidRPr="003901E7">
        <w:rPr>
          <w:sz w:val="24"/>
          <w:szCs w:val="24"/>
        </w:rPr>
        <w:t>eV).</w:t>
      </w:r>
      <w:r w:rsidR="003901E7">
        <w:rPr>
          <w:sz w:val="24"/>
          <w:szCs w:val="24"/>
        </w:rPr>
        <w:t xml:space="preserve"> </w:t>
      </w:r>
      <w:r w:rsidRPr="003901E7">
        <w:rPr>
          <w:sz w:val="24"/>
          <w:szCs w:val="24"/>
        </w:rPr>
        <w:t>The spectrometer probe consists of an X-</w:t>
      </w:r>
      <w:r w:rsidR="00F922B0" w:rsidRPr="003901E7">
        <w:rPr>
          <w:sz w:val="24"/>
          <w:szCs w:val="24"/>
        </w:rPr>
        <w:t>r</w:t>
      </w:r>
      <w:r w:rsidRPr="003901E7">
        <w:rPr>
          <w:sz w:val="24"/>
          <w:szCs w:val="24"/>
        </w:rPr>
        <w:t xml:space="preserve">ay </w:t>
      </w:r>
      <w:r w:rsidR="00F922B0" w:rsidRPr="003901E7">
        <w:rPr>
          <w:sz w:val="24"/>
          <w:szCs w:val="24"/>
        </w:rPr>
        <w:t>m</w:t>
      </w:r>
      <w:r w:rsidRPr="003901E7">
        <w:rPr>
          <w:sz w:val="24"/>
          <w:szCs w:val="24"/>
        </w:rPr>
        <w:t>icro</w:t>
      </w:r>
      <w:r w:rsidR="00F922B0" w:rsidRPr="003901E7">
        <w:rPr>
          <w:sz w:val="24"/>
          <w:szCs w:val="24"/>
        </w:rPr>
        <w:t>-</w:t>
      </w:r>
      <w:r w:rsidRPr="003901E7">
        <w:rPr>
          <w:sz w:val="24"/>
          <w:szCs w:val="24"/>
        </w:rPr>
        <w:t>focus Rh-anode tube (spot size 50 μm x 50 μm, max 50 kV, max 1 mA, 30W maximum power consumption, Be window 0.2 mm thickness)</w:t>
      </w:r>
      <w:r w:rsidR="00B55E4C">
        <w:rPr>
          <w:sz w:val="24"/>
          <w:szCs w:val="24"/>
        </w:rPr>
        <w:t>;</w:t>
      </w:r>
      <w:r w:rsidRPr="003901E7">
        <w:rPr>
          <w:sz w:val="24"/>
          <w:szCs w:val="24"/>
        </w:rPr>
        <w:t xml:space="preserve"> </w:t>
      </w:r>
      <w:r w:rsidR="00B55E4C">
        <w:rPr>
          <w:sz w:val="24"/>
          <w:szCs w:val="24"/>
        </w:rPr>
        <w:t xml:space="preserve">and </w:t>
      </w:r>
      <w:r w:rsidRPr="003901E7">
        <w:rPr>
          <w:sz w:val="24"/>
          <w:szCs w:val="24"/>
        </w:rPr>
        <w:t xml:space="preserve">a polycapillary X-ray lens as </w:t>
      </w:r>
      <w:r w:rsidRPr="003901E7">
        <w:rPr>
          <w:sz w:val="24"/>
          <w:szCs w:val="24"/>
        </w:rPr>
        <w:lastRenderedPageBreak/>
        <w:t>a focusing optical element (IFG),</w:t>
      </w:r>
      <w:r w:rsidR="00B55E4C">
        <w:rPr>
          <w:sz w:val="24"/>
          <w:szCs w:val="24"/>
        </w:rPr>
        <w:t xml:space="preserve"> with</w:t>
      </w:r>
      <w:r w:rsidRPr="003901E7">
        <w:rPr>
          <w:sz w:val="24"/>
          <w:szCs w:val="24"/>
        </w:rPr>
        <w:t xml:space="preserve"> focal distance equal to 21.2</w:t>
      </w:r>
      <w:r w:rsidR="00F922B0" w:rsidRPr="003901E7">
        <w:rPr>
          <w:sz w:val="24"/>
          <w:szCs w:val="24"/>
        </w:rPr>
        <w:t xml:space="preserve"> </w:t>
      </w:r>
      <w:r w:rsidRPr="003901E7">
        <w:rPr>
          <w:sz w:val="24"/>
          <w:szCs w:val="24"/>
        </w:rPr>
        <w:t>mm and</w:t>
      </w:r>
      <w:r w:rsidR="003901E7">
        <w:rPr>
          <w:sz w:val="24"/>
          <w:szCs w:val="24"/>
        </w:rPr>
        <w:t xml:space="preserve"> </w:t>
      </w:r>
      <w:r w:rsidRPr="003901E7">
        <w:rPr>
          <w:sz w:val="24"/>
          <w:szCs w:val="24"/>
        </w:rPr>
        <w:t>with spatial resolution</w:t>
      </w:r>
      <w:r w:rsidR="00F922B0" w:rsidRPr="003901E7">
        <w:rPr>
          <w:sz w:val="24"/>
          <w:szCs w:val="24"/>
        </w:rPr>
        <w:t xml:space="preserve"> of</w:t>
      </w:r>
      <w:r w:rsidRPr="003901E7">
        <w:rPr>
          <w:sz w:val="24"/>
          <w:szCs w:val="24"/>
        </w:rPr>
        <w:t xml:space="preserve"> ~40</w:t>
      </w:r>
      <w:r w:rsidR="00F922B0" w:rsidRPr="003901E7">
        <w:rPr>
          <w:sz w:val="24"/>
          <w:szCs w:val="24"/>
        </w:rPr>
        <w:t>–</w:t>
      </w:r>
      <w:r w:rsidRPr="003901E7">
        <w:rPr>
          <w:sz w:val="24"/>
          <w:szCs w:val="24"/>
        </w:rPr>
        <w:t>100 μm. The X-ray detection chain consists of an electro-thermally cooled 10 mm</w:t>
      </w:r>
      <w:r w:rsidRPr="003901E7">
        <w:rPr>
          <w:sz w:val="24"/>
          <w:szCs w:val="24"/>
          <w:vertAlign w:val="superscript"/>
        </w:rPr>
        <w:t>2</w:t>
      </w:r>
      <w:r w:rsidRPr="003901E7">
        <w:rPr>
          <w:sz w:val="24"/>
          <w:szCs w:val="24"/>
        </w:rPr>
        <w:t xml:space="preserve"> silicon drift detector (X-Flash, 1000B) with FWHM equal to 146 eV at 10</w:t>
      </w:r>
      <w:r w:rsidR="00B55E4C">
        <w:rPr>
          <w:sz w:val="24"/>
          <w:szCs w:val="24"/>
        </w:rPr>
        <w:t xml:space="preserve"> </w:t>
      </w:r>
      <w:r w:rsidRPr="003901E7">
        <w:rPr>
          <w:sz w:val="24"/>
          <w:szCs w:val="24"/>
        </w:rPr>
        <w:t>kcps coupled with a digital signal processor. A color CCD camera (ca. 13</w:t>
      </w:r>
      <w:r w:rsidR="00B55E4C">
        <w:rPr>
          <w:sz w:val="24"/>
          <w:szCs w:val="24"/>
        </w:rPr>
        <w:t>x</w:t>
      </w:r>
      <w:r w:rsidR="00B55E4C" w:rsidRPr="003901E7">
        <w:rPr>
          <w:sz w:val="24"/>
          <w:szCs w:val="24"/>
        </w:rPr>
        <w:t xml:space="preserve"> </w:t>
      </w:r>
      <w:r w:rsidRPr="003901E7">
        <w:rPr>
          <w:sz w:val="24"/>
          <w:szCs w:val="24"/>
        </w:rPr>
        <w:t>magnification) is used for sample illumination and a dimmable white LED</w:t>
      </w:r>
      <w:r w:rsidR="003901E7">
        <w:rPr>
          <w:sz w:val="24"/>
          <w:szCs w:val="24"/>
        </w:rPr>
        <w:t xml:space="preserve"> </w:t>
      </w:r>
      <w:r w:rsidRPr="003901E7">
        <w:rPr>
          <w:sz w:val="24"/>
          <w:szCs w:val="24"/>
        </w:rPr>
        <w:t>to produce a laser spot. Three different stepping motors, coupled with the spectrometer head, allow its movement</w:t>
      </w:r>
      <w:r w:rsidR="00B55E4C" w:rsidRPr="00B55E4C">
        <w:rPr>
          <w:sz w:val="24"/>
          <w:szCs w:val="24"/>
        </w:rPr>
        <w:t xml:space="preserve"> </w:t>
      </w:r>
      <w:r w:rsidR="00B55E4C">
        <w:rPr>
          <w:sz w:val="24"/>
          <w:szCs w:val="24"/>
        </w:rPr>
        <w:t xml:space="preserve">in </w:t>
      </w:r>
      <w:r w:rsidR="00B55E4C" w:rsidRPr="003901E7">
        <w:rPr>
          <w:sz w:val="24"/>
          <w:szCs w:val="24"/>
        </w:rPr>
        <w:t>three-dimension</w:t>
      </w:r>
      <w:r w:rsidR="00B55E4C">
        <w:rPr>
          <w:sz w:val="24"/>
          <w:szCs w:val="24"/>
        </w:rPr>
        <w:t>s</w:t>
      </w:r>
      <w:r w:rsidRPr="003901E7">
        <w:rPr>
          <w:sz w:val="24"/>
          <w:szCs w:val="24"/>
        </w:rPr>
        <w:t xml:space="preserve">, </w:t>
      </w:r>
      <w:r w:rsidR="00191422">
        <w:rPr>
          <w:sz w:val="24"/>
          <w:szCs w:val="24"/>
        </w:rPr>
        <w:t>to facilitate</w:t>
      </w:r>
      <w:r w:rsidRPr="003901E7">
        <w:rPr>
          <w:sz w:val="24"/>
          <w:szCs w:val="24"/>
        </w:rPr>
        <w:t xml:space="preserve"> 2D scanning measurements. Finally, a portable supporting stand </w:t>
      </w:r>
      <w:r w:rsidR="00B55E4C">
        <w:rPr>
          <w:sz w:val="24"/>
          <w:szCs w:val="24"/>
        </w:rPr>
        <w:t>for</w:t>
      </w:r>
      <w:r w:rsidR="00B55E4C" w:rsidRPr="003901E7">
        <w:rPr>
          <w:sz w:val="24"/>
          <w:szCs w:val="24"/>
        </w:rPr>
        <w:t xml:space="preserve"> </w:t>
      </w:r>
      <w:r w:rsidRPr="003901E7">
        <w:rPr>
          <w:sz w:val="24"/>
          <w:szCs w:val="24"/>
        </w:rPr>
        <w:t>the micro-XRF spectrometer (</w:t>
      </w:r>
      <w:r w:rsidR="00F922B0" w:rsidRPr="003901E7">
        <w:rPr>
          <w:sz w:val="24"/>
          <w:szCs w:val="24"/>
        </w:rPr>
        <w:t xml:space="preserve">developed </w:t>
      </w:r>
      <w:r w:rsidRPr="003901E7">
        <w:rPr>
          <w:sz w:val="24"/>
          <w:szCs w:val="24"/>
        </w:rPr>
        <w:t xml:space="preserve">in-house) allows its vertical movement in a range of about 50 cm. The portable stand can be easily </w:t>
      </w:r>
      <w:r w:rsidR="00F922B0" w:rsidRPr="003901E7">
        <w:rPr>
          <w:sz w:val="24"/>
          <w:szCs w:val="24"/>
        </w:rPr>
        <w:t>dis</w:t>
      </w:r>
      <w:r w:rsidRPr="003901E7">
        <w:rPr>
          <w:sz w:val="24"/>
          <w:szCs w:val="24"/>
        </w:rPr>
        <w:t>assembled, packed</w:t>
      </w:r>
      <w:r w:rsidR="00F922B0" w:rsidRPr="003901E7">
        <w:rPr>
          <w:sz w:val="24"/>
          <w:szCs w:val="24"/>
        </w:rPr>
        <w:t>,</w:t>
      </w:r>
      <w:r w:rsidRPr="003901E7">
        <w:rPr>
          <w:sz w:val="24"/>
          <w:szCs w:val="24"/>
        </w:rPr>
        <w:t xml:space="preserve"> and transported to a museum or a site. </w:t>
      </w:r>
    </w:p>
    <w:p w:rsidR="004E6D6C" w:rsidRDefault="004E6D6C" w:rsidP="004E6D6C">
      <w:pPr>
        <w:spacing w:line="360" w:lineRule="auto"/>
        <w:outlineLvl w:val="0"/>
        <w:rPr>
          <w:sz w:val="24"/>
          <w:szCs w:val="24"/>
        </w:rPr>
      </w:pPr>
    </w:p>
    <w:p w:rsidR="00EA6D32" w:rsidRPr="004E6D6C" w:rsidRDefault="00B55E4C" w:rsidP="004E6D6C">
      <w:pPr>
        <w:spacing w:line="360" w:lineRule="auto"/>
        <w:outlineLvl w:val="0"/>
        <w:rPr>
          <w:sz w:val="24"/>
          <w:szCs w:val="24"/>
        </w:rPr>
      </w:pPr>
      <w:r>
        <w:rPr>
          <w:b/>
          <w:sz w:val="24"/>
          <w:szCs w:val="24"/>
        </w:rPr>
        <w:t>[A-head]</w:t>
      </w:r>
      <w:r w:rsidR="003C4D7A" w:rsidRPr="003901E7">
        <w:rPr>
          <w:b/>
          <w:sz w:val="24"/>
          <w:szCs w:val="24"/>
        </w:rPr>
        <w:t>Results/Discussion</w:t>
      </w:r>
    </w:p>
    <w:p w:rsidR="003C4D7A" w:rsidRPr="003901E7" w:rsidRDefault="003C4D7A" w:rsidP="003901E7">
      <w:pPr>
        <w:spacing w:line="360" w:lineRule="auto"/>
        <w:rPr>
          <w:b/>
          <w:sz w:val="24"/>
          <w:szCs w:val="24"/>
        </w:rPr>
      </w:pPr>
    </w:p>
    <w:p w:rsidR="003C4D7A" w:rsidRPr="003901E7" w:rsidRDefault="003C4D7A" w:rsidP="003901E7">
      <w:pPr>
        <w:spacing w:line="360" w:lineRule="auto"/>
        <w:rPr>
          <w:sz w:val="24"/>
          <w:szCs w:val="24"/>
        </w:rPr>
      </w:pPr>
      <w:r w:rsidRPr="003901E7">
        <w:rPr>
          <w:i/>
          <w:sz w:val="24"/>
          <w:szCs w:val="24"/>
        </w:rPr>
        <w:t xml:space="preserve">The </w:t>
      </w:r>
      <w:r w:rsidR="00B55E4C">
        <w:rPr>
          <w:i/>
          <w:sz w:val="24"/>
          <w:szCs w:val="24"/>
        </w:rPr>
        <w:t>P</w:t>
      </w:r>
      <w:r w:rsidRPr="003901E7">
        <w:rPr>
          <w:i/>
          <w:sz w:val="24"/>
          <w:szCs w:val="24"/>
        </w:rPr>
        <w:t xml:space="preserve">roblem of </w:t>
      </w:r>
      <w:r w:rsidR="00B55E4C">
        <w:rPr>
          <w:i/>
          <w:sz w:val="24"/>
          <w:szCs w:val="24"/>
        </w:rPr>
        <w:t>H</w:t>
      </w:r>
      <w:r w:rsidRPr="003901E7">
        <w:rPr>
          <w:i/>
          <w:sz w:val="24"/>
          <w:szCs w:val="24"/>
        </w:rPr>
        <w:t>eterogeneity</w:t>
      </w:r>
      <w:r w:rsidR="00B55E4C">
        <w:rPr>
          <w:i/>
          <w:sz w:val="24"/>
          <w:szCs w:val="24"/>
        </w:rPr>
        <w:t>:</w:t>
      </w:r>
      <w:r w:rsidRPr="003901E7">
        <w:rPr>
          <w:i/>
          <w:sz w:val="24"/>
          <w:szCs w:val="24"/>
        </w:rPr>
        <w:t xml:space="preserve"> </w:t>
      </w:r>
      <w:r w:rsidRPr="003901E7">
        <w:rPr>
          <w:sz w:val="24"/>
          <w:szCs w:val="24"/>
        </w:rPr>
        <w:t xml:space="preserve">The micro-scale heterogeneity of CH metals was validated during the PROMET campaign and was reported in the book </w:t>
      </w:r>
      <w:r w:rsidRPr="003901E7">
        <w:rPr>
          <w:i/>
          <w:sz w:val="24"/>
          <w:szCs w:val="24"/>
        </w:rPr>
        <w:t>The Preservation of Metal Museum Collections from the Mediterranean Region</w:t>
      </w:r>
      <w:r w:rsidR="00B55E4C">
        <w:rPr>
          <w:i/>
          <w:sz w:val="24"/>
          <w:szCs w:val="24"/>
        </w:rPr>
        <w:t>:</w:t>
      </w:r>
      <w:r w:rsidRPr="003901E7">
        <w:rPr>
          <w:i/>
          <w:sz w:val="24"/>
          <w:szCs w:val="24"/>
        </w:rPr>
        <w:t xml:space="preserve"> The PROMET </w:t>
      </w:r>
      <w:r w:rsidR="00B55E4C">
        <w:rPr>
          <w:i/>
          <w:sz w:val="24"/>
          <w:szCs w:val="24"/>
        </w:rPr>
        <w:t>A</w:t>
      </w:r>
      <w:r w:rsidRPr="003901E7">
        <w:rPr>
          <w:i/>
          <w:sz w:val="24"/>
          <w:szCs w:val="24"/>
        </w:rPr>
        <w:t>pproach</w:t>
      </w:r>
      <w:r w:rsidRPr="003901E7">
        <w:rPr>
          <w:sz w:val="24"/>
          <w:szCs w:val="24"/>
        </w:rPr>
        <w:t>.</w:t>
      </w:r>
      <w:r w:rsidR="00B55E4C">
        <w:rPr>
          <w:rStyle w:val="EndnoteReference"/>
          <w:sz w:val="24"/>
          <w:szCs w:val="24"/>
        </w:rPr>
        <w:endnoteReference w:id="18"/>
      </w:r>
      <w:r w:rsidRPr="003901E7">
        <w:rPr>
          <w:sz w:val="24"/>
          <w:szCs w:val="24"/>
        </w:rPr>
        <w:t xml:space="preserve"> </w:t>
      </w:r>
      <w:r w:rsidR="003372CB" w:rsidRPr="003901E7">
        <w:rPr>
          <w:sz w:val="24"/>
          <w:szCs w:val="24"/>
        </w:rPr>
        <w:t xml:space="preserve">In </w:t>
      </w:r>
      <w:r w:rsidRPr="003901E7">
        <w:rPr>
          <w:sz w:val="24"/>
          <w:szCs w:val="24"/>
        </w:rPr>
        <w:t>this study, the examination of ancient copper alloys highlights the necessity of area mapping to deduce mean values of elemental intensities compared to single spot micro-XRF analysis. It is very characteristic that the homogeneity of the SRM BCR-691 copper alloys is ensured only for a beam spot size at the order of 5 mm due to their micro-scale heterogeneity. Typical copper alloys were analyzed by performing micro-XRF mapping in small (~0.5 x 0.5 mm</w:t>
      </w:r>
      <w:r w:rsidRPr="003901E7">
        <w:rPr>
          <w:sz w:val="24"/>
          <w:szCs w:val="24"/>
          <w:vertAlign w:val="superscript"/>
        </w:rPr>
        <w:t>2</w:t>
      </w:r>
      <w:r w:rsidRPr="003901E7">
        <w:rPr>
          <w:sz w:val="24"/>
          <w:szCs w:val="24"/>
        </w:rPr>
        <w:t>) and large (~5 x 5 mm</w:t>
      </w:r>
      <w:r w:rsidRPr="003901E7">
        <w:rPr>
          <w:sz w:val="24"/>
          <w:szCs w:val="24"/>
          <w:vertAlign w:val="superscript"/>
        </w:rPr>
        <w:t>2</w:t>
      </w:r>
      <w:r w:rsidRPr="003901E7">
        <w:rPr>
          <w:sz w:val="24"/>
          <w:szCs w:val="24"/>
        </w:rPr>
        <w:t xml:space="preserve">) areas. </w:t>
      </w:r>
      <w:r w:rsidR="00CF3E6A" w:rsidRPr="00CF3E6A">
        <w:rPr>
          <w:b/>
          <w:sz w:val="24"/>
          <w:szCs w:val="24"/>
        </w:rPr>
        <w:t>Table 46.1</w:t>
      </w:r>
      <w:r w:rsidRPr="003901E7">
        <w:rPr>
          <w:sz w:val="24"/>
          <w:szCs w:val="24"/>
        </w:rPr>
        <w:t xml:space="preserve"> reports the systematic area scans</w:t>
      </w:r>
      <w:r w:rsidR="003901E7">
        <w:rPr>
          <w:sz w:val="24"/>
          <w:szCs w:val="24"/>
        </w:rPr>
        <w:t xml:space="preserve"> </w:t>
      </w:r>
      <w:r w:rsidRPr="003901E7">
        <w:rPr>
          <w:sz w:val="24"/>
          <w:szCs w:val="24"/>
        </w:rPr>
        <w:t xml:space="preserve">performed for the copper BCR-691Α alloy. The elemental intensities deduced from each area scan were averaged and the respective standard deviations (STDMV %) are presented. In addition, </w:t>
      </w:r>
      <w:r w:rsidR="00B55E4C">
        <w:rPr>
          <w:sz w:val="24"/>
          <w:szCs w:val="24"/>
        </w:rPr>
        <w:t>the table gives</w:t>
      </w:r>
      <w:r w:rsidRPr="003901E7">
        <w:rPr>
          <w:sz w:val="24"/>
          <w:szCs w:val="24"/>
        </w:rPr>
        <w:t xml:space="preserve"> the </w:t>
      </w:r>
      <w:r w:rsidRPr="003901E7">
        <w:rPr>
          <w:bCs/>
          <w:sz w:val="24"/>
          <w:szCs w:val="24"/>
        </w:rPr>
        <w:t>standard deviation (%) of the mean value determined by averaging the individual mean values of all the area scans</w:t>
      </w:r>
      <w:r w:rsidR="00B55E4C" w:rsidRPr="00B55E4C">
        <w:rPr>
          <w:bCs/>
          <w:sz w:val="24"/>
          <w:szCs w:val="24"/>
        </w:rPr>
        <w:t xml:space="preserve"> </w:t>
      </w:r>
      <w:r w:rsidR="00B55E4C" w:rsidRPr="003901E7">
        <w:rPr>
          <w:bCs/>
          <w:sz w:val="24"/>
          <w:szCs w:val="24"/>
        </w:rPr>
        <w:t>for a specific elemental intensity</w:t>
      </w:r>
      <w:r w:rsidRPr="003901E7">
        <w:rPr>
          <w:bCs/>
          <w:sz w:val="24"/>
          <w:szCs w:val="24"/>
        </w:rPr>
        <w:t>.</w:t>
      </w:r>
    </w:p>
    <w:p w:rsidR="003C4D7A" w:rsidRDefault="00B55E4C" w:rsidP="003901E7">
      <w:pPr>
        <w:pStyle w:val="BodyText"/>
        <w:spacing w:after="0" w:line="360" w:lineRule="auto"/>
        <w:rPr>
          <w:szCs w:val="24"/>
          <w:lang w:val="en-US"/>
        </w:rPr>
      </w:pPr>
      <w:r>
        <w:rPr>
          <w:szCs w:val="24"/>
          <w:lang w:val="en-US"/>
        </w:rPr>
        <w:t>Given these results, what would be</w:t>
      </w:r>
      <w:r w:rsidR="003C4D7A" w:rsidRPr="003901E7">
        <w:rPr>
          <w:szCs w:val="24"/>
          <w:lang w:val="en-US"/>
        </w:rPr>
        <w:t xml:space="preserve"> an appropriate measurement methodology that </w:t>
      </w:r>
      <w:r>
        <w:rPr>
          <w:szCs w:val="24"/>
          <w:lang w:val="en-US"/>
        </w:rPr>
        <w:t>would</w:t>
      </w:r>
      <w:r w:rsidRPr="003901E7">
        <w:rPr>
          <w:szCs w:val="24"/>
          <w:lang w:val="en-US"/>
        </w:rPr>
        <w:t xml:space="preserve"> </w:t>
      </w:r>
      <w:r w:rsidR="003C4D7A" w:rsidRPr="003901E7">
        <w:rPr>
          <w:szCs w:val="24"/>
          <w:lang w:val="en-US"/>
        </w:rPr>
        <w:t>generate representative results of the metal alloy bulk composition</w:t>
      </w:r>
      <w:r>
        <w:rPr>
          <w:szCs w:val="24"/>
          <w:lang w:val="en-US"/>
        </w:rPr>
        <w:t>?</w:t>
      </w:r>
      <w:r w:rsidR="003C4D7A" w:rsidRPr="003901E7">
        <w:rPr>
          <w:szCs w:val="24"/>
          <w:lang w:val="en-US"/>
        </w:rPr>
        <w:t xml:space="preserve"> The following practical guidelines should be taken into account: </w:t>
      </w:r>
    </w:p>
    <w:p w:rsidR="00B55E4C" w:rsidRPr="003901E7" w:rsidRDefault="00B55E4C" w:rsidP="003901E7">
      <w:pPr>
        <w:pStyle w:val="BodyText"/>
        <w:spacing w:after="0" w:line="360" w:lineRule="auto"/>
        <w:rPr>
          <w:szCs w:val="24"/>
          <w:lang w:val="en-US"/>
        </w:rPr>
      </w:pPr>
      <w:r>
        <w:rPr>
          <w:szCs w:val="24"/>
          <w:lang w:val="en-US"/>
        </w:rPr>
        <w:t>[numbered list]</w:t>
      </w:r>
    </w:p>
    <w:p w:rsidR="003C4D7A" w:rsidRPr="003901E7" w:rsidRDefault="00B55E4C" w:rsidP="003901E7">
      <w:pPr>
        <w:pStyle w:val="BodyText"/>
        <w:spacing w:after="0" w:line="360" w:lineRule="auto"/>
        <w:rPr>
          <w:szCs w:val="24"/>
          <w:lang w:val="en-US"/>
        </w:rPr>
      </w:pPr>
      <w:r>
        <w:rPr>
          <w:szCs w:val="24"/>
          <w:lang w:val="en-US"/>
        </w:rPr>
        <w:t>(</w:t>
      </w:r>
      <w:r w:rsidR="003C4D7A" w:rsidRPr="003901E7">
        <w:rPr>
          <w:szCs w:val="24"/>
          <w:lang w:val="en-US"/>
        </w:rPr>
        <w:t xml:space="preserve">1) The scanning micro-XRF analysis should be conducted in </w:t>
      </w:r>
      <w:r w:rsidR="008C03FC" w:rsidRPr="003901E7">
        <w:rPr>
          <w:szCs w:val="24"/>
          <w:lang w:val="en-US"/>
        </w:rPr>
        <w:t xml:space="preserve">at least </w:t>
      </w:r>
      <w:r w:rsidR="003C4D7A" w:rsidRPr="003901E7">
        <w:rPr>
          <w:szCs w:val="24"/>
          <w:lang w:val="en-US"/>
        </w:rPr>
        <w:t>three different areas ~1 mm x 1mm or larger</w:t>
      </w:r>
      <w:r w:rsidR="008C03FC" w:rsidRPr="003901E7">
        <w:rPr>
          <w:szCs w:val="24"/>
          <w:lang w:val="en-US"/>
        </w:rPr>
        <w:t>,</w:t>
      </w:r>
      <w:r w:rsidR="003C4D7A" w:rsidRPr="003901E7">
        <w:rPr>
          <w:szCs w:val="24"/>
          <w:lang w:val="en-US"/>
        </w:rPr>
        <w:t xml:space="preserve"> containing an adequate number of spot measurements (&gt;30) with step size </w:t>
      </w:r>
      <w:r w:rsidR="003C4D7A" w:rsidRPr="003901E7">
        <w:rPr>
          <w:szCs w:val="24"/>
          <w:lang w:val="en-US"/>
        </w:rPr>
        <w:lastRenderedPageBreak/>
        <w:t xml:space="preserve">equal </w:t>
      </w:r>
      <w:r>
        <w:rPr>
          <w:szCs w:val="24"/>
          <w:lang w:val="en-US"/>
        </w:rPr>
        <w:t xml:space="preserve">to </w:t>
      </w:r>
      <w:r w:rsidR="003C4D7A" w:rsidRPr="003901E7">
        <w:rPr>
          <w:szCs w:val="24"/>
          <w:lang w:val="en-US"/>
        </w:rPr>
        <w:t>or slightly larger than the spatial resolution of the exciting beam (~0.1 mm in our case)</w:t>
      </w:r>
      <w:r w:rsidR="008C03FC" w:rsidRPr="003901E7">
        <w:rPr>
          <w:szCs w:val="24"/>
          <w:lang w:val="en-US"/>
        </w:rPr>
        <w:t>,</w:t>
      </w:r>
      <w:r w:rsidR="003C4D7A" w:rsidRPr="003901E7">
        <w:rPr>
          <w:szCs w:val="24"/>
          <w:lang w:val="en-US"/>
        </w:rPr>
        <w:t xml:space="preserve"> and the respective mean average elemental intensities should be averaged</w:t>
      </w:r>
      <w:r>
        <w:rPr>
          <w:szCs w:val="24"/>
          <w:lang w:val="en-US"/>
        </w:rPr>
        <w:t>.</w:t>
      </w:r>
    </w:p>
    <w:p w:rsidR="003C4D7A" w:rsidRPr="003901E7" w:rsidRDefault="00B55E4C" w:rsidP="003901E7">
      <w:pPr>
        <w:pStyle w:val="BodyText"/>
        <w:spacing w:after="0" w:line="360" w:lineRule="auto"/>
        <w:rPr>
          <w:szCs w:val="24"/>
          <w:lang w:val="en-US"/>
        </w:rPr>
      </w:pPr>
      <w:r>
        <w:rPr>
          <w:szCs w:val="24"/>
          <w:lang w:val="en-US"/>
        </w:rPr>
        <w:t>(</w:t>
      </w:r>
      <w:r w:rsidR="003C4D7A" w:rsidRPr="003901E7">
        <w:rPr>
          <w:szCs w:val="24"/>
          <w:lang w:val="en-US"/>
        </w:rPr>
        <w:t xml:space="preserve">2) If a scanning mode of analysis </w:t>
      </w:r>
      <w:r w:rsidR="00191422">
        <w:rPr>
          <w:szCs w:val="24"/>
          <w:lang w:val="en-US"/>
        </w:rPr>
        <w:t>cannot be applied</w:t>
      </w:r>
      <w:r w:rsidR="003C4D7A" w:rsidRPr="003901E7">
        <w:rPr>
          <w:szCs w:val="24"/>
          <w:lang w:val="en-US"/>
        </w:rPr>
        <w:t xml:space="preserve">, as many </w:t>
      </w:r>
      <w:r w:rsidR="008C03FC" w:rsidRPr="003901E7">
        <w:rPr>
          <w:szCs w:val="24"/>
          <w:lang w:val="en-US"/>
        </w:rPr>
        <w:t xml:space="preserve">single spot measurements </w:t>
      </w:r>
      <w:r w:rsidR="003C4D7A" w:rsidRPr="003901E7">
        <w:rPr>
          <w:szCs w:val="24"/>
          <w:lang w:val="en-US"/>
        </w:rPr>
        <w:t>as possible</w:t>
      </w:r>
      <w:r w:rsidR="003901E7">
        <w:rPr>
          <w:szCs w:val="24"/>
          <w:lang w:val="en-US"/>
        </w:rPr>
        <w:t xml:space="preserve"> </w:t>
      </w:r>
      <w:r w:rsidR="003C4D7A" w:rsidRPr="003901E7">
        <w:rPr>
          <w:szCs w:val="24"/>
          <w:lang w:val="en-US"/>
        </w:rPr>
        <w:t>should be</w:t>
      </w:r>
      <w:r w:rsidR="003901E7">
        <w:rPr>
          <w:szCs w:val="24"/>
          <w:lang w:val="en-US"/>
        </w:rPr>
        <w:t xml:space="preserve"> </w:t>
      </w:r>
      <w:r w:rsidR="008C03FC" w:rsidRPr="003901E7">
        <w:rPr>
          <w:szCs w:val="24"/>
          <w:lang w:val="en-US"/>
        </w:rPr>
        <w:t>taken</w:t>
      </w:r>
      <w:r w:rsidR="003C4D7A" w:rsidRPr="003901E7">
        <w:rPr>
          <w:szCs w:val="24"/>
          <w:lang w:val="en-US"/>
        </w:rPr>
        <w:t xml:space="preserve"> at different </w:t>
      </w:r>
      <w:r>
        <w:rPr>
          <w:szCs w:val="24"/>
          <w:lang w:val="en-US"/>
        </w:rPr>
        <w:t>areas</w:t>
      </w:r>
      <w:r w:rsidRPr="003901E7">
        <w:rPr>
          <w:szCs w:val="24"/>
          <w:lang w:val="en-US"/>
        </w:rPr>
        <w:t xml:space="preserve"> </w:t>
      </w:r>
      <w:r w:rsidR="003C4D7A" w:rsidRPr="003901E7">
        <w:rPr>
          <w:szCs w:val="24"/>
          <w:lang w:val="en-US"/>
        </w:rPr>
        <w:t>o</w:t>
      </w:r>
      <w:r>
        <w:rPr>
          <w:szCs w:val="24"/>
          <w:lang w:val="en-US"/>
        </w:rPr>
        <w:t>f</w:t>
      </w:r>
      <w:r w:rsidR="003C4D7A" w:rsidRPr="003901E7">
        <w:rPr>
          <w:szCs w:val="24"/>
          <w:lang w:val="en-US"/>
        </w:rPr>
        <w:t xml:space="preserve"> the analyzed surface to deduce mean elemental intensities that represent more accurately the bulk composition of the alloy. </w:t>
      </w:r>
    </w:p>
    <w:p w:rsidR="003C4D7A" w:rsidRPr="00191422" w:rsidRDefault="00CF3E6A" w:rsidP="003901E7">
      <w:pPr>
        <w:spacing w:line="360" w:lineRule="auto"/>
        <w:rPr>
          <w:bCs/>
          <w:sz w:val="24"/>
          <w:szCs w:val="24"/>
        </w:rPr>
      </w:pPr>
      <w:r w:rsidRPr="00CF3E6A">
        <w:rPr>
          <w:bCs/>
          <w:sz w:val="24"/>
          <w:szCs w:val="24"/>
        </w:rPr>
        <w:t>[end numbered list]</w:t>
      </w:r>
    </w:p>
    <w:p w:rsidR="003C4D7A" w:rsidRPr="003901E7" w:rsidRDefault="003C4D7A" w:rsidP="003901E7">
      <w:pPr>
        <w:pStyle w:val="BodyText"/>
        <w:spacing w:line="360" w:lineRule="auto"/>
        <w:contextualSpacing/>
        <w:rPr>
          <w:szCs w:val="24"/>
          <w:lang w:val="en-US"/>
        </w:rPr>
      </w:pPr>
      <w:r w:rsidRPr="003901E7">
        <w:rPr>
          <w:i/>
          <w:szCs w:val="24"/>
          <w:lang w:val="en-US"/>
        </w:rPr>
        <w:t xml:space="preserve">The </w:t>
      </w:r>
      <w:r w:rsidR="00B55E4C">
        <w:rPr>
          <w:i/>
          <w:szCs w:val="24"/>
          <w:lang w:val="en-US"/>
        </w:rPr>
        <w:t>N</w:t>
      </w:r>
      <w:r w:rsidRPr="003901E7">
        <w:rPr>
          <w:i/>
          <w:szCs w:val="24"/>
          <w:lang w:val="en-US"/>
        </w:rPr>
        <w:t xml:space="preserve">eed for </w:t>
      </w:r>
      <w:r w:rsidR="00B55E4C">
        <w:rPr>
          <w:i/>
          <w:szCs w:val="24"/>
          <w:lang w:val="en-US"/>
        </w:rPr>
        <w:t>F</w:t>
      </w:r>
      <w:r w:rsidRPr="003901E7">
        <w:rPr>
          <w:i/>
          <w:szCs w:val="24"/>
          <w:lang w:val="en-US"/>
        </w:rPr>
        <w:t xml:space="preserve">iltered </w:t>
      </w:r>
      <w:r w:rsidR="00B55E4C">
        <w:rPr>
          <w:i/>
          <w:szCs w:val="24"/>
          <w:lang w:val="en-US"/>
        </w:rPr>
        <w:t>E</w:t>
      </w:r>
      <w:r w:rsidRPr="003901E7">
        <w:rPr>
          <w:i/>
          <w:szCs w:val="24"/>
          <w:lang w:val="en-US"/>
        </w:rPr>
        <w:t>xcitation</w:t>
      </w:r>
      <w:r w:rsidR="00B55E4C">
        <w:rPr>
          <w:i/>
          <w:szCs w:val="24"/>
          <w:lang w:val="en-US"/>
        </w:rPr>
        <w:t xml:space="preserve">: </w:t>
      </w:r>
      <w:r w:rsidRPr="003901E7">
        <w:t xml:space="preserve">As discussed above, the surface of a bronze object exhibits a polycrystalline structure that may produce parasitic XRD peaks on the XRF spectrum that sometimes coincide with the energy region </w:t>
      </w:r>
      <w:r w:rsidR="00ED765E">
        <w:t>in which</w:t>
      </w:r>
      <w:r w:rsidR="006E6E8F" w:rsidRPr="003901E7">
        <w:t xml:space="preserve"> </w:t>
      </w:r>
      <w:r w:rsidRPr="003901E7">
        <w:t>characteristic X</w:t>
      </w:r>
      <w:r w:rsidR="00191422">
        <w:t>-</w:t>
      </w:r>
      <w:r w:rsidRPr="003901E7">
        <w:t xml:space="preserve">ray lines appear. The use of </w:t>
      </w:r>
      <w:r w:rsidR="006E6E8F">
        <w:t xml:space="preserve">a </w:t>
      </w:r>
      <w:r w:rsidRPr="003901E7">
        <w:t xml:space="preserve">filter in the excitation path can eliminate the influence of this phenomenon. Another advantage </w:t>
      </w:r>
      <w:r w:rsidR="006E6E8F">
        <w:t>to using a</w:t>
      </w:r>
      <w:r w:rsidRPr="003901E7">
        <w:t xml:space="preserve"> filter is the improvement of peak</w:t>
      </w:r>
      <w:r w:rsidR="006E6E8F">
        <w:t>-</w:t>
      </w:r>
      <w:r w:rsidRPr="003901E7">
        <w:t>to</w:t>
      </w:r>
      <w:r w:rsidR="006E6E8F">
        <w:t>-</w:t>
      </w:r>
      <w:r w:rsidRPr="003901E7">
        <w:t>background at the energy region where minor or even trace elements (</w:t>
      </w:r>
      <w:r w:rsidR="006E6E8F">
        <w:t>such as</w:t>
      </w:r>
      <w:r w:rsidR="006E6E8F" w:rsidRPr="003901E7">
        <w:t xml:space="preserve"> </w:t>
      </w:r>
      <w:r w:rsidRPr="003901E7">
        <w:t>zinc, arsenic</w:t>
      </w:r>
      <w:r w:rsidR="00B82369" w:rsidRPr="003901E7">
        <w:t>,</w:t>
      </w:r>
      <w:r w:rsidRPr="003901E7">
        <w:t xml:space="preserve"> or selenium)</w:t>
      </w:r>
      <w:r w:rsidR="003901E7">
        <w:t xml:space="preserve"> </w:t>
      </w:r>
      <w:r w:rsidR="00191422">
        <w:t>may be</w:t>
      </w:r>
      <w:r w:rsidR="006E6E8F" w:rsidRPr="003901E7">
        <w:t xml:space="preserve"> expected</w:t>
      </w:r>
      <w:r w:rsidR="006E6E8F">
        <w:t>,</w:t>
      </w:r>
      <w:r w:rsidR="006E6E8F" w:rsidRPr="003901E7">
        <w:t xml:space="preserve"> </w:t>
      </w:r>
      <w:r w:rsidR="006E6E8F">
        <w:t>and</w:t>
      </w:r>
      <w:r w:rsidR="006E6E8F" w:rsidRPr="003901E7">
        <w:t xml:space="preserve"> </w:t>
      </w:r>
      <w:r w:rsidRPr="003901E7">
        <w:t xml:space="preserve">also the reduction of pile-up peaks. </w:t>
      </w:r>
    </w:p>
    <w:p w:rsidR="003C4D7A" w:rsidRPr="003901E7" w:rsidRDefault="003C4D7A" w:rsidP="003901E7">
      <w:pPr>
        <w:pStyle w:val="BodyText"/>
        <w:spacing w:line="360" w:lineRule="auto"/>
        <w:contextualSpacing/>
        <w:rPr>
          <w:szCs w:val="24"/>
          <w:lang w:val="en-US"/>
        </w:rPr>
      </w:pPr>
      <w:r w:rsidRPr="003901E7">
        <w:rPr>
          <w:szCs w:val="24"/>
          <w:lang w:val="en-US"/>
        </w:rPr>
        <w:t xml:space="preserve">As an example, a single spot measurement was </w:t>
      </w:r>
      <w:r w:rsidR="006E6E8F">
        <w:rPr>
          <w:szCs w:val="24"/>
          <w:lang w:val="en-US"/>
        </w:rPr>
        <w:t>taken</w:t>
      </w:r>
      <w:r w:rsidRPr="003901E7">
        <w:rPr>
          <w:szCs w:val="24"/>
          <w:lang w:val="en-US"/>
        </w:rPr>
        <w:t xml:space="preserve"> on the surface of </w:t>
      </w:r>
      <w:r w:rsidR="00191422">
        <w:rPr>
          <w:szCs w:val="24"/>
          <w:lang w:val="en-US"/>
        </w:rPr>
        <w:t xml:space="preserve">the </w:t>
      </w:r>
      <w:r w:rsidRPr="003901E7">
        <w:rPr>
          <w:szCs w:val="24"/>
          <w:lang w:val="en-US"/>
        </w:rPr>
        <w:t>El-</w:t>
      </w:r>
      <w:r w:rsidR="006E6E8F">
        <w:rPr>
          <w:szCs w:val="24"/>
          <w:lang w:val="en-US"/>
        </w:rPr>
        <w:t>g</w:t>
      </w:r>
      <w:r w:rsidRPr="003901E7">
        <w:rPr>
          <w:szCs w:val="24"/>
          <w:lang w:val="en-US"/>
        </w:rPr>
        <w:t>od figurine using unfiltered versus filtered excitation. In the case of bronze alloy analysis, the selected filter</w:t>
      </w:r>
      <w:r w:rsidR="003901E7">
        <w:rPr>
          <w:szCs w:val="24"/>
          <w:lang w:val="en-US"/>
        </w:rPr>
        <w:t xml:space="preserve"> </w:t>
      </w:r>
      <w:r w:rsidRPr="003901E7">
        <w:rPr>
          <w:szCs w:val="24"/>
          <w:lang w:val="en-US"/>
        </w:rPr>
        <w:t>consisted of a sandwich of the following materials: cobalt (Co) (17.7 ± 1.3) μm, titanium (Ti) (23.64 ± 0.18) μm</w:t>
      </w:r>
      <w:r w:rsidR="00B82369" w:rsidRPr="003901E7">
        <w:rPr>
          <w:szCs w:val="24"/>
          <w:lang w:val="en-US"/>
        </w:rPr>
        <w:t>,</w:t>
      </w:r>
      <w:r w:rsidRPr="003901E7">
        <w:rPr>
          <w:szCs w:val="24"/>
          <w:lang w:val="en-US"/>
        </w:rPr>
        <w:t xml:space="preserve"> and </w:t>
      </w:r>
      <w:r w:rsidR="006E6E8F">
        <w:rPr>
          <w:szCs w:val="24"/>
          <w:lang w:val="en-US"/>
        </w:rPr>
        <w:t>p</w:t>
      </w:r>
      <w:r w:rsidR="00B82369" w:rsidRPr="003901E7">
        <w:rPr>
          <w:szCs w:val="24"/>
          <w:lang w:val="en-US"/>
        </w:rPr>
        <w:t>alladium (</w:t>
      </w:r>
      <w:r w:rsidRPr="003901E7">
        <w:rPr>
          <w:szCs w:val="24"/>
          <w:lang w:val="en-US"/>
        </w:rPr>
        <w:t>Pd</w:t>
      </w:r>
      <w:r w:rsidR="00B82369" w:rsidRPr="003901E7">
        <w:rPr>
          <w:szCs w:val="24"/>
          <w:lang w:val="en-US"/>
        </w:rPr>
        <w:t>)</w:t>
      </w:r>
      <w:r w:rsidRPr="003901E7">
        <w:rPr>
          <w:szCs w:val="24"/>
          <w:lang w:val="en-US"/>
        </w:rPr>
        <w:t xml:space="preserve"> (11.3 ± 0.3) μm.</w:t>
      </w:r>
    </w:p>
    <w:p w:rsidR="003C4D7A" w:rsidRPr="003901E7" w:rsidRDefault="003C4D7A" w:rsidP="003901E7">
      <w:pPr>
        <w:pStyle w:val="BodyText"/>
        <w:spacing w:line="360" w:lineRule="auto"/>
        <w:contextualSpacing/>
        <w:rPr>
          <w:szCs w:val="24"/>
          <w:lang w:val="en-US"/>
        </w:rPr>
      </w:pPr>
      <w:r w:rsidRPr="003901E7">
        <w:rPr>
          <w:szCs w:val="24"/>
          <w:lang w:val="en-US"/>
        </w:rPr>
        <w:t>Both spectra (</w:t>
      </w:r>
      <w:r w:rsidR="00CF3E6A" w:rsidRPr="00CF3E6A">
        <w:rPr>
          <w:b/>
          <w:szCs w:val="24"/>
        </w:rPr>
        <w:t>fig. 46.3</w:t>
      </w:r>
      <w:r w:rsidRPr="003901E7">
        <w:rPr>
          <w:szCs w:val="24"/>
          <w:lang w:val="en-US"/>
        </w:rPr>
        <w:t xml:space="preserve">) showed that the statue is made </w:t>
      </w:r>
      <w:r w:rsidR="00B82369" w:rsidRPr="003901E7">
        <w:rPr>
          <w:szCs w:val="24"/>
          <w:lang w:val="en-US"/>
        </w:rPr>
        <w:t xml:space="preserve">of </w:t>
      </w:r>
      <w:r w:rsidRPr="003901E7">
        <w:rPr>
          <w:szCs w:val="24"/>
          <w:lang w:val="en-US"/>
        </w:rPr>
        <w:t>a binary copper-tin alloy with some traces of iron, zinc</w:t>
      </w:r>
      <w:r w:rsidR="006E6E8F">
        <w:rPr>
          <w:szCs w:val="24"/>
          <w:lang w:val="en-US"/>
        </w:rPr>
        <w:t>,</w:t>
      </w:r>
      <w:r w:rsidRPr="003901E7">
        <w:rPr>
          <w:szCs w:val="24"/>
          <w:lang w:val="en-US"/>
        </w:rPr>
        <w:t xml:space="preserve"> and arsenic. In the case of the filtered excitation, the background was reduced, and the presence of </w:t>
      </w:r>
      <w:r w:rsidR="006E6E8F">
        <w:rPr>
          <w:szCs w:val="24"/>
          <w:lang w:val="en-US"/>
        </w:rPr>
        <w:t>selenium</w:t>
      </w:r>
      <w:r w:rsidR="006E6E8F" w:rsidRPr="003901E7">
        <w:rPr>
          <w:szCs w:val="24"/>
          <w:lang w:val="en-US"/>
        </w:rPr>
        <w:t xml:space="preserve"> </w:t>
      </w:r>
      <w:r w:rsidRPr="003901E7">
        <w:rPr>
          <w:szCs w:val="24"/>
          <w:lang w:val="en-US"/>
        </w:rPr>
        <w:t xml:space="preserve">and </w:t>
      </w:r>
      <w:r w:rsidR="006E6E8F">
        <w:rPr>
          <w:szCs w:val="24"/>
          <w:lang w:val="en-US"/>
        </w:rPr>
        <w:t>lead</w:t>
      </w:r>
      <w:r w:rsidR="006E6E8F" w:rsidRPr="003901E7">
        <w:rPr>
          <w:szCs w:val="24"/>
          <w:lang w:val="en-US"/>
        </w:rPr>
        <w:t xml:space="preserve"> </w:t>
      </w:r>
      <w:r w:rsidRPr="003901E7">
        <w:rPr>
          <w:szCs w:val="24"/>
          <w:lang w:val="en-US"/>
        </w:rPr>
        <w:t xml:space="preserve">traces in the alloy was revealed. The detection of trace elements is extremely important in archaeometric studies, because it can give clues about the provenance of raw materials and </w:t>
      </w:r>
      <w:r w:rsidR="00B82369" w:rsidRPr="003901E7">
        <w:rPr>
          <w:szCs w:val="24"/>
          <w:lang w:val="en-US"/>
        </w:rPr>
        <w:t xml:space="preserve">the </w:t>
      </w:r>
      <w:r w:rsidRPr="003901E7">
        <w:rPr>
          <w:szCs w:val="24"/>
          <w:lang w:val="en-US"/>
        </w:rPr>
        <w:t xml:space="preserve">manufacturing process. </w:t>
      </w:r>
    </w:p>
    <w:p w:rsidR="00000000" w:rsidRDefault="006E6E8F">
      <w:pPr>
        <w:pStyle w:val="BodyText"/>
        <w:spacing w:line="360" w:lineRule="auto"/>
        <w:contextualSpacing/>
      </w:pPr>
      <w:r>
        <w:rPr>
          <w:i/>
          <w:szCs w:val="24"/>
          <w:lang w:val="en-US"/>
        </w:rPr>
        <w:t>Surface C</w:t>
      </w:r>
      <w:r w:rsidR="003C4D7A" w:rsidRPr="003901E7">
        <w:rPr>
          <w:i/>
          <w:szCs w:val="24"/>
          <w:lang w:val="en-US"/>
        </w:rPr>
        <w:t xml:space="preserve">orrosion </w:t>
      </w:r>
      <w:r>
        <w:rPr>
          <w:i/>
          <w:szCs w:val="24"/>
          <w:lang w:val="en-US"/>
        </w:rPr>
        <w:t>P</w:t>
      </w:r>
      <w:r w:rsidR="003C4D7A" w:rsidRPr="003901E7">
        <w:rPr>
          <w:i/>
          <w:szCs w:val="24"/>
          <w:lang w:val="en-US"/>
        </w:rPr>
        <w:t>roducts</w:t>
      </w:r>
      <w:r>
        <w:rPr>
          <w:i/>
          <w:szCs w:val="24"/>
          <w:lang w:val="en-US"/>
        </w:rPr>
        <w:t xml:space="preserve">: </w:t>
      </w:r>
      <w:r w:rsidR="003C4D7A" w:rsidRPr="003901E7">
        <w:t xml:space="preserve">The identification of a patina layer or surface corrosion products in XRF analysis relies on the detection of particular elements, mostly of elements with low atomic number like sulfur (S) or chlorine (Cl), which are signs/fingerprints of certain types of </w:t>
      </w:r>
      <w:r>
        <w:t>copper</w:t>
      </w:r>
      <w:r w:rsidR="00B82369" w:rsidRPr="003901E7">
        <w:t>-</w:t>
      </w:r>
      <w:r w:rsidR="003C4D7A" w:rsidRPr="003901E7">
        <w:t xml:space="preserve"> or </w:t>
      </w:r>
      <w:r>
        <w:t>tin</w:t>
      </w:r>
      <w:r w:rsidR="00B82369" w:rsidRPr="003901E7">
        <w:t>-</w:t>
      </w:r>
      <w:r w:rsidR="003C4D7A" w:rsidRPr="003901E7">
        <w:t xml:space="preserve">related corrosion products. Another criterion is applicable when medium atomic number elements like </w:t>
      </w:r>
      <w:r>
        <w:t>tin</w:t>
      </w:r>
      <w:r w:rsidRPr="003901E7">
        <w:t xml:space="preserve"> </w:t>
      </w:r>
      <w:r w:rsidR="003C4D7A" w:rsidRPr="003901E7">
        <w:t>are included in the bulk composition of the metal alloy</w:t>
      </w:r>
      <w:bookmarkStart w:id="2" w:name="_GoBack"/>
      <w:bookmarkEnd w:id="2"/>
      <w:r w:rsidR="003C4D7A" w:rsidRPr="003901E7">
        <w:t>. For example, in bronze alloys the variation of the (L/K) intensity ratio for the Sn</w:t>
      </w:r>
      <w:r>
        <w:t>-</w:t>
      </w:r>
      <w:r w:rsidR="003C4D7A" w:rsidRPr="003901E7">
        <w:t xml:space="preserve">characteristic </w:t>
      </w:r>
      <w:r>
        <w:t>X</w:t>
      </w:r>
      <w:r w:rsidR="003C4D7A" w:rsidRPr="003901E7">
        <w:t>-rays among different corro</w:t>
      </w:r>
      <w:r>
        <w:t>ded</w:t>
      </w:r>
      <w:r w:rsidR="003C4D7A" w:rsidRPr="003901E7">
        <w:t xml:space="preserve"> and corrosion-free areas can</w:t>
      </w:r>
      <w:r w:rsidR="003901E7">
        <w:t xml:space="preserve"> </w:t>
      </w:r>
      <w:r w:rsidR="003C4D7A" w:rsidRPr="003901E7">
        <w:t xml:space="preserve">indicate the presence of an alteration of the original alloy surface. The intensity of L X-ray lines, due to their significantly lower energy </w:t>
      </w:r>
      <w:r>
        <w:t>relative to</w:t>
      </w:r>
      <w:r w:rsidRPr="003901E7">
        <w:t xml:space="preserve"> </w:t>
      </w:r>
      <w:r w:rsidR="003C4D7A" w:rsidRPr="003901E7">
        <w:t xml:space="preserve">the K-lines, is mostly affected by the </w:t>
      </w:r>
      <w:r w:rsidR="00006BEB">
        <w:t>at</w:t>
      </w:r>
      <w:r w:rsidR="003C4D7A" w:rsidRPr="003901E7">
        <w:t xml:space="preserve">-depth distribution of the element, </w:t>
      </w:r>
      <w:r w:rsidR="00006BEB">
        <w:t>that is, whether</w:t>
      </w:r>
      <w:r w:rsidR="00006BEB" w:rsidRPr="003901E7">
        <w:t xml:space="preserve"> </w:t>
      </w:r>
      <w:r w:rsidR="003C4D7A" w:rsidRPr="003901E7">
        <w:t xml:space="preserve">it is on the </w:t>
      </w:r>
      <w:r w:rsidR="003C4D7A" w:rsidRPr="003901E7">
        <w:lastRenderedPageBreak/>
        <w:t xml:space="preserve">surface layer or below; thus, a higher value probes a surface location of </w:t>
      </w:r>
      <w:r w:rsidR="00006BEB">
        <w:t>tin</w:t>
      </w:r>
      <w:r w:rsidR="003C4D7A" w:rsidRPr="003901E7">
        <w:t>, whereas a lower</w:t>
      </w:r>
      <w:r w:rsidR="00006BEB">
        <w:t>-</w:t>
      </w:r>
      <w:r w:rsidR="003C4D7A" w:rsidRPr="003901E7">
        <w:t xml:space="preserve"> </w:t>
      </w:r>
      <w:r w:rsidR="00006BEB" w:rsidRPr="003901E7">
        <w:t>or negligible</w:t>
      </w:r>
      <w:r w:rsidR="00006BEB">
        <w:t>-</w:t>
      </w:r>
      <w:r w:rsidR="003C4D7A" w:rsidRPr="003901E7">
        <w:t>value L-intensity gives direct evidence that a surface layer without</w:t>
      </w:r>
      <w:r w:rsidR="003901E7">
        <w:t xml:space="preserve"> </w:t>
      </w:r>
      <w:r w:rsidR="00006BEB">
        <w:t>tin</w:t>
      </w:r>
      <w:r w:rsidR="003C4D7A" w:rsidRPr="003901E7">
        <w:t xml:space="preserve"> acts as an absorbing layer. Moreover, in order to probe efficiently the elements S, Cl, and Sn L-X-ray</w:t>
      </w:r>
      <w:r w:rsidR="00006BEB">
        <w:t>s</w:t>
      </w:r>
      <w:r w:rsidR="003C4D7A" w:rsidRPr="003901E7">
        <w:t xml:space="preserve">, an unfiltered tube radiation is suitable as an exciting </w:t>
      </w:r>
      <w:r w:rsidR="00191422">
        <w:t>X</w:t>
      </w:r>
      <w:r w:rsidR="003C4D7A" w:rsidRPr="003901E7">
        <w:t>-ray source. It should be stressed that the XRF analysis cannot identify the mineralogical type of a corrosion product, as the X</w:t>
      </w:r>
      <w:r w:rsidR="00006BEB">
        <w:t xml:space="preserve">RD </w:t>
      </w:r>
      <w:r w:rsidR="003C4D7A" w:rsidRPr="003901E7">
        <w:t xml:space="preserve">or FTIR analysis </w:t>
      </w:r>
      <w:r w:rsidR="00006BEB">
        <w:t>can</w:t>
      </w:r>
      <w:r w:rsidR="003C4D7A" w:rsidRPr="003901E7">
        <w:t>.</w:t>
      </w:r>
      <w:r w:rsidR="003901E7">
        <w:t xml:space="preserve"> </w:t>
      </w:r>
      <w:r w:rsidR="003C4D7A" w:rsidRPr="003901E7">
        <w:t>However, through the elemental analysis</w:t>
      </w:r>
      <w:r w:rsidR="00006BEB">
        <w:t>,</w:t>
      </w:r>
      <w:r w:rsidR="003C4D7A" w:rsidRPr="003901E7">
        <w:t xml:space="preserve"> </w:t>
      </w:r>
      <w:r w:rsidR="00006BEB">
        <w:t>XRF</w:t>
      </w:r>
      <w:r w:rsidR="00006BEB" w:rsidRPr="003901E7">
        <w:t xml:space="preserve"> </w:t>
      </w:r>
      <w:r w:rsidR="003C4D7A" w:rsidRPr="003901E7">
        <w:t xml:space="preserve">can reveal elemental associations compatible with particular types of corrosion products. </w:t>
      </w:r>
    </w:p>
    <w:p w:rsidR="003C4D7A" w:rsidRPr="003901E7" w:rsidRDefault="003C4D7A" w:rsidP="003901E7">
      <w:pPr>
        <w:tabs>
          <w:tab w:val="left" w:pos="360"/>
        </w:tabs>
        <w:spacing w:line="360" w:lineRule="auto"/>
        <w:rPr>
          <w:sz w:val="24"/>
          <w:szCs w:val="24"/>
        </w:rPr>
      </w:pPr>
      <w:r w:rsidRPr="003901E7">
        <w:rPr>
          <w:sz w:val="24"/>
          <w:szCs w:val="24"/>
        </w:rPr>
        <w:t xml:space="preserve">An area map was performed at the back of the El </w:t>
      </w:r>
      <w:r w:rsidR="00006BEB">
        <w:rPr>
          <w:sz w:val="24"/>
          <w:szCs w:val="24"/>
        </w:rPr>
        <w:t>g</w:t>
      </w:r>
      <w:r w:rsidRPr="003901E7">
        <w:rPr>
          <w:sz w:val="24"/>
          <w:szCs w:val="24"/>
        </w:rPr>
        <w:t>od figurine (</w:t>
      </w:r>
      <w:r w:rsidR="00006BEB">
        <w:rPr>
          <w:sz w:val="24"/>
          <w:szCs w:val="24"/>
        </w:rPr>
        <w:t>see fig.</w:t>
      </w:r>
      <w:r w:rsidR="00006BEB" w:rsidRPr="003901E7">
        <w:rPr>
          <w:sz w:val="24"/>
          <w:szCs w:val="24"/>
        </w:rPr>
        <w:t xml:space="preserve"> </w:t>
      </w:r>
      <w:r w:rsidR="00006BEB">
        <w:rPr>
          <w:sz w:val="24"/>
          <w:szCs w:val="24"/>
        </w:rPr>
        <w:t>46.</w:t>
      </w:r>
      <w:r w:rsidRPr="003901E7">
        <w:rPr>
          <w:sz w:val="24"/>
          <w:szCs w:val="24"/>
        </w:rPr>
        <w:t xml:space="preserve">1a). The black quadrangle in </w:t>
      </w:r>
      <w:r w:rsidR="00CF3E6A" w:rsidRPr="00CF3E6A">
        <w:rPr>
          <w:b/>
          <w:sz w:val="24"/>
          <w:szCs w:val="24"/>
        </w:rPr>
        <w:t>figure 46.4a</w:t>
      </w:r>
      <w:r w:rsidRPr="003901E7">
        <w:rPr>
          <w:sz w:val="24"/>
          <w:szCs w:val="24"/>
        </w:rPr>
        <w:t xml:space="preserve"> defines the area of analysis</w:t>
      </w:r>
      <w:r w:rsidR="00006BEB">
        <w:rPr>
          <w:sz w:val="24"/>
          <w:szCs w:val="24"/>
        </w:rPr>
        <w:t>, which shows both</w:t>
      </w:r>
      <w:r w:rsidR="00006BEB" w:rsidRPr="003901E7">
        <w:rPr>
          <w:sz w:val="24"/>
          <w:szCs w:val="24"/>
        </w:rPr>
        <w:t xml:space="preserve"> </w:t>
      </w:r>
      <w:r w:rsidRPr="003901E7">
        <w:rPr>
          <w:sz w:val="24"/>
          <w:szCs w:val="24"/>
        </w:rPr>
        <w:t>black and green color</w:t>
      </w:r>
      <w:r w:rsidR="00006BEB">
        <w:rPr>
          <w:sz w:val="24"/>
          <w:szCs w:val="24"/>
        </w:rPr>
        <w:t>ation</w:t>
      </w:r>
      <w:r w:rsidRPr="003901E7">
        <w:rPr>
          <w:sz w:val="24"/>
          <w:szCs w:val="24"/>
        </w:rPr>
        <w:t>. The measurement conditions were set at 50 kV, 600μA, 30s/step, 0.1mm/step, total area of analysis 0.5 × 0.8 mm</w:t>
      </w:r>
      <w:r w:rsidRPr="003901E7">
        <w:rPr>
          <w:sz w:val="24"/>
          <w:szCs w:val="24"/>
          <w:vertAlign w:val="superscript"/>
        </w:rPr>
        <w:t>2</w:t>
      </w:r>
      <w:r w:rsidRPr="003901E7">
        <w:rPr>
          <w:sz w:val="24"/>
          <w:szCs w:val="24"/>
        </w:rPr>
        <w:t xml:space="preserve"> (42 measurements). In </w:t>
      </w:r>
      <w:r w:rsidR="00CF3E6A" w:rsidRPr="00CF3E6A">
        <w:rPr>
          <w:b/>
          <w:sz w:val="24"/>
          <w:szCs w:val="24"/>
        </w:rPr>
        <w:t>figures 46.4b and c</w:t>
      </w:r>
      <w:r w:rsidRPr="003901E7">
        <w:rPr>
          <w:sz w:val="24"/>
          <w:szCs w:val="24"/>
        </w:rPr>
        <w:t>, the Cu Kα and the ratio of Sn Lα/Kα elemental intensities in each analyzed area are presented. The warm colors correspond to higher intensity values</w:t>
      </w:r>
      <w:r w:rsidR="00006BEB">
        <w:rPr>
          <w:sz w:val="24"/>
          <w:szCs w:val="24"/>
        </w:rPr>
        <w:t>:</w:t>
      </w:r>
      <w:r w:rsidRPr="003901E7">
        <w:rPr>
          <w:sz w:val="24"/>
          <w:szCs w:val="24"/>
        </w:rPr>
        <w:t xml:space="preserve"> therefore in the green region (on the right side of the scan) the increment of Cu Kα line points to the formation of a green copper</w:t>
      </w:r>
      <w:r w:rsidR="00006BEB">
        <w:rPr>
          <w:sz w:val="24"/>
          <w:szCs w:val="24"/>
        </w:rPr>
        <w:t>-</w:t>
      </w:r>
      <w:r w:rsidRPr="003901E7">
        <w:rPr>
          <w:sz w:val="24"/>
          <w:szCs w:val="24"/>
        </w:rPr>
        <w:t>corrosion product (possibly malachite due to absence of S</w:t>
      </w:r>
      <w:r w:rsidR="00006BEB">
        <w:rPr>
          <w:sz w:val="24"/>
          <w:szCs w:val="24"/>
        </w:rPr>
        <w:t xml:space="preserve"> and</w:t>
      </w:r>
      <w:r w:rsidRPr="003901E7">
        <w:rPr>
          <w:sz w:val="24"/>
          <w:szCs w:val="24"/>
        </w:rPr>
        <w:t xml:space="preserve"> Cl from the recorded spectra); whereas in the black area (down and left) the increment of Sn characteristic lines reveals the formation of a black tin corrosion product</w:t>
      </w:r>
      <w:r w:rsidR="00F80AFF">
        <w:rPr>
          <w:sz w:val="24"/>
          <w:szCs w:val="24"/>
        </w:rPr>
        <w:t>s</w:t>
      </w:r>
      <w:r w:rsidRPr="003901E7">
        <w:rPr>
          <w:sz w:val="24"/>
          <w:szCs w:val="24"/>
        </w:rPr>
        <w:t xml:space="preserve"> (possibly tin oxides). </w:t>
      </w:r>
    </w:p>
    <w:p w:rsidR="00000000" w:rsidRDefault="003C4D7A">
      <w:pPr>
        <w:pStyle w:val="BodyText"/>
        <w:spacing w:line="360" w:lineRule="auto"/>
        <w:contextualSpacing/>
        <w:rPr>
          <w:szCs w:val="24"/>
          <w:lang w:val="en-US"/>
        </w:rPr>
      </w:pPr>
      <w:r w:rsidRPr="003901E7">
        <w:rPr>
          <w:b/>
          <w:i/>
          <w:szCs w:val="24"/>
          <w:lang w:val="en-US"/>
        </w:rPr>
        <w:t xml:space="preserve"> </w:t>
      </w:r>
      <w:r w:rsidRPr="003901E7">
        <w:rPr>
          <w:i/>
          <w:szCs w:val="24"/>
          <w:lang w:val="en-US"/>
        </w:rPr>
        <w:t xml:space="preserve">Certifiable Quantitative </w:t>
      </w:r>
      <w:r w:rsidR="00F80AFF">
        <w:rPr>
          <w:i/>
          <w:szCs w:val="24"/>
          <w:lang w:val="en-US"/>
        </w:rPr>
        <w:t>R</w:t>
      </w:r>
      <w:r w:rsidRPr="003901E7">
        <w:rPr>
          <w:i/>
          <w:szCs w:val="24"/>
          <w:lang w:val="en-US"/>
        </w:rPr>
        <w:t>esults</w:t>
      </w:r>
      <w:r w:rsidR="00CF3E6A" w:rsidRPr="00CF3E6A">
        <w:rPr>
          <w:i/>
          <w:szCs w:val="24"/>
        </w:rPr>
        <w:t>:</w:t>
      </w:r>
      <w:r w:rsidR="00F80AFF">
        <w:rPr>
          <w:szCs w:val="24"/>
          <w:lang w:val="en-US"/>
        </w:rPr>
        <w:t xml:space="preserve"> </w:t>
      </w:r>
      <w:r w:rsidRPr="003901E7">
        <w:rPr>
          <w:szCs w:val="24"/>
          <w:lang w:val="en-US"/>
        </w:rPr>
        <w:t xml:space="preserve">The XRF screening of reddish-brown areas on the surface of the Baal </w:t>
      </w:r>
      <w:r w:rsidR="00F80AFF">
        <w:rPr>
          <w:szCs w:val="24"/>
          <w:lang w:val="en-US"/>
        </w:rPr>
        <w:t>g</w:t>
      </w:r>
      <w:r w:rsidRPr="003901E7">
        <w:rPr>
          <w:szCs w:val="24"/>
          <w:lang w:val="en-US"/>
        </w:rPr>
        <w:t>od figurine (see for example photos of three selected areas</w:t>
      </w:r>
      <w:r w:rsidR="00F80AFF">
        <w:rPr>
          <w:szCs w:val="24"/>
          <w:lang w:val="en-US"/>
        </w:rPr>
        <w:t xml:space="preserve">, </w:t>
      </w:r>
      <w:r w:rsidR="00CF3E6A" w:rsidRPr="00CF3E6A">
        <w:rPr>
          <w:b/>
          <w:szCs w:val="24"/>
          <w:lang w:val="en-US"/>
        </w:rPr>
        <w:t>fig. 46.5a–c</w:t>
      </w:r>
      <w:r w:rsidRPr="003901E7">
        <w:rPr>
          <w:szCs w:val="24"/>
          <w:lang w:val="en-US"/>
        </w:rPr>
        <w:t xml:space="preserve">) could indicate (in principle) corrosion-free areas as opposed to those with the presence of reddish corrosion products (most likely cuprite). </w:t>
      </w:r>
      <w:r w:rsidR="00F80AFF">
        <w:rPr>
          <w:szCs w:val="24"/>
          <w:lang w:val="en-US"/>
        </w:rPr>
        <w:t>It is not possible to discriminate such</w:t>
      </w:r>
      <w:r w:rsidRPr="003901E7">
        <w:rPr>
          <w:szCs w:val="24"/>
          <w:lang w:val="en-US"/>
        </w:rPr>
        <w:t xml:space="preserve"> areas by visual examination alone.</w:t>
      </w:r>
      <w:r w:rsidR="003901E7">
        <w:rPr>
          <w:szCs w:val="24"/>
          <w:lang w:val="en-US"/>
        </w:rPr>
        <w:t xml:space="preserve"> </w:t>
      </w:r>
      <w:r w:rsidRPr="003901E7">
        <w:rPr>
          <w:szCs w:val="24"/>
          <w:lang w:val="en-US"/>
        </w:rPr>
        <w:t xml:space="preserve">This new methodology for screening was </w:t>
      </w:r>
      <w:r w:rsidR="00F80AFF">
        <w:rPr>
          <w:szCs w:val="24"/>
          <w:lang w:val="en-US"/>
        </w:rPr>
        <w:t xml:space="preserve">previously </w:t>
      </w:r>
      <w:r w:rsidRPr="003901E7">
        <w:rPr>
          <w:szCs w:val="24"/>
          <w:lang w:val="en-US"/>
        </w:rPr>
        <w:t>proposed,</w:t>
      </w:r>
      <w:r w:rsidR="00F80AFF">
        <w:rPr>
          <w:rStyle w:val="EndnoteReference"/>
          <w:szCs w:val="24"/>
          <w:lang w:val="en-US"/>
        </w:rPr>
        <w:endnoteReference w:id="19"/>
      </w:r>
      <w:r w:rsidRPr="003901E7">
        <w:rPr>
          <w:szCs w:val="24"/>
          <w:lang w:val="en-US"/>
        </w:rPr>
        <w:t xml:space="preserve"> where</w:t>
      </w:r>
      <w:r w:rsidR="00F80AFF">
        <w:rPr>
          <w:szCs w:val="24"/>
          <w:lang w:val="en-US"/>
        </w:rPr>
        <w:t>in</w:t>
      </w:r>
      <w:r w:rsidRPr="003901E7">
        <w:rPr>
          <w:szCs w:val="24"/>
          <w:lang w:val="en-US"/>
        </w:rPr>
        <w:t xml:space="preserve"> the relative ratio of Sn Kα/Lα to the respective value obtained by a reference binary Cu-Sn alloy was used as a criterion for </w:t>
      </w:r>
      <w:r w:rsidR="00F80AFF">
        <w:rPr>
          <w:szCs w:val="24"/>
          <w:lang w:val="en-US"/>
        </w:rPr>
        <w:t>identifying</w:t>
      </w:r>
      <w:r w:rsidRPr="003901E7">
        <w:rPr>
          <w:szCs w:val="24"/>
          <w:lang w:val="en-US"/>
        </w:rPr>
        <w:t xml:space="preserve"> an </w:t>
      </w:r>
      <w:r w:rsidR="00874BB0" w:rsidRPr="003901E7">
        <w:rPr>
          <w:szCs w:val="24"/>
          <w:lang w:val="en-US"/>
        </w:rPr>
        <w:t xml:space="preserve">area </w:t>
      </w:r>
      <w:r w:rsidRPr="003901E7">
        <w:rPr>
          <w:szCs w:val="24"/>
          <w:lang w:val="en-US"/>
        </w:rPr>
        <w:t>altered by corrosion. This ratio was theoretically calculated and experimentally found to be rather constant, being independent of the tin content, the measurement/excitation conditions (filtered/unfiltered excitation, operational voltage, irradiation geometry, micro- or milli-beam)</w:t>
      </w:r>
      <w:r w:rsidR="00F80AFF">
        <w:rPr>
          <w:szCs w:val="24"/>
          <w:lang w:val="en-US"/>
        </w:rPr>
        <w:t>,</w:t>
      </w:r>
      <w:r w:rsidRPr="003901E7">
        <w:rPr>
          <w:szCs w:val="24"/>
          <w:lang w:val="en-US"/>
        </w:rPr>
        <w:t xml:space="preserve"> and the type of the XRF spectrometer (anode material, detection system</w:t>
      </w:r>
      <w:r w:rsidR="00F80AFF">
        <w:rPr>
          <w:szCs w:val="24"/>
          <w:lang w:val="en-US"/>
        </w:rPr>
        <w:t>,</w:t>
      </w:r>
      <w:r w:rsidRPr="003901E7">
        <w:rPr>
          <w:szCs w:val="24"/>
          <w:lang w:val="en-US"/>
        </w:rPr>
        <w:t xml:space="preserve"> etc.). Since the established criterion was fulfilled</w:t>
      </w:r>
      <w:r w:rsidR="00874BB0" w:rsidRPr="003901E7">
        <w:rPr>
          <w:szCs w:val="24"/>
          <w:lang w:val="en-US"/>
        </w:rPr>
        <w:t xml:space="preserve"> for only one spot (</w:t>
      </w:r>
      <w:r w:rsidR="00F80AFF">
        <w:rPr>
          <w:szCs w:val="24"/>
          <w:lang w:val="en-US"/>
        </w:rPr>
        <w:t>fig. 46.5</w:t>
      </w:r>
      <w:r w:rsidR="00874BB0" w:rsidRPr="003901E7">
        <w:rPr>
          <w:szCs w:val="24"/>
          <w:lang w:val="en-US"/>
        </w:rPr>
        <w:t>b),</w:t>
      </w:r>
      <w:r w:rsidRPr="003901E7">
        <w:rPr>
          <w:szCs w:val="24"/>
          <w:lang w:val="en-US"/>
        </w:rPr>
        <w:t xml:space="preserve"> quantitative results obtained for other analyzed spots were abandoned. In order to have an idea </w:t>
      </w:r>
      <w:r w:rsidR="00F80AFF">
        <w:rPr>
          <w:szCs w:val="24"/>
          <w:lang w:val="en-US"/>
        </w:rPr>
        <w:t>of</w:t>
      </w:r>
      <w:r w:rsidR="00F80AFF" w:rsidRPr="003901E7">
        <w:rPr>
          <w:szCs w:val="24"/>
          <w:lang w:val="en-US"/>
        </w:rPr>
        <w:t xml:space="preserve"> </w:t>
      </w:r>
      <w:r w:rsidRPr="003901E7">
        <w:rPr>
          <w:szCs w:val="24"/>
          <w:lang w:val="en-US"/>
        </w:rPr>
        <w:t xml:space="preserve">the errors </w:t>
      </w:r>
      <w:r w:rsidR="00F80AFF">
        <w:rPr>
          <w:szCs w:val="24"/>
          <w:lang w:val="en-US"/>
        </w:rPr>
        <w:t>that</w:t>
      </w:r>
      <w:r w:rsidR="00F80AFF" w:rsidRPr="003901E7">
        <w:rPr>
          <w:szCs w:val="24"/>
          <w:lang w:val="en-US"/>
        </w:rPr>
        <w:t xml:space="preserve"> </w:t>
      </w:r>
      <w:r w:rsidRPr="003901E7">
        <w:rPr>
          <w:szCs w:val="24"/>
          <w:lang w:val="en-US"/>
        </w:rPr>
        <w:t xml:space="preserve">could be introduced in the quantitative results for the bronze alloy, </w:t>
      </w:r>
      <w:r w:rsidR="00F80AFF">
        <w:rPr>
          <w:szCs w:val="24"/>
          <w:lang w:val="en-US"/>
        </w:rPr>
        <w:t xml:space="preserve">figure 46.5 </w:t>
      </w:r>
      <w:r w:rsidRPr="003901E7">
        <w:rPr>
          <w:szCs w:val="24"/>
          <w:lang w:val="en-US"/>
        </w:rPr>
        <w:t xml:space="preserve">reports also the elemental concentrations as deduced from the analytical micro-XRF data </w:t>
      </w:r>
      <w:r w:rsidRPr="003901E7">
        <w:rPr>
          <w:szCs w:val="24"/>
          <w:lang w:val="en-US"/>
        </w:rPr>
        <w:lastRenderedPageBreak/>
        <w:t>obtained for spots (a) and (c)</w:t>
      </w:r>
      <w:r w:rsidR="00874BB0" w:rsidRPr="003901E7">
        <w:rPr>
          <w:szCs w:val="24"/>
          <w:lang w:val="en-US"/>
        </w:rPr>
        <w:t>.</w:t>
      </w:r>
      <w:r w:rsidRPr="003901E7">
        <w:rPr>
          <w:szCs w:val="24"/>
          <w:lang w:val="en-US"/>
        </w:rPr>
        <w:t xml:space="preserve"> It is clear that without incorporating the universal screening criterion developed for the bronze alloys, the compositional results could indicate much higher Sn concentration (260% and 156%, respectively) than the actual value, suggesting a different manufacturing technology.</w:t>
      </w:r>
    </w:p>
    <w:p w:rsidR="004E6D6C" w:rsidRDefault="004E6D6C" w:rsidP="004E6D6C">
      <w:pPr>
        <w:pStyle w:val="BodyText"/>
        <w:spacing w:line="360" w:lineRule="auto"/>
        <w:contextualSpacing/>
        <w:rPr>
          <w:szCs w:val="24"/>
          <w:lang w:val="en-US"/>
        </w:rPr>
      </w:pPr>
    </w:p>
    <w:p w:rsidR="00EA6D32" w:rsidRPr="004E6D6C" w:rsidRDefault="00F80AFF" w:rsidP="004E6D6C">
      <w:pPr>
        <w:pStyle w:val="BodyText"/>
        <w:spacing w:line="360" w:lineRule="auto"/>
        <w:contextualSpacing/>
        <w:rPr>
          <w:szCs w:val="24"/>
          <w:lang w:val="en-US"/>
        </w:rPr>
      </w:pPr>
      <w:r>
        <w:rPr>
          <w:b/>
          <w:szCs w:val="24"/>
          <w:lang w:val="en-US"/>
        </w:rPr>
        <w:t>[A-head]</w:t>
      </w:r>
      <w:r w:rsidR="003C4D7A" w:rsidRPr="003901E7">
        <w:rPr>
          <w:b/>
          <w:szCs w:val="24"/>
          <w:lang w:val="en-US"/>
        </w:rPr>
        <w:t>Conclusions</w:t>
      </w:r>
    </w:p>
    <w:p w:rsidR="003C4D7A" w:rsidRPr="003901E7" w:rsidRDefault="003C4D7A" w:rsidP="003901E7">
      <w:pPr>
        <w:pStyle w:val="BodyText"/>
        <w:spacing w:line="360" w:lineRule="auto"/>
        <w:contextualSpacing/>
        <w:rPr>
          <w:b/>
          <w:szCs w:val="24"/>
          <w:lang w:val="en-US"/>
        </w:rPr>
      </w:pPr>
    </w:p>
    <w:p w:rsidR="003C4D7A" w:rsidRPr="003901E7" w:rsidRDefault="003C4D7A" w:rsidP="003901E7">
      <w:pPr>
        <w:pStyle w:val="BodyText"/>
        <w:spacing w:line="360" w:lineRule="auto"/>
        <w:contextualSpacing/>
        <w:rPr>
          <w:bCs/>
          <w:szCs w:val="24"/>
          <w:lang w:val="en-US"/>
        </w:rPr>
      </w:pPr>
      <w:r w:rsidRPr="003901E7">
        <w:rPr>
          <w:szCs w:val="24"/>
          <w:lang w:val="en-US"/>
        </w:rPr>
        <w:t xml:space="preserve"> </w:t>
      </w:r>
      <w:r w:rsidRPr="003901E7">
        <w:rPr>
          <w:bCs/>
          <w:szCs w:val="24"/>
          <w:lang w:val="en-US"/>
        </w:rPr>
        <w:t>Within the PROMET project, a portable micro-XRF spectrometer, based on an industrial prototype but with custom</w:t>
      </w:r>
      <w:r w:rsidR="00874BB0" w:rsidRPr="003901E7">
        <w:rPr>
          <w:bCs/>
          <w:szCs w:val="24"/>
          <w:lang w:val="en-US"/>
        </w:rPr>
        <w:t>-</w:t>
      </w:r>
      <w:r w:rsidRPr="003901E7">
        <w:rPr>
          <w:bCs/>
          <w:szCs w:val="24"/>
          <w:lang w:val="en-US"/>
        </w:rPr>
        <w:t>selected</w:t>
      </w:r>
      <w:r w:rsidR="003901E7">
        <w:rPr>
          <w:bCs/>
          <w:szCs w:val="24"/>
          <w:lang w:val="en-US"/>
        </w:rPr>
        <w:t xml:space="preserve"> </w:t>
      </w:r>
      <w:r w:rsidRPr="003901E7">
        <w:rPr>
          <w:bCs/>
          <w:szCs w:val="24"/>
          <w:lang w:val="en-US"/>
        </w:rPr>
        <w:t xml:space="preserve">hardware components and measurement head, was utilized on two </w:t>
      </w:r>
      <w:r w:rsidRPr="003901E7">
        <w:rPr>
          <w:szCs w:val="24"/>
          <w:lang w:val="en-US"/>
        </w:rPr>
        <w:t xml:space="preserve">bronze figurines housed at the National Museum of Damascus. </w:t>
      </w:r>
      <w:r w:rsidRPr="003901E7">
        <w:rPr>
          <w:bCs/>
          <w:szCs w:val="24"/>
          <w:lang w:val="en-US"/>
        </w:rPr>
        <w:t xml:space="preserve">Optimized analysis protocols were developed </w:t>
      </w:r>
      <w:r w:rsidR="00617657">
        <w:rPr>
          <w:bCs/>
          <w:szCs w:val="24"/>
          <w:lang w:val="en-US"/>
        </w:rPr>
        <w:t>with the aim of achieving</w:t>
      </w:r>
      <w:r w:rsidR="00617657" w:rsidRPr="003901E7">
        <w:rPr>
          <w:bCs/>
          <w:szCs w:val="24"/>
          <w:lang w:val="en-US"/>
        </w:rPr>
        <w:t xml:space="preserve"> </w:t>
      </w:r>
      <w:r w:rsidRPr="003901E7">
        <w:rPr>
          <w:bCs/>
          <w:szCs w:val="24"/>
          <w:lang w:val="en-US"/>
        </w:rPr>
        <w:t>an accurate and precise compositional analysis of the Cu alloys</w:t>
      </w:r>
      <w:r w:rsidR="00617657">
        <w:rPr>
          <w:bCs/>
          <w:szCs w:val="24"/>
          <w:lang w:val="en-US"/>
        </w:rPr>
        <w:t>,</w:t>
      </w:r>
      <w:r w:rsidRPr="003901E7">
        <w:rPr>
          <w:bCs/>
          <w:szCs w:val="24"/>
          <w:lang w:val="en-US"/>
        </w:rPr>
        <w:t xml:space="preserve"> overcoming spectral interferences that arise due to the polycrystalline nature of the alloy’s surface. Filters for the detection of bronze alloys should first be tested and the minimum representative area of analysis should be examined and specified on reference bronze alloys. Finally, the quantification procedure should only be used on corrosion</w:t>
      </w:r>
      <w:r w:rsidR="00CA69D3" w:rsidRPr="003901E7">
        <w:rPr>
          <w:bCs/>
          <w:szCs w:val="24"/>
          <w:lang w:val="en-US"/>
        </w:rPr>
        <w:t>-</w:t>
      </w:r>
      <w:r w:rsidRPr="003901E7">
        <w:rPr>
          <w:bCs/>
          <w:szCs w:val="24"/>
          <w:lang w:val="en-US"/>
        </w:rPr>
        <w:t>free areas in order to produce reliable analytical results.</w:t>
      </w:r>
      <w:r w:rsidR="003901E7">
        <w:rPr>
          <w:bCs/>
          <w:szCs w:val="24"/>
          <w:lang w:val="en-US"/>
        </w:rPr>
        <w:t xml:space="preserve"> </w:t>
      </w:r>
      <w:r w:rsidRPr="003901E7">
        <w:rPr>
          <w:bCs/>
          <w:szCs w:val="24"/>
          <w:lang w:val="en-US"/>
        </w:rPr>
        <w:t>This paper outlined this methodo</w:t>
      </w:r>
      <w:r w:rsidR="00CA69D3" w:rsidRPr="003901E7">
        <w:rPr>
          <w:bCs/>
          <w:szCs w:val="24"/>
          <w:lang w:val="en-US"/>
        </w:rPr>
        <w:t>lo</w:t>
      </w:r>
      <w:r w:rsidRPr="003901E7">
        <w:rPr>
          <w:bCs/>
          <w:szCs w:val="24"/>
          <w:lang w:val="en-US"/>
        </w:rPr>
        <w:t>gical approach to carry out verifiable and reproducible compositional analysis.</w:t>
      </w:r>
    </w:p>
    <w:p w:rsidR="003C4D7A" w:rsidRPr="003901E7" w:rsidRDefault="003C4D7A" w:rsidP="003901E7">
      <w:pPr>
        <w:pStyle w:val="BodyText"/>
        <w:spacing w:line="360" w:lineRule="auto"/>
        <w:contextualSpacing/>
        <w:rPr>
          <w:bCs/>
          <w:szCs w:val="24"/>
          <w:lang w:val="en-US"/>
        </w:rPr>
      </w:pPr>
    </w:p>
    <w:p w:rsidR="003C4D7A" w:rsidRPr="003901E7" w:rsidRDefault="003901E7" w:rsidP="003901E7">
      <w:pPr>
        <w:pStyle w:val="BodyText"/>
        <w:spacing w:line="360" w:lineRule="auto"/>
        <w:contextualSpacing/>
        <w:rPr>
          <w:b/>
          <w:bCs/>
          <w:szCs w:val="24"/>
          <w:lang w:val="en-US"/>
        </w:rPr>
      </w:pPr>
      <w:r>
        <w:rPr>
          <w:b/>
          <w:bCs/>
          <w:szCs w:val="24"/>
          <w:lang w:val="en-US"/>
        </w:rPr>
        <w:t>Acknowledg</w:t>
      </w:r>
      <w:r w:rsidR="003C4D7A" w:rsidRPr="003901E7">
        <w:rPr>
          <w:b/>
          <w:bCs/>
          <w:szCs w:val="24"/>
          <w:lang w:val="en-US"/>
        </w:rPr>
        <w:t xml:space="preserve">ments </w:t>
      </w:r>
    </w:p>
    <w:p w:rsidR="003C4D7A" w:rsidRPr="003901E7" w:rsidRDefault="003C4D7A" w:rsidP="003901E7">
      <w:pPr>
        <w:pStyle w:val="BodyText"/>
        <w:spacing w:line="360" w:lineRule="auto"/>
        <w:contextualSpacing/>
        <w:rPr>
          <w:szCs w:val="24"/>
          <w:lang w:val="en-US"/>
        </w:rPr>
      </w:pPr>
    </w:p>
    <w:p w:rsidR="003C4D7A" w:rsidRPr="003901E7" w:rsidRDefault="003C4D7A" w:rsidP="003901E7">
      <w:pPr>
        <w:pStyle w:val="BodyText"/>
        <w:spacing w:line="360" w:lineRule="auto"/>
        <w:contextualSpacing/>
        <w:rPr>
          <w:szCs w:val="24"/>
          <w:lang w:val="en-US"/>
        </w:rPr>
      </w:pPr>
      <w:r w:rsidRPr="003901E7">
        <w:rPr>
          <w:szCs w:val="24"/>
          <w:lang w:val="en-US"/>
        </w:rPr>
        <w:t>We would like to thank Mr</w:t>
      </w:r>
      <w:r w:rsidR="00C31FCF" w:rsidRPr="003901E7">
        <w:rPr>
          <w:szCs w:val="24"/>
          <w:lang w:val="en-US"/>
        </w:rPr>
        <w:t>.</w:t>
      </w:r>
      <w:r w:rsidRPr="003901E7">
        <w:rPr>
          <w:szCs w:val="24"/>
          <w:lang w:val="en-US"/>
        </w:rPr>
        <w:t xml:space="preserve"> Eythimios Bistekos for his technical assistance during the </w:t>
      </w:r>
      <w:r w:rsidR="00CF3E6A" w:rsidRPr="00CF3E6A">
        <w:rPr>
          <w:i/>
          <w:szCs w:val="24"/>
          <w:lang w:val="en-US"/>
        </w:rPr>
        <w:t>in</w:t>
      </w:r>
      <w:r w:rsidRPr="003901E7">
        <w:rPr>
          <w:szCs w:val="24"/>
          <w:lang w:val="en-US"/>
        </w:rPr>
        <w:t>-</w:t>
      </w:r>
      <w:r w:rsidRPr="003901E7">
        <w:rPr>
          <w:i/>
          <w:szCs w:val="24"/>
          <w:lang w:val="en-US"/>
        </w:rPr>
        <w:t>situ</w:t>
      </w:r>
      <w:r w:rsidRPr="003901E7">
        <w:rPr>
          <w:szCs w:val="24"/>
          <w:lang w:val="en-US"/>
        </w:rPr>
        <w:t xml:space="preserve"> campaign in Damascus, Syria, and Dr</w:t>
      </w:r>
      <w:r w:rsidR="00C31FCF" w:rsidRPr="003901E7">
        <w:rPr>
          <w:szCs w:val="24"/>
          <w:lang w:val="en-US"/>
        </w:rPr>
        <w:t>.</w:t>
      </w:r>
      <w:r w:rsidRPr="003901E7">
        <w:rPr>
          <w:szCs w:val="24"/>
          <w:lang w:val="en-US"/>
        </w:rPr>
        <w:t xml:space="preserve"> Demetrios Anglos for providing us with the reference bronze standards. We are also grateful to Dr</w:t>
      </w:r>
      <w:r w:rsidR="00C31FCF" w:rsidRPr="003901E7">
        <w:rPr>
          <w:szCs w:val="24"/>
          <w:lang w:val="en-US"/>
        </w:rPr>
        <w:t>.</w:t>
      </w:r>
      <w:r w:rsidRPr="003901E7">
        <w:rPr>
          <w:szCs w:val="24"/>
          <w:lang w:val="en-US"/>
        </w:rPr>
        <w:t xml:space="preserve"> Maamoun Abdulkarim, Mr</w:t>
      </w:r>
      <w:r w:rsidR="00C31FCF" w:rsidRPr="003901E7">
        <w:rPr>
          <w:szCs w:val="24"/>
          <w:lang w:val="en-US"/>
        </w:rPr>
        <w:t>.</w:t>
      </w:r>
      <w:r w:rsidRPr="003901E7">
        <w:rPr>
          <w:szCs w:val="24"/>
          <w:lang w:val="en-US"/>
        </w:rPr>
        <w:t xml:space="preserve"> Maher Azar, the staff of the Ministry of Culture of Syria, and the curators of the National Museum of Damascus for </w:t>
      </w:r>
      <w:r w:rsidR="00C31FCF" w:rsidRPr="003901E7">
        <w:rPr>
          <w:szCs w:val="24"/>
          <w:lang w:val="en-US"/>
        </w:rPr>
        <w:t xml:space="preserve">granting </w:t>
      </w:r>
      <w:r w:rsidRPr="003901E7">
        <w:rPr>
          <w:szCs w:val="24"/>
          <w:lang w:val="en-US"/>
        </w:rPr>
        <w:t xml:space="preserve">us the permission to study the unique gilded bronze figurines, for their hospitality, and </w:t>
      </w:r>
      <w:r w:rsidR="00617657">
        <w:rPr>
          <w:szCs w:val="24"/>
          <w:lang w:val="en-US"/>
        </w:rPr>
        <w:t xml:space="preserve">for </w:t>
      </w:r>
      <w:r w:rsidRPr="003901E7">
        <w:rPr>
          <w:szCs w:val="24"/>
          <w:lang w:val="en-US"/>
        </w:rPr>
        <w:t>overall assistance during our campaign.</w:t>
      </w:r>
    </w:p>
    <w:p w:rsidR="003C4D7A" w:rsidRPr="003901E7" w:rsidRDefault="003C4D7A" w:rsidP="003901E7">
      <w:pPr>
        <w:pStyle w:val="BodyText"/>
        <w:spacing w:line="360" w:lineRule="auto"/>
        <w:contextualSpacing/>
        <w:rPr>
          <w:szCs w:val="24"/>
          <w:lang w:val="en-US"/>
        </w:rPr>
      </w:pPr>
      <w:r w:rsidRPr="003901E7">
        <w:rPr>
          <w:szCs w:val="24"/>
          <w:lang w:val="en-US"/>
        </w:rPr>
        <w:t xml:space="preserve"> </w:t>
      </w:r>
    </w:p>
    <w:p w:rsidR="003C4D7A" w:rsidRPr="003901E7" w:rsidRDefault="00617657" w:rsidP="003901E7">
      <w:pPr>
        <w:pStyle w:val="BodyText"/>
        <w:tabs>
          <w:tab w:val="left" w:pos="0"/>
        </w:tabs>
        <w:spacing w:line="360" w:lineRule="auto"/>
        <w:rPr>
          <w:b/>
          <w:szCs w:val="24"/>
          <w:lang w:val="en-US"/>
        </w:rPr>
      </w:pPr>
      <w:r>
        <w:rPr>
          <w:b/>
          <w:szCs w:val="24"/>
          <w:lang w:val="en-US"/>
        </w:rPr>
        <w:t>[A-head]Bibliography</w:t>
      </w:r>
    </w:p>
    <w:p w:rsidR="003C4D7A" w:rsidRPr="004E6D6C" w:rsidRDefault="00617657" w:rsidP="003901E7">
      <w:pPr>
        <w:pStyle w:val="BodyText"/>
        <w:tabs>
          <w:tab w:val="left" w:pos="0"/>
        </w:tabs>
        <w:spacing w:line="360" w:lineRule="auto"/>
        <w:rPr>
          <w:bCs/>
          <w:szCs w:val="24"/>
          <w:lang w:val="en-US"/>
        </w:rPr>
      </w:pPr>
      <w:r w:rsidRPr="004E6D6C">
        <w:rPr>
          <w:bCs/>
          <w:szCs w:val="24"/>
          <w:lang w:val="en-US"/>
        </w:rPr>
        <w:t>[bibliography]</w:t>
      </w:r>
    </w:p>
    <w:p w:rsidR="00617657" w:rsidRPr="00D844D1" w:rsidRDefault="00CF3E6A" w:rsidP="003901E7">
      <w:pPr>
        <w:autoSpaceDE w:val="0"/>
        <w:autoSpaceDN w:val="0"/>
        <w:adjustRightInd w:val="0"/>
        <w:spacing w:line="360" w:lineRule="auto"/>
        <w:rPr>
          <w:rFonts w:eastAsia="MS Mincho"/>
          <w:bCs/>
          <w:sz w:val="24"/>
          <w:szCs w:val="24"/>
          <w:lang w:eastAsia="ja-JP"/>
        </w:rPr>
      </w:pPr>
      <w:hyperlink r:id="rId9" w:tooltip="Search for more by this author" w:history="1">
        <w:r w:rsidR="00617657" w:rsidRPr="00D844D1">
          <w:rPr>
            <w:rStyle w:val="Hyperlink"/>
            <w:rFonts w:eastAsia="MS Mincho"/>
            <w:bCs/>
            <w:color w:val="auto"/>
            <w:sz w:val="24"/>
            <w:szCs w:val="24"/>
            <w:u w:val="none"/>
            <w:lang w:eastAsia="ja-JP"/>
          </w:rPr>
          <w:t>Al Moadin</w:t>
        </w:r>
      </w:hyperlink>
      <w:r w:rsidR="00617657" w:rsidRPr="00D844D1">
        <w:rPr>
          <w:rFonts w:eastAsia="MS Mincho"/>
          <w:bCs/>
          <w:sz w:val="24"/>
          <w:szCs w:val="24"/>
          <w:lang w:eastAsia="ja-JP"/>
        </w:rPr>
        <w:t xml:space="preserve"> and </w:t>
      </w:r>
      <w:hyperlink r:id="rId10" w:tooltip="Search for more by this author" w:history="1">
        <w:r w:rsidR="00617657" w:rsidRPr="00D844D1">
          <w:rPr>
            <w:rStyle w:val="Hyperlink"/>
            <w:rFonts w:eastAsia="MS Mincho"/>
            <w:bCs/>
            <w:color w:val="auto"/>
            <w:sz w:val="24"/>
            <w:szCs w:val="24"/>
            <w:u w:val="none"/>
            <w:lang w:eastAsia="ja-JP"/>
          </w:rPr>
          <w:t>Díez-Fuentes</w:t>
        </w:r>
      </w:hyperlink>
      <w:r w:rsidR="00617657" w:rsidRPr="00D844D1">
        <w:rPr>
          <w:rFonts w:eastAsia="MS Mincho"/>
          <w:bCs/>
          <w:sz w:val="24"/>
          <w:szCs w:val="24"/>
          <w:lang w:eastAsia="ja-JP"/>
        </w:rPr>
        <w:t xml:space="preserve"> 2006</w:t>
      </w:r>
    </w:p>
    <w:p w:rsidR="003C4D7A" w:rsidRPr="00D844D1" w:rsidRDefault="00CF3E6A" w:rsidP="003901E7">
      <w:pPr>
        <w:autoSpaceDE w:val="0"/>
        <w:autoSpaceDN w:val="0"/>
        <w:adjustRightInd w:val="0"/>
        <w:spacing w:line="360" w:lineRule="auto"/>
        <w:rPr>
          <w:rFonts w:eastAsia="MS Mincho"/>
          <w:bCs/>
          <w:sz w:val="24"/>
          <w:szCs w:val="24"/>
          <w:lang w:eastAsia="ja-JP"/>
        </w:rPr>
      </w:pPr>
      <w:hyperlink r:id="rId11" w:tooltip="Search for more by this author" w:history="1">
        <w:r w:rsidR="003C4D7A" w:rsidRPr="00D844D1">
          <w:rPr>
            <w:rStyle w:val="Hyperlink"/>
            <w:rFonts w:eastAsia="MS Mincho"/>
            <w:bCs/>
            <w:color w:val="auto"/>
            <w:sz w:val="24"/>
            <w:szCs w:val="24"/>
            <w:u w:val="none"/>
            <w:lang w:eastAsia="ja-JP"/>
          </w:rPr>
          <w:t>Al Moadin</w:t>
        </w:r>
      </w:hyperlink>
      <w:r w:rsidR="003C4D7A" w:rsidRPr="00D844D1">
        <w:rPr>
          <w:rFonts w:eastAsia="MS Mincho"/>
          <w:bCs/>
          <w:sz w:val="24"/>
          <w:szCs w:val="24"/>
          <w:lang w:eastAsia="ja-JP"/>
        </w:rPr>
        <w:t>, M.</w:t>
      </w:r>
      <w:r w:rsidR="00CA69D3" w:rsidRPr="00D844D1">
        <w:rPr>
          <w:rFonts w:eastAsia="MS Mincho"/>
          <w:bCs/>
          <w:sz w:val="24"/>
          <w:szCs w:val="24"/>
          <w:lang w:eastAsia="ja-JP"/>
        </w:rPr>
        <w:t>, and H.</w:t>
      </w:r>
      <w:r w:rsidR="003901E7" w:rsidRPr="00D844D1">
        <w:rPr>
          <w:rFonts w:eastAsia="MS Mincho"/>
          <w:bCs/>
          <w:sz w:val="24"/>
          <w:szCs w:val="24"/>
          <w:lang w:eastAsia="ja-JP"/>
        </w:rPr>
        <w:t xml:space="preserve"> </w:t>
      </w:r>
      <w:hyperlink r:id="rId12" w:tooltip="Search for more by this author" w:history="1">
        <w:r w:rsidR="003C4D7A" w:rsidRPr="00D844D1">
          <w:rPr>
            <w:rStyle w:val="Hyperlink"/>
            <w:rFonts w:eastAsia="MS Mincho"/>
            <w:bCs/>
            <w:color w:val="auto"/>
            <w:sz w:val="24"/>
            <w:szCs w:val="24"/>
            <w:u w:val="none"/>
            <w:lang w:eastAsia="ja-JP"/>
          </w:rPr>
          <w:t>Díez-Fuentes</w:t>
        </w:r>
      </w:hyperlink>
      <w:r w:rsidR="003C4D7A" w:rsidRPr="00D844D1">
        <w:rPr>
          <w:rFonts w:eastAsia="MS Mincho"/>
          <w:bCs/>
          <w:sz w:val="24"/>
          <w:szCs w:val="24"/>
          <w:lang w:eastAsia="ja-JP"/>
        </w:rPr>
        <w:t xml:space="preserve">. 2006. </w:t>
      </w:r>
      <w:r w:rsidR="003C4D7A" w:rsidRPr="00D844D1">
        <w:rPr>
          <w:rFonts w:eastAsia="MS Mincho"/>
          <w:bCs/>
          <w:i/>
          <w:sz w:val="24"/>
          <w:szCs w:val="24"/>
          <w:lang w:eastAsia="ja-JP"/>
        </w:rPr>
        <w:t>Highlights of the National Museum of Damascus</w:t>
      </w:r>
      <w:r w:rsidR="003C4D7A" w:rsidRPr="00D844D1">
        <w:rPr>
          <w:rFonts w:eastAsia="MS Mincho"/>
          <w:bCs/>
          <w:sz w:val="24"/>
          <w:szCs w:val="24"/>
          <w:lang w:eastAsia="ja-JP"/>
        </w:rPr>
        <w:t>. 2006.</w:t>
      </w:r>
      <w:r w:rsidR="00D565F1" w:rsidRPr="00D844D1">
        <w:rPr>
          <w:rFonts w:eastAsia="MS Mincho"/>
          <w:bCs/>
          <w:sz w:val="24"/>
          <w:szCs w:val="24"/>
          <w:lang w:eastAsia="ja-JP"/>
        </w:rPr>
        <w:t xml:space="preserve"> Lebanon</w:t>
      </w:r>
      <w:r w:rsidR="00617657" w:rsidRPr="00D844D1">
        <w:rPr>
          <w:rFonts w:eastAsia="MS Mincho"/>
          <w:bCs/>
          <w:sz w:val="24"/>
          <w:szCs w:val="24"/>
          <w:lang w:eastAsia="ja-JP"/>
        </w:rPr>
        <w:t>:</w:t>
      </w:r>
      <w:r w:rsidR="00D565F1" w:rsidRPr="00D844D1">
        <w:rPr>
          <w:rFonts w:eastAsia="MS Mincho"/>
          <w:bCs/>
          <w:sz w:val="24"/>
          <w:szCs w:val="24"/>
          <w:lang w:eastAsia="ja-JP"/>
        </w:rPr>
        <w:t xml:space="preserve"> </w:t>
      </w:r>
      <w:r w:rsidR="003C4D7A" w:rsidRPr="00D844D1">
        <w:rPr>
          <w:rFonts w:eastAsia="MS Mincho"/>
          <w:bCs/>
          <w:sz w:val="24"/>
          <w:szCs w:val="24"/>
          <w:lang w:eastAsia="ja-JP"/>
        </w:rPr>
        <w:t>Me</w:t>
      </w:r>
      <w:r w:rsidR="00D565F1" w:rsidRPr="00D844D1">
        <w:rPr>
          <w:rFonts w:eastAsia="MS Mincho"/>
          <w:bCs/>
          <w:sz w:val="24"/>
          <w:szCs w:val="24"/>
          <w:lang w:eastAsia="ja-JP"/>
        </w:rPr>
        <w:t>d</w:t>
      </w:r>
      <w:r w:rsidR="003C4D7A" w:rsidRPr="00D844D1">
        <w:rPr>
          <w:rFonts w:eastAsia="MS Mincho"/>
          <w:bCs/>
          <w:sz w:val="24"/>
          <w:szCs w:val="24"/>
          <w:lang w:eastAsia="ja-JP"/>
        </w:rPr>
        <w:t>ia Minds LLC.</w:t>
      </w:r>
    </w:p>
    <w:p w:rsidR="003C4D7A" w:rsidRPr="003901E7" w:rsidRDefault="003C4D7A" w:rsidP="003901E7">
      <w:pPr>
        <w:autoSpaceDE w:val="0"/>
        <w:autoSpaceDN w:val="0"/>
        <w:adjustRightInd w:val="0"/>
        <w:spacing w:line="360" w:lineRule="auto"/>
        <w:rPr>
          <w:rFonts w:eastAsia="MS Mincho"/>
          <w:bCs/>
          <w:sz w:val="24"/>
          <w:szCs w:val="24"/>
          <w:lang w:eastAsia="ja-JP"/>
        </w:rPr>
      </w:pPr>
    </w:p>
    <w:p w:rsidR="00617657" w:rsidRDefault="00617657" w:rsidP="003901E7">
      <w:pPr>
        <w:autoSpaceDE w:val="0"/>
        <w:autoSpaceDN w:val="0"/>
        <w:adjustRightInd w:val="0"/>
        <w:spacing w:line="360" w:lineRule="auto"/>
        <w:rPr>
          <w:sz w:val="24"/>
          <w:szCs w:val="24"/>
        </w:rPr>
      </w:pPr>
      <w:r w:rsidRPr="003901E7">
        <w:rPr>
          <w:sz w:val="24"/>
          <w:szCs w:val="24"/>
        </w:rPr>
        <w:t xml:space="preserve">Arafat </w:t>
      </w:r>
      <w:r>
        <w:rPr>
          <w:sz w:val="24"/>
          <w:szCs w:val="24"/>
        </w:rPr>
        <w:t>et al. 2013</w:t>
      </w:r>
    </w:p>
    <w:p w:rsidR="003C4D7A" w:rsidRPr="003901E7" w:rsidRDefault="003C4D7A" w:rsidP="003901E7">
      <w:pPr>
        <w:autoSpaceDE w:val="0"/>
        <w:autoSpaceDN w:val="0"/>
        <w:adjustRightInd w:val="0"/>
        <w:spacing w:line="360" w:lineRule="auto"/>
        <w:rPr>
          <w:rFonts w:eastAsia="MS Mincho"/>
          <w:bCs/>
          <w:sz w:val="24"/>
          <w:szCs w:val="24"/>
          <w:lang w:eastAsia="ja-JP"/>
        </w:rPr>
      </w:pPr>
      <w:r w:rsidRPr="003901E7">
        <w:rPr>
          <w:sz w:val="24"/>
          <w:szCs w:val="24"/>
        </w:rPr>
        <w:t>Arafat, A.</w:t>
      </w:r>
      <w:r w:rsidR="00D565F1" w:rsidRPr="003901E7">
        <w:rPr>
          <w:sz w:val="24"/>
          <w:szCs w:val="24"/>
        </w:rPr>
        <w:t>, M.</w:t>
      </w:r>
      <w:r w:rsidRPr="003901E7">
        <w:rPr>
          <w:sz w:val="24"/>
          <w:szCs w:val="24"/>
        </w:rPr>
        <w:t xml:space="preserve"> Naes</w:t>
      </w:r>
      <w:r w:rsidR="00D565F1" w:rsidRPr="003901E7">
        <w:rPr>
          <w:sz w:val="24"/>
          <w:szCs w:val="24"/>
        </w:rPr>
        <w:t>,</w:t>
      </w:r>
      <w:r w:rsidR="003901E7">
        <w:rPr>
          <w:sz w:val="24"/>
          <w:szCs w:val="24"/>
        </w:rPr>
        <w:t xml:space="preserve"> </w:t>
      </w:r>
      <w:r w:rsidR="00D565F1" w:rsidRPr="003901E7">
        <w:rPr>
          <w:sz w:val="24"/>
          <w:szCs w:val="24"/>
        </w:rPr>
        <w:t>V</w:t>
      </w:r>
      <w:r w:rsidRPr="003901E7">
        <w:rPr>
          <w:sz w:val="24"/>
          <w:szCs w:val="24"/>
        </w:rPr>
        <w:t xml:space="preserve">. </w:t>
      </w:r>
      <w:r w:rsidRPr="003901E7">
        <w:rPr>
          <w:bCs/>
          <w:sz w:val="24"/>
          <w:szCs w:val="24"/>
        </w:rPr>
        <w:t xml:space="preserve">Kantarelou, </w:t>
      </w:r>
      <w:r w:rsidR="00D565F1" w:rsidRPr="003901E7">
        <w:rPr>
          <w:bCs/>
          <w:sz w:val="24"/>
          <w:szCs w:val="24"/>
        </w:rPr>
        <w:t>N</w:t>
      </w:r>
      <w:r w:rsidRPr="003901E7">
        <w:rPr>
          <w:bCs/>
          <w:sz w:val="24"/>
          <w:szCs w:val="24"/>
        </w:rPr>
        <w:t>.</w:t>
      </w:r>
      <w:r w:rsidRPr="003901E7">
        <w:rPr>
          <w:sz w:val="24"/>
          <w:szCs w:val="24"/>
        </w:rPr>
        <w:t xml:space="preserve"> Haddad, </w:t>
      </w:r>
      <w:r w:rsidR="00D565F1" w:rsidRPr="003901E7">
        <w:rPr>
          <w:sz w:val="24"/>
          <w:szCs w:val="24"/>
        </w:rPr>
        <w:t>A</w:t>
      </w:r>
      <w:r w:rsidRPr="003901E7">
        <w:rPr>
          <w:sz w:val="24"/>
          <w:szCs w:val="24"/>
        </w:rPr>
        <w:t xml:space="preserve">. Giakoumaki, </w:t>
      </w:r>
      <w:r w:rsidR="00D565F1" w:rsidRPr="003901E7">
        <w:rPr>
          <w:sz w:val="24"/>
          <w:szCs w:val="24"/>
        </w:rPr>
        <w:t>V</w:t>
      </w:r>
      <w:r w:rsidRPr="003901E7">
        <w:rPr>
          <w:sz w:val="24"/>
          <w:szCs w:val="24"/>
        </w:rPr>
        <w:t xml:space="preserve">. Argyropoulos, </w:t>
      </w:r>
      <w:r w:rsidR="00D565F1" w:rsidRPr="003901E7">
        <w:rPr>
          <w:sz w:val="24"/>
          <w:szCs w:val="24"/>
        </w:rPr>
        <w:t>D</w:t>
      </w:r>
      <w:r w:rsidRPr="003901E7">
        <w:rPr>
          <w:sz w:val="24"/>
          <w:szCs w:val="24"/>
        </w:rPr>
        <w:t>. Anglos,</w:t>
      </w:r>
      <w:r w:rsidR="003901E7">
        <w:rPr>
          <w:sz w:val="24"/>
          <w:szCs w:val="24"/>
        </w:rPr>
        <w:t xml:space="preserve"> </w:t>
      </w:r>
      <w:r w:rsidR="00D565F1" w:rsidRPr="003901E7">
        <w:rPr>
          <w:sz w:val="24"/>
          <w:szCs w:val="24"/>
        </w:rPr>
        <w:t>and A.</w:t>
      </w:r>
      <w:r w:rsidR="00617657">
        <w:rPr>
          <w:sz w:val="24"/>
          <w:szCs w:val="24"/>
        </w:rPr>
        <w:t xml:space="preserve"> </w:t>
      </w:r>
      <w:r w:rsidR="00D565F1" w:rsidRPr="003901E7">
        <w:rPr>
          <w:sz w:val="24"/>
          <w:szCs w:val="24"/>
        </w:rPr>
        <w:t>G.</w:t>
      </w:r>
      <w:r w:rsidRPr="003901E7">
        <w:rPr>
          <w:sz w:val="24"/>
          <w:szCs w:val="24"/>
        </w:rPr>
        <w:t xml:space="preserve"> Karydas. 2013.</w:t>
      </w:r>
      <w:r w:rsidR="00CF3E6A" w:rsidRPr="00CF3E6A">
        <w:rPr>
          <w:iCs/>
          <w:sz w:val="24"/>
          <w:szCs w:val="24"/>
        </w:rPr>
        <w:t>“</w:t>
      </w:r>
      <w:r w:rsidRPr="003901E7">
        <w:rPr>
          <w:iCs/>
          <w:sz w:val="24"/>
          <w:szCs w:val="24"/>
        </w:rPr>
        <w:t xml:space="preserve">Combined </w:t>
      </w:r>
      <w:r w:rsidR="00CF3E6A" w:rsidRPr="00CF3E6A">
        <w:rPr>
          <w:i/>
          <w:iCs/>
          <w:sz w:val="24"/>
          <w:szCs w:val="24"/>
        </w:rPr>
        <w:t>in situ</w:t>
      </w:r>
      <w:r w:rsidRPr="003901E7">
        <w:rPr>
          <w:iCs/>
          <w:sz w:val="24"/>
          <w:szCs w:val="24"/>
        </w:rPr>
        <w:t xml:space="preserve"> </w:t>
      </w:r>
      <w:r w:rsidR="00617657">
        <w:rPr>
          <w:iCs/>
          <w:sz w:val="24"/>
          <w:szCs w:val="24"/>
        </w:rPr>
        <w:t>M</w:t>
      </w:r>
      <w:r w:rsidRPr="003901E7">
        <w:rPr>
          <w:iCs/>
          <w:sz w:val="24"/>
          <w:szCs w:val="24"/>
        </w:rPr>
        <w:t xml:space="preserve">icro-XRF, LIBS and SEM-EDS </w:t>
      </w:r>
      <w:r w:rsidR="00617657">
        <w:rPr>
          <w:iCs/>
          <w:sz w:val="24"/>
          <w:szCs w:val="24"/>
        </w:rPr>
        <w:t>A</w:t>
      </w:r>
      <w:r w:rsidRPr="003901E7">
        <w:rPr>
          <w:iCs/>
          <w:sz w:val="24"/>
          <w:szCs w:val="24"/>
        </w:rPr>
        <w:t xml:space="preserve">nalysis of </w:t>
      </w:r>
      <w:r w:rsidR="00617657">
        <w:rPr>
          <w:iCs/>
          <w:sz w:val="24"/>
          <w:szCs w:val="24"/>
        </w:rPr>
        <w:t>B</w:t>
      </w:r>
      <w:r w:rsidRPr="003901E7">
        <w:rPr>
          <w:iCs/>
          <w:sz w:val="24"/>
          <w:szCs w:val="24"/>
        </w:rPr>
        <w:t xml:space="preserve">ase </w:t>
      </w:r>
      <w:r w:rsidR="00617657">
        <w:rPr>
          <w:iCs/>
          <w:sz w:val="24"/>
          <w:szCs w:val="24"/>
        </w:rPr>
        <w:t>M</w:t>
      </w:r>
      <w:r w:rsidRPr="003901E7">
        <w:rPr>
          <w:iCs/>
          <w:sz w:val="24"/>
          <w:szCs w:val="24"/>
        </w:rPr>
        <w:t xml:space="preserve">etal and </w:t>
      </w:r>
      <w:r w:rsidR="00617657">
        <w:rPr>
          <w:iCs/>
          <w:sz w:val="24"/>
          <w:szCs w:val="24"/>
        </w:rPr>
        <w:t>C</w:t>
      </w:r>
      <w:r w:rsidRPr="003901E7">
        <w:rPr>
          <w:iCs/>
          <w:sz w:val="24"/>
          <w:szCs w:val="24"/>
        </w:rPr>
        <w:t xml:space="preserve">orrosion </w:t>
      </w:r>
      <w:r w:rsidR="00617657">
        <w:rPr>
          <w:iCs/>
          <w:sz w:val="24"/>
          <w:szCs w:val="24"/>
        </w:rPr>
        <w:t>P</w:t>
      </w:r>
      <w:r w:rsidRPr="003901E7">
        <w:rPr>
          <w:iCs/>
          <w:sz w:val="24"/>
          <w:szCs w:val="24"/>
        </w:rPr>
        <w:t xml:space="preserve">roducts for Islamic </w:t>
      </w:r>
      <w:r w:rsidR="00617657">
        <w:rPr>
          <w:iCs/>
          <w:sz w:val="24"/>
          <w:szCs w:val="24"/>
        </w:rPr>
        <w:t>C</w:t>
      </w:r>
      <w:r w:rsidRPr="003901E7">
        <w:rPr>
          <w:iCs/>
          <w:sz w:val="24"/>
          <w:szCs w:val="24"/>
        </w:rPr>
        <w:t xml:space="preserve">opper </w:t>
      </w:r>
      <w:r w:rsidR="00617657">
        <w:rPr>
          <w:iCs/>
          <w:sz w:val="24"/>
          <w:szCs w:val="24"/>
        </w:rPr>
        <w:t>A</w:t>
      </w:r>
      <w:r w:rsidR="00180E0A">
        <w:rPr>
          <w:iCs/>
          <w:sz w:val="24"/>
          <w:szCs w:val="24"/>
        </w:rPr>
        <w:t>lloyed A</w:t>
      </w:r>
      <w:r w:rsidRPr="003901E7">
        <w:rPr>
          <w:iCs/>
          <w:sz w:val="24"/>
          <w:szCs w:val="24"/>
        </w:rPr>
        <w:t xml:space="preserve">rtefacts from Umm Qais </w:t>
      </w:r>
      <w:r w:rsidR="00617657">
        <w:rPr>
          <w:iCs/>
          <w:sz w:val="24"/>
          <w:szCs w:val="24"/>
        </w:rPr>
        <w:t>M</w:t>
      </w:r>
      <w:r w:rsidRPr="003901E7">
        <w:rPr>
          <w:iCs/>
          <w:sz w:val="24"/>
          <w:szCs w:val="24"/>
        </w:rPr>
        <w:t>useum</w:t>
      </w:r>
      <w:r w:rsidR="00617657">
        <w:rPr>
          <w:iCs/>
          <w:sz w:val="24"/>
          <w:szCs w:val="24"/>
        </w:rPr>
        <w:t>.</w:t>
      </w:r>
      <w:r w:rsidRPr="003901E7">
        <w:rPr>
          <w:sz w:val="24"/>
          <w:szCs w:val="24"/>
        </w:rPr>
        <w:t xml:space="preserve">” </w:t>
      </w:r>
      <w:r w:rsidRPr="003901E7">
        <w:rPr>
          <w:i/>
          <w:sz w:val="24"/>
          <w:szCs w:val="24"/>
        </w:rPr>
        <w:t>Journal of Cultural Heritage</w:t>
      </w:r>
      <w:r w:rsidRPr="003901E7">
        <w:rPr>
          <w:sz w:val="24"/>
          <w:szCs w:val="24"/>
        </w:rPr>
        <w:t xml:space="preserve"> 14:</w:t>
      </w:r>
      <w:r w:rsidR="00617657">
        <w:rPr>
          <w:sz w:val="24"/>
          <w:szCs w:val="24"/>
        </w:rPr>
        <w:t xml:space="preserve"> </w:t>
      </w:r>
      <w:r w:rsidRPr="003901E7">
        <w:rPr>
          <w:sz w:val="24"/>
          <w:szCs w:val="24"/>
        </w:rPr>
        <w:t>261–69</w:t>
      </w:r>
      <w:r w:rsidRPr="003901E7">
        <w:rPr>
          <w:bCs/>
          <w:sz w:val="24"/>
          <w:szCs w:val="24"/>
        </w:rPr>
        <w:t>.</w:t>
      </w:r>
    </w:p>
    <w:p w:rsidR="00D844D1" w:rsidRPr="003901E7" w:rsidRDefault="00D844D1" w:rsidP="00D844D1">
      <w:pPr>
        <w:autoSpaceDE w:val="0"/>
        <w:autoSpaceDN w:val="0"/>
        <w:adjustRightInd w:val="0"/>
        <w:spacing w:line="360" w:lineRule="auto"/>
        <w:rPr>
          <w:rFonts w:eastAsia="MS Mincho"/>
          <w:bCs/>
          <w:sz w:val="24"/>
          <w:szCs w:val="24"/>
          <w:lang w:eastAsia="ja-JP"/>
        </w:rPr>
      </w:pPr>
    </w:p>
    <w:p w:rsidR="00D844D1" w:rsidRDefault="00D844D1" w:rsidP="00D844D1">
      <w:pPr>
        <w:autoSpaceDE w:val="0"/>
        <w:autoSpaceDN w:val="0"/>
        <w:adjustRightInd w:val="0"/>
        <w:spacing w:line="360" w:lineRule="auto"/>
        <w:rPr>
          <w:rFonts w:eastAsia="MS Mincho"/>
          <w:bCs/>
          <w:sz w:val="24"/>
          <w:szCs w:val="24"/>
          <w:lang w:eastAsia="ja-JP"/>
        </w:rPr>
      </w:pPr>
      <w:r w:rsidRPr="003901E7">
        <w:rPr>
          <w:rFonts w:eastAsia="MS Mincho"/>
          <w:bCs/>
          <w:sz w:val="24"/>
          <w:szCs w:val="24"/>
          <w:lang w:eastAsia="ja-JP"/>
        </w:rPr>
        <w:t>Aruz</w:t>
      </w:r>
      <w:r w:rsidR="004E6D6C">
        <w:rPr>
          <w:rFonts w:eastAsia="MS Mincho"/>
          <w:bCs/>
          <w:sz w:val="24"/>
          <w:szCs w:val="24"/>
          <w:lang w:eastAsia="ja-JP"/>
        </w:rPr>
        <w:t>, Benzel, and Evans</w:t>
      </w:r>
      <w:r>
        <w:rPr>
          <w:rFonts w:eastAsia="MS Mincho"/>
          <w:bCs/>
          <w:sz w:val="24"/>
          <w:szCs w:val="24"/>
          <w:lang w:eastAsia="ja-JP"/>
        </w:rPr>
        <w:t xml:space="preserve"> 2008</w:t>
      </w:r>
    </w:p>
    <w:p w:rsidR="00D844D1" w:rsidRPr="003901E7" w:rsidRDefault="00D844D1" w:rsidP="00D844D1">
      <w:pPr>
        <w:autoSpaceDE w:val="0"/>
        <w:autoSpaceDN w:val="0"/>
        <w:adjustRightInd w:val="0"/>
        <w:spacing w:line="360" w:lineRule="auto"/>
        <w:rPr>
          <w:rFonts w:eastAsia="MS Mincho"/>
          <w:bCs/>
          <w:sz w:val="24"/>
          <w:szCs w:val="24"/>
          <w:lang w:eastAsia="ja-JP"/>
        </w:rPr>
      </w:pPr>
      <w:r w:rsidRPr="003901E7">
        <w:rPr>
          <w:rFonts w:eastAsia="MS Mincho"/>
          <w:bCs/>
          <w:sz w:val="24"/>
          <w:szCs w:val="24"/>
          <w:lang w:eastAsia="ja-JP"/>
        </w:rPr>
        <w:t>Aruz, J., K. Benzel, and J.</w:t>
      </w:r>
      <w:r>
        <w:rPr>
          <w:rFonts w:eastAsia="MS Mincho"/>
          <w:bCs/>
          <w:sz w:val="24"/>
          <w:szCs w:val="24"/>
          <w:lang w:eastAsia="ja-JP"/>
        </w:rPr>
        <w:t xml:space="preserve"> </w:t>
      </w:r>
      <w:r w:rsidRPr="003901E7">
        <w:rPr>
          <w:rFonts w:eastAsia="MS Mincho"/>
          <w:bCs/>
          <w:sz w:val="24"/>
          <w:szCs w:val="24"/>
          <w:lang w:eastAsia="ja-JP"/>
        </w:rPr>
        <w:t xml:space="preserve">M. Evans, eds. 2008. </w:t>
      </w:r>
      <w:r w:rsidRPr="003901E7">
        <w:rPr>
          <w:rFonts w:eastAsia="MS Mincho"/>
          <w:bCs/>
          <w:i/>
          <w:sz w:val="24"/>
          <w:szCs w:val="24"/>
          <w:lang w:eastAsia="ja-JP"/>
        </w:rPr>
        <w:t>Beyond Babylon: Art, Trade, and Diplomacy in the Second Millennium B.C.</w:t>
      </w:r>
      <w:r w:rsidRPr="003901E7">
        <w:rPr>
          <w:rFonts w:eastAsia="MS Mincho"/>
          <w:bCs/>
          <w:sz w:val="24"/>
          <w:szCs w:val="24"/>
          <w:lang w:eastAsia="ja-JP"/>
        </w:rPr>
        <w:t xml:space="preserve"> New York: Metropolitan Museum of Art.</w:t>
      </w:r>
    </w:p>
    <w:p w:rsidR="003C4D7A" w:rsidRPr="003901E7" w:rsidRDefault="003C4D7A" w:rsidP="003901E7">
      <w:pPr>
        <w:autoSpaceDE w:val="0"/>
        <w:autoSpaceDN w:val="0"/>
        <w:adjustRightInd w:val="0"/>
        <w:spacing w:line="360" w:lineRule="auto"/>
        <w:rPr>
          <w:rFonts w:eastAsia="MS Mincho"/>
          <w:bCs/>
          <w:sz w:val="24"/>
          <w:szCs w:val="24"/>
          <w:lang w:eastAsia="ja-JP"/>
        </w:rPr>
      </w:pPr>
    </w:p>
    <w:p w:rsidR="00617657" w:rsidRDefault="00617657" w:rsidP="003901E7">
      <w:pPr>
        <w:spacing w:line="360" w:lineRule="auto"/>
        <w:rPr>
          <w:sz w:val="24"/>
          <w:szCs w:val="24"/>
        </w:rPr>
      </w:pPr>
      <w:r w:rsidRPr="003901E7">
        <w:rPr>
          <w:sz w:val="24"/>
          <w:szCs w:val="24"/>
        </w:rPr>
        <w:t xml:space="preserve">Degrigny </w:t>
      </w:r>
      <w:r>
        <w:rPr>
          <w:sz w:val="24"/>
          <w:szCs w:val="24"/>
        </w:rPr>
        <w:t>et al. 2007</w:t>
      </w:r>
    </w:p>
    <w:p w:rsidR="003C4D7A" w:rsidRPr="003901E7" w:rsidRDefault="003C4D7A" w:rsidP="003901E7">
      <w:pPr>
        <w:spacing w:line="360" w:lineRule="auto"/>
        <w:rPr>
          <w:sz w:val="24"/>
          <w:szCs w:val="24"/>
        </w:rPr>
      </w:pPr>
      <w:r w:rsidRPr="003901E7">
        <w:rPr>
          <w:sz w:val="24"/>
          <w:szCs w:val="24"/>
        </w:rPr>
        <w:t>Degrigny, C.</w:t>
      </w:r>
      <w:r w:rsidR="00617657">
        <w:rPr>
          <w:sz w:val="24"/>
          <w:szCs w:val="24"/>
        </w:rPr>
        <w:t>, A. G.</w:t>
      </w:r>
      <w:r w:rsidRPr="003901E7">
        <w:rPr>
          <w:sz w:val="24"/>
          <w:szCs w:val="24"/>
        </w:rPr>
        <w:t xml:space="preserve"> Karydas, </w:t>
      </w:r>
      <w:r w:rsidR="00617657">
        <w:rPr>
          <w:sz w:val="24"/>
          <w:szCs w:val="24"/>
        </w:rPr>
        <w:t>S.</w:t>
      </w:r>
      <w:r w:rsidRPr="003901E7">
        <w:rPr>
          <w:sz w:val="24"/>
          <w:szCs w:val="24"/>
        </w:rPr>
        <w:t xml:space="preserve"> Golfomitsou, </w:t>
      </w:r>
      <w:r w:rsidR="00617657">
        <w:rPr>
          <w:sz w:val="24"/>
          <w:szCs w:val="24"/>
        </w:rPr>
        <w:t>V.</w:t>
      </w:r>
      <w:r w:rsidRPr="003901E7">
        <w:rPr>
          <w:sz w:val="24"/>
          <w:szCs w:val="24"/>
        </w:rPr>
        <w:t xml:space="preserve"> Kantarelou, </w:t>
      </w:r>
      <w:r w:rsidR="00617657">
        <w:rPr>
          <w:sz w:val="24"/>
          <w:szCs w:val="24"/>
        </w:rPr>
        <w:t>Ch.</w:t>
      </w:r>
      <w:r w:rsidRPr="003901E7">
        <w:rPr>
          <w:sz w:val="24"/>
          <w:szCs w:val="24"/>
        </w:rPr>
        <w:t xml:space="preserve"> Zarkadas, </w:t>
      </w:r>
      <w:r w:rsidR="00617657">
        <w:rPr>
          <w:sz w:val="24"/>
          <w:szCs w:val="24"/>
        </w:rPr>
        <w:t>and D.</w:t>
      </w:r>
      <w:r w:rsidRPr="003901E7">
        <w:rPr>
          <w:sz w:val="24"/>
          <w:szCs w:val="24"/>
        </w:rPr>
        <w:t xml:space="preserve"> Vella. 2007.</w:t>
      </w:r>
      <w:r w:rsidRPr="003901E7">
        <w:rPr>
          <w:i/>
          <w:sz w:val="24"/>
          <w:szCs w:val="24"/>
        </w:rPr>
        <w:t xml:space="preserve"> </w:t>
      </w:r>
      <w:r w:rsidR="00CF3E6A" w:rsidRPr="00CF3E6A">
        <w:rPr>
          <w:sz w:val="24"/>
          <w:szCs w:val="24"/>
        </w:rPr>
        <w:t>“</w:t>
      </w:r>
      <w:r w:rsidRPr="003901E7">
        <w:rPr>
          <w:sz w:val="24"/>
          <w:szCs w:val="24"/>
        </w:rPr>
        <w:t xml:space="preserve">Methodology for the </w:t>
      </w:r>
      <w:r w:rsidR="00CF3E6A" w:rsidRPr="00CF3E6A">
        <w:rPr>
          <w:i/>
          <w:sz w:val="24"/>
          <w:szCs w:val="24"/>
        </w:rPr>
        <w:t>in-situ</w:t>
      </w:r>
      <w:r w:rsidRPr="003901E7">
        <w:rPr>
          <w:sz w:val="24"/>
          <w:szCs w:val="24"/>
        </w:rPr>
        <w:t xml:space="preserve"> </w:t>
      </w:r>
      <w:r w:rsidR="00617657">
        <w:rPr>
          <w:sz w:val="24"/>
          <w:szCs w:val="24"/>
        </w:rPr>
        <w:t>A</w:t>
      </w:r>
      <w:r w:rsidRPr="003901E7">
        <w:rPr>
          <w:sz w:val="24"/>
          <w:szCs w:val="24"/>
        </w:rPr>
        <w:t xml:space="preserve">nalyses of </w:t>
      </w:r>
      <w:r w:rsidR="00617657">
        <w:rPr>
          <w:sz w:val="24"/>
          <w:szCs w:val="24"/>
        </w:rPr>
        <w:t>H</w:t>
      </w:r>
      <w:r w:rsidRPr="003901E7">
        <w:rPr>
          <w:sz w:val="24"/>
          <w:szCs w:val="24"/>
        </w:rPr>
        <w:t xml:space="preserve">istoric </w:t>
      </w:r>
      <w:r w:rsidR="00617657">
        <w:rPr>
          <w:sz w:val="24"/>
          <w:szCs w:val="24"/>
        </w:rPr>
        <w:t>S</w:t>
      </w:r>
      <w:r w:rsidRPr="003901E7">
        <w:rPr>
          <w:sz w:val="24"/>
          <w:szCs w:val="24"/>
        </w:rPr>
        <w:t xml:space="preserve">teel </w:t>
      </w:r>
      <w:r w:rsidR="00617657">
        <w:rPr>
          <w:sz w:val="24"/>
          <w:szCs w:val="24"/>
        </w:rPr>
        <w:t>A</w:t>
      </w:r>
      <w:r w:rsidRPr="003901E7">
        <w:rPr>
          <w:sz w:val="24"/>
          <w:szCs w:val="24"/>
        </w:rPr>
        <w:t xml:space="preserve">rmours with </w:t>
      </w:r>
      <w:r w:rsidR="00617657">
        <w:rPr>
          <w:sz w:val="24"/>
          <w:szCs w:val="24"/>
        </w:rPr>
        <w:t>P</w:t>
      </w:r>
      <w:r w:rsidRPr="003901E7">
        <w:rPr>
          <w:sz w:val="24"/>
          <w:szCs w:val="24"/>
        </w:rPr>
        <w:t xml:space="preserve">ortable </w:t>
      </w:r>
      <w:r w:rsidR="00617657">
        <w:rPr>
          <w:sz w:val="24"/>
          <w:szCs w:val="24"/>
        </w:rPr>
        <w:t>M</w:t>
      </w:r>
      <w:r w:rsidRPr="003901E7">
        <w:rPr>
          <w:sz w:val="24"/>
          <w:szCs w:val="24"/>
        </w:rPr>
        <w:t>illi</w:t>
      </w:r>
      <w:r w:rsidR="00617657">
        <w:rPr>
          <w:sz w:val="24"/>
          <w:szCs w:val="24"/>
        </w:rPr>
        <w:t>-</w:t>
      </w:r>
      <w:r w:rsidRPr="003901E7">
        <w:rPr>
          <w:sz w:val="24"/>
          <w:szCs w:val="24"/>
        </w:rPr>
        <w:t xml:space="preserve"> and </w:t>
      </w:r>
      <w:r w:rsidR="00617657">
        <w:rPr>
          <w:sz w:val="24"/>
          <w:szCs w:val="24"/>
        </w:rPr>
        <w:t>M</w:t>
      </w:r>
      <w:r w:rsidRPr="003901E7">
        <w:rPr>
          <w:sz w:val="24"/>
          <w:szCs w:val="24"/>
        </w:rPr>
        <w:t xml:space="preserve">icro-XRF </w:t>
      </w:r>
      <w:r w:rsidR="00617657">
        <w:rPr>
          <w:sz w:val="24"/>
          <w:szCs w:val="24"/>
        </w:rPr>
        <w:t>S</w:t>
      </w:r>
      <w:r w:rsidRPr="003901E7">
        <w:rPr>
          <w:sz w:val="24"/>
          <w:szCs w:val="24"/>
        </w:rPr>
        <w:t>pectrometers</w:t>
      </w:r>
      <w:r w:rsidR="00617657">
        <w:rPr>
          <w:sz w:val="24"/>
          <w:szCs w:val="24"/>
        </w:rPr>
        <w:t>.</w:t>
      </w:r>
      <w:r w:rsidRPr="003901E7">
        <w:rPr>
          <w:sz w:val="24"/>
          <w:szCs w:val="24"/>
        </w:rPr>
        <w:t>”</w:t>
      </w:r>
      <w:r w:rsidRPr="00617657">
        <w:rPr>
          <w:sz w:val="24"/>
          <w:szCs w:val="24"/>
        </w:rPr>
        <w:t xml:space="preserve"> </w:t>
      </w:r>
      <w:r w:rsidR="00CF3E6A" w:rsidRPr="00CF3E6A">
        <w:rPr>
          <w:sz w:val="24"/>
          <w:szCs w:val="24"/>
        </w:rPr>
        <w:t xml:space="preserve">In </w:t>
      </w:r>
      <w:r w:rsidRPr="003901E7">
        <w:rPr>
          <w:i/>
          <w:sz w:val="24"/>
          <w:szCs w:val="24"/>
        </w:rPr>
        <w:t>METAL-07</w:t>
      </w:r>
      <w:r w:rsidR="00CF3E6A" w:rsidRPr="00CF3E6A">
        <w:rPr>
          <w:sz w:val="24"/>
          <w:szCs w:val="24"/>
        </w:rPr>
        <w:t xml:space="preserve">, </w:t>
      </w:r>
      <w:r w:rsidR="00617657">
        <w:rPr>
          <w:sz w:val="24"/>
          <w:szCs w:val="24"/>
        </w:rPr>
        <w:t>v</w:t>
      </w:r>
      <w:r w:rsidR="00CF3E6A" w:rsidRPr="00CF3E6A">
        <w:rPr>
          <w:sz w:val="24"/>
          <w:szCs w:val="24"/>
        </w:rPr>
        <w:t>ol. 2</w:t>
      </w:r>
      <w:r w:rsidR="00617657">
        <w:rPr>
          <w:sz w:val="24"/>
          <w:szCs w:val="24"/>
        </w:rPr>
        <w:t>:</w:t>
      </w:r>
      <w:r w:rsidR="00617657" w:rsidRPr="003901E7">
        <w:rPr>
          <w:i/>
          <w:sz w:val="24"/>
          <w:szCs w:val="24"/>
        </w:rPr>
        <w:t xml:space="preserve"> </w:t>
      </w:r>
      <w:r w:rsidRPr="003901E7">
        <w:rPr>
          <w:i/>
          <w:sz w:val="24"/>
          <w:szCs w:val="24"/>
        </w:rPr>
        <w:t xml:space="preserve">Innovative </w:t>
      </w:r>
      <w:r w:rsidR="00617657">
        <w:rPr>
          <w:i/>
          <w:sz w:val="24"/>
          <w:szCs w:val="24"/>
        </w:rPr>
        <w:t>I</w:t>
      </w:r>
      <w:r w:rsidRPr="003901E7">
        <w:rPr>
          <w:i/>
          <w:sz w:val="24"/>
          <w:szCs w:val="24"/>
        </w:rPr>
        <w:t xml:space="preserve">nvestigation of </w:t>
      </w:r>
      <w:r w:rsidR="00617657">
        <w:rPr>
          <w:i/>
          <w:sz w:val="24"/>
          <w:szCs w:val="24"/>
        </w:rPr>
        <w:t>M</w:t>
      </w:r>
      <w:r w:rsidRPr="003901E7">
        <w:rPr>
          <w:i/>
          <w:sz w:val="24"/>
          <w:szCs w:val="24"/>
        </w:rPr>
        <w:t xml:space="preserve">etal </w:t>
      </w:r>
      <w:r w:rsidR="00617657">
        <w:rPr>
          <w:i/>
          <w:sz w:val="24"/>
          <w:szCs w:val="24"/>
        </w:rPr>
        <w:t>A</w:t>
      </w:r>
      <w:r w:rsidRPr="003901E7">
        <w:rPr>
          <w:i/>
          <w:sz w:val="24"/>
          <w:szCs w:val="24"/>
        </w:rPr>
        <w:t>rtifacts</w:t>
      </w:r>
      <w:r w:rsidRPr="003901E7">
        <w:rPr>
          <w:sz w:val="24"/>
          <w:szCs w:val="24"/>
        </w:rPr>
        <w:t>, 26</w:t>
      </w:r>
      <w:r w:rsidR="00742067">
        <w:rPr>
          <w:sz w:val="24"/>
          <w:szCs w:val="24"/>
        </w:rPr>
        <w:t>–</w:t>
      </w:r>
      <w:r w:rsidRPr="003901E7">
        <w:rPr>
          <w:sz w:val="24"/>
          <w:szCs w:val="24"/>
        </w:rPr>
        <w:t>34.</w:t>
      </w:r>
      <w:r w:rsidR="00742067">
        <w:rPr>
          <w:sz w:val="24"/>
          <w:szCs w:val="24"/>
        </w:rPr>
        <w:t xml:space="preserve"> Amsterdam: Rijksmuseum.</w:t>
      </w:r>
    </w:p>
    <w:p w:rsidR="003C4D7A" w:rsidRPr="003901E7" w:rsidRDefault="003C4D7A" w:rsidP="003901E7">
      <w:pPr>
        <w:pStyle w:val="ListParagraph"/>
        <w:spacing w:line="360" w:lineRule="auto"/>
        <w:ind w:left="0"/>
        <w:rPr>
          <w:sz w:val="24"/>
          <w:szCs w:val="24"/>
        </w:rPr>
      </w:pPr>
    </w:p>
    <w:p w:rsidR="00742067" w:rsidRDefault="00742067" w:rsidP="003901E7">
      <w:pPr>
        <w:spacing w:line="360" w:lineRule="auto"/>
        <w:rPr>
          <w:sz w:val="24"/>
          <w:szCs w:val="24"/>
        </w:rPr>
      </w:pPr>
      <w:r>
        <w:rPr>
          <w:sz w:val="24"/>
          <w:szCs w:val="24"/>
        </w:rPr>
        <w:t>Ebel</w:t>
      </w:r>
      <w:r w:rsidRPr="003901E7">
        <w:rPr>
          <w:sz w:val="24"/>
          <w:szCs w:val="24"/>
        </w:rPr>
        <w:t xml:space="preserve"> 1999</w:t>
      </w:r>
    </w:p>
    <w:p w:rsidR="003C4D7A" w:rsidRPr="003901E7" w:rsidRDefault="003C4D7A" w:rsidP="003901E7">
      <w:pPr>
        <w:spacing w:line="360" w:lineRule="auto"/>
        <w:rPr>
          <w:sz w:val="24"/>
          <w:szCs w:val="24"/>
        </w:rPr>
      </w:pPr>
      <w:r w:rsidRPr="003901E7">
        <w:rPr>
          <w:sz w:val="24"/>
          <w:szCs w:val="24"/>
        </w:rPr>
        <w:t xml:space="preserve">Ebel, H. 1999. </w:t>
      </w:r>
      <w:r w:rsidR="00742067">
        <w:rPr>
          <w:sz w:val="24"/>
          <w:szCs w:val="24"/>
        </w:rPr>
        <w:t>“</w:t>
      </w:r>
      <w:r w:rsidRPr="003901E7">
        <w:rPr>
          <w:bCs/>
          <w:sz w:val="24"/>
          <w:szCs w:val="24"/>
        </w:rPr>
        <w:t xml:space="preserve">X-ray </w:t>
      </w:r>
      <w:r w:rsidR="00742067">
        <w:rPr>
          <w:bCs/>
          <w:sz w:val="24"/>
          <w:szCs w:val="24"/>
        </w:rPr>
        <w:t>T</w:t>
      </w:r>
      <w:r w:rsidRPr="003901E7">
        <w:rPr>
          <w:bCs/>
          <w:sz w:val="24"/>
          <w:szCs w:val="24"/>
        </w:rPr>
        <w:t xml:space="preserve">ube </w:t>
      </w:r>
      <w:r w:rsidR="00742067">
        <w:rPr>
          <w:bCs/>
          <w:sz w:val="24"/>
          <w:szCs w:val="24"/>
        </w:rPr>
        <w:t>S</w:t>
      </w:r>
      <w:r w:rsidRPr="003901E7">
        <w:rPr>
          <w:bCs/>
          <w:sz w:val="24"/>
          <w:szCs w:val="24"/>
        </w:rPr>
        <w:t>pectra</w:t>
      </w:r>
      <w:r w:rsidR="00742067">
        <w:rPr>
          <w:bCs/>
          <w:sz w:val="24"/>
          <w:szCs w:val="24"/>
        </w:rPr>
        <w:t>.”</w:t>
      </w:r>
      <w:r w:rsidRPr="003901E7">
        <w:rPr>
          <w:bCs/>
          <w:sz w:val="24"/>
          <w:szCs w:val="24"/>
        </w:rPr>
        <w:t xml:space="preserve"> </w:t>
      </w:r>
      <w:r w:rsidRPr="003901E7">
        <w:rPr>
          <w:bCs/>
          <w:i/>
          <w:sz w:val="24"/>
          <w:szCs w:val="24"/>
        </w:rPr>
        <w:t>X</w:t>
      </w:r>
      <w:r w:rsidRPr="003901E7">
        <w:rPr>
          <w:i/>
          <w:sz w:val="24"/>
          <w:szCs w:val="24"/>
        </w:rPr>
        <w:t>-Ray Spectrometry</w:t>
      </w:r>
      <w:r w:rsidRPr="003901E7">
        <w:rPr>
          <w:sz w:val="24"/>
          <w:szCs w:val="24"/>
        </w:rPr>
        <w:t xml:space="preserve"> 27:</w:t>
      </w:r>
      <w:r w:rsidR="00742067">
        <w:rPr>
          <w:sz w:val="24"/>
          <w:szCs w:val="24"/>
        </w:rPr>
        <w:t xml:space="preserve"> </w:t>
      </w:r>
      <w:r w:rsidRPr="003901E7">
        <w:rPr>
          <w:sz w:val="24"/>
          <w:szCs w:val="24"/>
        </w:rPr>
        <w:t>255</w:t>
      </w:r>
      <w:r w:rsidR="00742067">
        <w:rPr>
          <w:sz w:val="24"/>
          <w:szCs w:val="24"/>
        </w:rPr>
        <w:t>–</w:t>
      </w:r>
      <w:r w:rsidRPr="003901E7">
        <w:rPr>
          <w:sz w:val="24"/>
          <w:szCs w:val="24"/>
        </w:rPr>
        <w:t>66.</w:t>
      </w:r>
    </w:p>
    <w:p w:rsidR="00D844D1" w:rsidRPr="003901E7" w:rsidRDefault="00D844D1" w:rsidP="00D844D1">
      <w:pPr>
        <w:spacing w:line="360" w:lineRule="auto"/>
        <w:rPr>
          <w:sz w:val="24"/>
          <w:szCs w:val="24"/>
        </w:rPr>
      </w:pPr>
    </w:p>
    <w:p w:rsidR="00D844D1" w:rsidRDefault="00D844D1" w:rsidP="00D844D1">
      <w:pPr>
        <w:autoSpaceDE w:val="0"/>
        <w:autoSpaceDN w:val="0"/>
        <w:adjustRightInd w:val="0"/>
        <w:spacing w:line="360" w:lineRule="auto"/>
        <w:rPr>
          <w:rFonts w:eastAsia="MS Mincho"/>
          <w:bCs/>
          <w:sz w:val="24"/>
          <w:szCs w:val="24"/>
          <w:lang w:eastAsia="ja-JP"/>
        </w:rPr>
      </w:pPr>
      <w:r w:rsidRPr="003901E7">
        <w:rPr>
          <w:rFonts w:eastAsia="MS Mincho"/>
          <w:bCs/>
          <w:sz w:val="24"/>
          <w:szCs w:val="24"/>
          <w:lang w:eastAsia="ja-JP"/>
        </w:rPr>
        <w:t>Ferr</w:t>
      </w:r>
      <w:r>
        <w:rPr>
          <w:rFonts w:eastAsia="MS Mincho"/>
          <w:bCs/>
          <w:sz w:val="24"/>
          <w:szCs w:val="24"/>
          <w:lang w:eastAsia="ja-JP"/>
        </w:rPr>
        <w:t>etti</w:t>
      </w:r>
      <w:r w:rsidRPr="003901E7">
        <w:rPr>
          <w:rFonts w:eastAsia="MS Mincho"/>
          <w:bCs/>
          <w:sz w:val="24"/>
          <w:szCs w:val="24"/>
          <w:lang w:eastAsia="ja-JP"/>
        </w:rPr>
        <w:t xml:space="preserve"> 2014</w:t>
      </w:r>
    </w:p>
    <w:p w:rsidR="00D844D1" w:rsidRPr="003901E7" w:rsidRDefault="00D844D1" w:rsidP="00D844D1">
      <w:pPr>
        <w:autoSpaceDE w:val="0"/>
        <w:autoSpaceDN w:val="0"/>
        <w:adjustRightInd w:val="0"/>
        <w:spacing w:line="360" w:lineRule="auto"/>
        <w:rPr>
          <w:rFonts w:eastAsia="MS Mincho"/>
          <w:bCs/>
          <w:sz w:val="24"/>
          <w:szCs w:val="24"/>
          <w:lang w:eastAsia="ja-JP"/>
        </w:rPr>
      </w:pPr>
      <w:r w:rsidRPr="003901E7">
        <w:rPr>
          <w:rFonts w:eastAsia="MS Mincho"/>
          <w:bCs/>
          <w:sz w:val="24"/>
          <w:szCs w:val="24"/>
          <w:lang w:eastAsia="ja-JP"/>
        </w:rPr>
        <w:t xml:space="preserve">Ferretti, M. 2014. “The </w:t>
      </w:r>
      <w:r>
        <w:rPr>
          <w:rFonts w:eastAsia="MS Mincho"/>
          <w:bCs/>
          <w:sz w:val="24"/>
          <w:szCs w:val="24"/>
          <w:lang w:eastAsia="ja-JP"/>
        </w:rPr>
        <w:t>I</w:t>
      </w:r>
      <w:r w:rsidRPr="003901E7">
        <w:rPr>
          <w:rFonts w:eastAsia="MS Mincho"/>
          <w:bCs/>
          <w:sz w:val="24"/>
          <w:szCs w:val="24"/>
          <w:lang w:eastAsia="ja-JP"/>
        </w:rPr>
        <w:t xml:space="preserve">nvestigation of </w:t>
      </w:r>
      <w:r>
        <w:rPr>
          <w:rFonts w:eastAsia="MS Mincho"/>
          <w:bCs/>
          <w:sz w:val="24"/>
          <w:szCs w:val="24"/>
          <w:lang w:eastAsia="ja-JP"/>
        </w:rPr>
        <w:t>A</w:t>
      </w:r>
      <w:r w:rsidRPr="003901E7">
        <w:rPr>
          <w:rFonts w:eastAsia="MS Mincho"/>
          <w:bCs/>
          <w:sz w:val="24"/>
          <w:szCs w:val="24"/>
          <w:lang w:eastAsia="ja-JP"/>
        </w:rPr>
        <w:t xml:space="preserve">ncient </w:t>
      </w:r>
      <w:r>
        <w:rPr>
          <w:rFonts w:eastAsia="MS Mincho"/>
          <w:bCs/>
          <w:sz w:val="24"/>
          <w:szCs w:val="24"/>
          <w:lang w:eastAsia="ja-JP"/>
        </w:rPr>
        <w:t>M</w:t>
      </w:r>
      <w:r w:rsidRPr="003901E7">
        <w:rPr>
          <w:rFonts w:eastAsia="MS Mincho"/>
          <w:bCs/>
          <w:sz w:val="24"/>
          <w:szCs w:val="24"/>
          <w:lang w:eastAsia="ja-JP"/>
        </w:rPr>
        <w:t xml:space="preserve">etal </w:t>
      </w:r>
      <w:r>
        <w:rPr>
          <w:rFonts w:eastAsia="MS Mincho"/>
          <w:bCs/>
          <w:sz w:val="24"/>
          <w:szCs w:val="24"/>
          <w:lang w:eastAsia="ja-JP"/>
        </w:rPr>
        <w:t>A</w:t>
      </w:r>
      <w:r w:rsidRPr="003901E7">
        <w:rPr>
          <w:rFonts w:eastAsia="MS Mincho"/>
          <w:bCs/>
          <w:sz w:val="24"/>
          <w:szCs w:val="24"/>
          <w:lang w:eastAsia="ja-JP"/>
        </w:rPr>
        <w:t xml:space="preserve">rtefacts by </w:t>
      </w:r>
      <w:r>
        <w:rPr>
          <w:rFonts w:eastAsia="MS Mincho"/>
          <w:bCs/>
          <w:sz w:val="24"/>
          <w:szCs w:val="24"/>
          <w:lang w:eastAsia="ja-JP"/>
        </w:rPr>
        <w:t>P</w:t>
      </w:r>
      <w:r w:rsidRPr="003901E7">
        <w:rPr>
          <w:rFonts w:eastAsia="MS Mincho"/>
          <w:bCs/>
          <w:sz w:val="24"/>
          <w:szCs w:val="24"/>
          <w:lang w:eastAsia="ja-JP"/>
        </w:rPr>
        <w:t xml:space="preserve">ortable X-ray </w:t>
      </w:r>
      <w:r>
        <w:rPr>
          <w:rFonts w:eastAsia="MS Mincho"/>
          <w:bCs/>
          <w:sz w:val="24"/>
          <w:szCs w:val="24"/>
          <w:lang w:eastAsia="ja-JP"/>
        </w:rPr>
        <w:t>F</w:t>
      </w:r>
      <w:r w:rsidRPr="003901E7">
        <w:rPr>
          <w:rFonts w:eastAsia="MS Mincho"/>
          <w:bCs/>
          <w:sz w:val="24"/>
          <w:szCs w:val="24"/>
          <w:lang w:eastAsia="ja-JP"/>
        </w:rPr>
        <w:t xml:space="preserve">luorescence </w:t>
      </w:r>
      <w:r>
        <w:rPr>
          <w:rFonts w:eastAsia="MS Mincho"/>
          <w:bCs/>
          <w:sz w:val="24"/>
          <w:szCs w:val="24"/>
          <w:lang w:eastAsia="ja-JP"/>
        </w:rPr>
        <w:t>D</w:t>
      </w:r>
      <w:r w:rsidRPr="003901E7">
        <w:rPr>
          <w:rFonts w:eastAsia="MS Mincho"/>
          <w:bCs/>
          <w:sz w:val="24"/>
          <w:szCs w:val="24"/>
          <w:lang w:eastAsia="ja-JP"/>
        </w:rPr>
        <w:t>evices</w:t>
      </w:r>
      <w:r>
        <w:rPr>
          <w:rFonts w:eastAsia="MS Mincho"/>
          <w:bCs/>
          <w:sz w:val="24"/>
          <w:szCs w:val="24"/>
          <w:lang w:eastAsia="ja-JP"/>
        </w:rPr>
        <w:t>.</w:t>
      </w:r>
      <w:r w:rsidRPr="003901E7">
        <w:rPr>
          <w:rFonts w:eastAsia="MS Mincho"/>
          <w:bCs/>
          <w:sz w:val="24"/>
          <w:szCs w:val="24"/>
          <w:lang w:eastAsia="ja-JP"/>
        </w:rPr>
        <w:t xml:space="preserve">” </w:t>
      </w:r>
      <w:r w:rsidRPr="003901E7">
        <w:rPr>
          <w:rFonts w:eastAsia="MS Mincho"/>
          <w:bCs/>
          <w:i/>
          <w:sz w:val="24"/>
          <w:szCs w:val="24"/>
          <w:lang w:eastAsia="ja-JP"/>
        </w:rPr>
        <w:t>Journal of Analytical Atomic Spectrometry</w:t>
      </w:r>
      <w:r w:rsidRPr="003901E7">
        <w:rPr>
          <w:rFonts w:eastAsia="MS Mincho"/>
          <w:bCs/>
          <w:sz w:val="24"/>
          <w:szCs w:val="24"/>
          <w:lang w:eastAsia="ja-JP"/>
        </w:rPr>
        <w:t xml:space="preserve"> 29:</w:t>
      </w:r>
      <w:r>
        <w:rPr>
          <w:rFonts w:eastAsia="MS Mincho"/>
          <w:bCs/>
          <w:sz w:val="24"/>
          <w:szCs w:val="24"/>
          <w:lang w:eastAsia="ja-JP"/>
        </w:rPr>
        <w:t xml:space="preserve"> </w:t>
      </w:r>
      <w:r w:rsidRPr="003901E7">
        <w:rPr>
          <w:rFonts w:eastAsia="MS Mincho"/>
          <w:bCs/>
          <w:sz w:val="24"/>
          <w:szCs w:val="24"/>
          <w:lang w:eastAsia="ja-JP"/>
        </w:rPr>
        <w:t>1753</w:t>
      </w:r>
      <w:r>
        <w:rPr>
          <w:rFonts w:eastAsia="MS Mincho"/>
          <w:bCs/>
          <w:sz w:val="24"/>
          <w:szCs w:val="24"/>
          <w:lang w:eastAsia="ja-JP"/>
        </w:rPr>
        <w:t>–</w:t>
      </w:r>
      <w:r w:rsidRPr="003901E7">
        <w:rPr>
          <w:rFonts w:eastAsia="MS Mincho"/>
          <w:bCs/>
          <w:sz w:val="24"/>
          <w:szCs w:val="24"/>
          <w:lang w:eastAsia="ja-JP"/>
        </w:rPr>
        <w:t>66.</w:t>
      </w:r>
    </w:p>
    <w:p w:rsidR="00D844D1" w:rsidRDefault="00D844D1" w:rsidP="003901E7">
      <w:pPr>
        <w:spacing w:line="360" w:lineRule="auto"/>
        <w:rPr>
          <w:sz w:val="24"/>
          <w:szCs w:val="24"/>
        </w:rPr>
      </w:pPr>
    </w:p>
    <w:p w:rsidR="00742067" w:rsidRDefault="00742067" w:rsidP="003901E7">
      <w:pPr>
        <w:spacing w:line="360" w:lineRule="auto"/>
        <w:rPr>
          <w:sz w:val="24"/>
          <w:szCs w:val="24"/>
        </w:rPr>
      </w:pPr>
      <w:r w:rsidRPr="003901E7">
        <w:rPr>
          <w:sz w:val="24"/>
          <w:szCs w:val="24"/>
        </w:rPr>
        <w:t xml:space="preserve">Figueiredo </w:t>
      </w:r>
      <w:r>
        <w:rPr>
          <w:sz w:val="24"/>
          <w:szCs w:val="24"/>
        </w:rPr>
        <w:t>et al. 2013</w:t>
      </w:r>
    </w:p>
    <w:p w:rsidR="003C4D7A" w:rsidRPr="003901E7" w:rsidRDefault="003C4D7A" w:rsidP="003901E7">
      <w:pPr>
        <w:spacing w:line="360" w:lineRule="auto"/>
        <w:rPr>
          <w:sz w:val="24"/>
          <w:szCs w:val="24"/>
        </w:rPr>
      </w:pPr>
      <w:r w:rsidRPr="003901E7">
        <w:rPr>
          <w:sz w:val="24"/>
          <w:szCs w:val="24"/>
        </w:rPr>
        <w:t>Figueiredo, E.</w:t>
      </w:r>
      <w:r w:rsidR="00742067">
        <w:rPr>
          <w:sz w:val="24"/>
          <w:szCs w:val="24"/>
        </w:rPr>
        <w:t>,</w:t>
      </w:r>
      <w:r w:rsidRPr="003901E7">
        <w:rPr>
          <w:sz w:val="24"/>
          <w:szCs w:val="24"/>
        </w:rPr>
        <w:t xml:space="preserve"> </w:t>
      </w:r>
      <w:r w:rsidR="00742067">
        <w:rPr>
          <w:sz w:val="24"/>
          <w:szCs w:val="24"/>
        </w:rPr>
        <w:t xml:space="preserve">M. </w:t>
      </w:r>
      <w:r w:rsidRPr="003901E7">
        <w:rPr>
          <w:sz w:val="24"/>
          <w:szCs w:val="24"/>
        </w:rPr>
        <w:t xml:space="preserve">Fatima Araujo, </w:t>
      </w:r>
      <w:r w:rsidR="00742067">
        <w:rPr>
          <w:sz w:val="24"/>
          <w:szCs w:val="24"/>
        </w:rPr>
        <w:t>J. C</w:t>
      </w:r>
      <w:r w:rsidRPr="003901E7">
        <w:rPr>
          <w:sz w:val="24"/>
          <w:szCs w:val="24"/>
        </w:rPr>
        <w:t xml:space="preserve">. Silva, </w:t>
      </w:r>
      <w:r w:rsidR="00742067">
        <w:rPr>
          <w:sz w:val="24"/>
          <w:szCs w:val="24"/>
        </w:rPr>
        <w:t>and R.</w:t>
      </w:r>
      <w:r w:rsidRPr="003901E7">
        <w:rPr>
          <w:sz w:val="24"/>
          <w:szCs w:val="24"/>
        </w:rPr>
        <w:t xml:space="preserve"> Raquel Vilaca. 2013. “Characterisation of a Proto-historic </w:t>
      </w:r>
      <w:r w:rsidR="00742067">
        <w:rPr>
          <w:sz w:val="24"/>
          <w:szCs w:val="24"/>
        </w:rPr>
        <w:t>B</w:t>
      </w:r>
      <w:r w:rsidRPr="003901E7">
        <w:rPr>
          <w:sz w:val="24"/>
          <w:szCs w:val="24"/>
        </w:rPr>
        <w:t xml:space="preserve">ronze </w:t>
      </w:r>
      <w:r w:rsidR="00742067">
        <w:rPr>
          <w:sz w:val="24"/>
          <w:szCs w:val="24"/>
        </w:rPr>
        <w:t>C</w:t>
      </w:r>
      <w:r w:rsidRPr="003901E7">
        <w:rPr>
          <w:sz w:val="24"/>
          <w:szCs w:val="24"/>
        </w:rPr>
        <w:t xml:space="preserve">ollection by </w:t>
      </w:r>
      <w:r w:rsidR="00742067">
        <w:rPr>
          <w:sz w:val="24"/>
          <w:szCs w:val="24"/>
        </w:rPr>
        <w:t>M</w:t>
      </w:r>
      <w:r w:rsidRPr="003901E7">
        <w:rPr>
          <w:sz w:val="24"/>
          <w:szCs w:val="24"/>
        </w:rPr>
        <w:t>icro-EDXRF</w:t>
      </w:r>
      <w:r w:rsidR="00742067">
        <w:rPr>
          <w:sz w:val="24"/>
          <w:szCs w:val="24"/>
        </w:rPr>
        <w:t>.</w:t>
      </w:r>
      <w:r w:rsidRPr="003901E7">
        <w:rPr>
          <w:sz w:val="24"/>
          <w:szCs w:val="24"/>
        </w:rPr>
        <w:t xml:space="preserve">” </w:t>
      </w:r>
      <w:r w:rsidRPr="003901E7">
        <w:rPr>
          <w:i/>
          <w:sz w:val="24"/>
          <w:szCs w:val="24"/>
        </w:rPr>
        <w:t>Nuclear Instruments and Methods in Physics Research B</w:t>
      </w:r>
      <w:r w:rsidRPr="003901E7">
        <w:rPr>
          <w:sz w:val="24"/>
          <w:szCs w:val="24"/>
        </w:rPr>
        <w:t xml:space="preserve"> 296:</w:t>
      </w:r>
      <w:r w:rsidR="00742067">
        <w:rPr>
          <w:sz w:val="24"/>
          <w:szCs w:val="24"/>
        </w:rPr>
        <w:t xml:space="preserve"> </w:t>
      </w:r>
      <w:r w:rsidRPr="003901E7">
        <w:rPr>
          <w:sz w:val="24"/>
          <w:szCs w:val="24"/>
        </w:rPr>
        <w:t>26–31.</w:t>
      </w:r>
    </w:p>
    <w:p w:rsidR="003C4D7A" w:rsidRPr="003901E7" w:rsidRDefault="003C4D7A" w:rsidP="003901E7">
      <w:pPr>
        <w:pStyle w:val="ListParagraph"/>
        <w:spacing w:line="360" w:lineRule="auto"/>
        <w:ind w:left="0"/>
        <w:rPr>
          <w:rFonts w:eastAsia="MS Mincho"/>
          <w:bCs/>
          <w:sz w:val="24"/>
          <w:szCs w:val="24"/>
          <w:lang w:eastAsia="ja-JP"/>
        </w:rPr>
      </w:pPr>
    </w:p>
    <w:p w:rsidR="00742067" w:rsidRDefault="00742067" w:rsidP="003901E7">
      <w:pPr>
        <w:spacing w:line="360" w:lineRule="auto"/>
        <w:rPr>
          <w:sz w:val="24"/>
          <w:szCs w:val="24"/>
        </w:rPr>
      </w:pPr>
      <w:r w:rsidRPr="003901E7">
        <w:rPr>
          <w:sz w:val="24"/>
          <w:szCs w:val="24"/>
        </w:rPr>
        <w:lastRenderedPageBreak/>
        <w:t xml:space="preserve">Giannoulaki </w:t>
      </w:r>
      <w:r>
        <w:rPr>
          <w:sz w:val="24"/>
          <w:szCs w:val="24"/>
        </w:rPr>
        <w:t xml:space="preserve"> et al. 2007.</w:t>
      </w:r>
    </w:p>
    <w:p w:rsidR="003C4D7A" w:rsidRDefault="003C4D7A" w:rsidP="003901E7">
      <w:pPr>
        <w:spacing w:line="360" w:lineRule="auto"/>
        <w:rPr>
          <w:sz w:val="24"/>
          <w:szCs w:val="24"/>
        </w:rPr>
      </w:pPr>
      <w:r w:rsidRPr="003901E7">
        <w:rPr>
          <w:sz w:val="24"/>
          <w:szCs w:val="24"/>
        </w:rPr>
        <w:t>Giannoulaki, M.</w:t>
      </w:r>
      <w:r w:rsidR="00742067">
        <w:rPr>
          <w:sz w:val="24"/>
          <w:szCs w:val="24"/>
        </w:rPr>
        <w:t>, V.</w:t>
      </w:r>
      <w:r w:rsidRPr="003901E7">
        <w:rPr>
          <w:sz w:val="24"/>
          <w:szCs w:val="24"/>
        </w:rPr>
        <w:t xml:space="preserve"> Argyropoulos, </w:t>
      </w:r>
      <w:r w:rsidR="00742067">
        <w:rPr>
          <w:sz w:val="24"/>
          <w:szCs w:val="24"/>
        </w:rPr>
        <w:t>G. P</w:t>
      </w:r>
      <w:r w:rsidRPr="003901E7">
        <w:rPr>
          <w:sz w:val="24"/>
          <w:szCs w:val="24"/>
        </w:rPr>
        <w:t xml:space="preserve">. Michalakakos, </w:t>
      </w:r>
      <w:r w:rsidR="00742067">
        <w:rPr>
          <w:sz w:val="24"/>
          <w:szCs w:val="24"/>
        </w:rPr>
        <w:t>Th</w:t>
      </w:r>
      <w:r w:rsidRPr="003901E7">
        <w:rPr>
          <w:sz w:val="24"/>
          <w:szCs w:val="24"/>
        </w:rPr>
        <w:t xml:space="preserve">. Panou, </w:t>
      </w:r>
      <w:r w:rsidR="00742067">
        <w:rPr>
          <w:sz w:val="24"/>
          <w:szCs w:val="24"/>
        </w:rPr>
        <w:t>V.</w:t>
      </w:r>
      <w:r w:rsidRPr="003901E7">
        <w:rPr>
          <w:sz w:val="24"/>
          <w:szCs w:val="24"/>
        </w:rPr>
        <w:t xml:space="preserve"> Kantarelou, </w:t>
      </w:r>
      <w:r w:rsidR="00742067">
        <w:rPr>
          <w:sz w:val="24"/>
          <w:szCs w:val="24"/>
        </w:rPr>
        <w:t>C.</w:t>
      </w:r>
      <w:r w:rsidRPr="003901E7">
        <w:rPr>
          <w:sz w:val="24"/>
          <w:szCs w:val="24"/>
        </w:rPr>
        <w:t xml:space="preserve">. Zarkadas, </w:t>
      </w:r>
      <w:r w:rsidR="00742067">
        <w:rPr>
          <w:sz w:val="24"/>
          <w:szCs w:val="24"/>
        </w:rPr>
        <w:t>A. G.</w:t>
      </w:r>
      <w:r w:rsidRPr="003901E7">
        <w:rPr>
          <w:sz w:val="24"/>
          <w:szCs w:val="24"/>
        </w:rPr>
        <w:t xml:space="preserve">. Karydas, </w:t>
      </w:r>
      <w:r w:rsidR="00742067">
        <w:rPr>
          <w:sz w:val="24"/>
          <w:szCs w:val="24"/>
        </w:rPr>
        <w:t>V</w:t>
      </w:r>
      <w:r w:rsidRPr="003901E7">
        <w:rPr>
          <w:sz w:val="24"/>
          <w:szCs w:val="24"/>
        </w:rPr>
        <w:t xml:space="preserve">. Perdikatsis, </w:t>
      </w:r>
      <w:r w:rsidR="00742067">
        <w:rPr>
          <w:sz w:val="24"/>
          <w:szCs w:val="24"/>
        </w:rPr>
        <w:t>and Ch.</w:t>
      </w:r>
      <w:r w:rsidRPr="003901E7">
        <w:rPr>
          <w:sz w:val="24"/>
          <w:szCs w:val="24"/>
        </w:rPr>
        <w:t xml:space="preserve"> Apostolaki. 2007.</w:t>
      </w:r>
      <w:r w:rsidR="00CF3E6A" w:rsidRPr="00CF3E6A">
        <w:rPr>
          <w:sz w:val="24"/>
          <w:szCs w:val="24"/>
        </w:rPr>
        <w:t>“</w:t>
      </w:r>
      <w:r w:rsidRPr="003901E7">
        <w:rPr>
          <w:sz w:val="24"/>
          <w:szCs w:val="24"/>
        </w:rPr>
        <w:t xml:space="preserve">A </w:t>
      </w:r>
      <w:r w:rsidR="00742067">
        <w:rPr>
          <w:sz w:val="24"/>
          <w:szCs w:val="24"/>
        </w:rPr>
        <w:t>C</w:t>
      </w:r>
      <w:r w:rsidRPr="003901E7">
        <w:rPr>
          <w:sz w:val="24"/>
          <w:szCs w:val="24"/>
        </w:rPr>
        <w:t xml:space="preserve">onservation </w:t>
      </w:r>
      <w:r w:rsidR="00742067">
        <w:rPr>
          <w:sz w:val="24"/>
          <w:szCs w:val="24"/>
        </w:rPr>
        <w:t>S</w:t>
      </w:r>
      <w:r w:rsidRPr="003901E7">
        <w:rPr>
          <w:sz w:val="24"/>
          <w:szCs w:val="24"/>
        </w:rPr>
        <w:t xml:space="preserve">urvey of </w:t>
      </w:r>
      <w:r w:rsidR="00742067">
        <w:rPr>
          <w:sz w:val="24"/>
          <w:szCs w:val="24"/>
        </w:rPr>
        <w:t>M</w:t>
      </w:r>
      <w:r w:rsidRPr="003901E7">
        <w:rPr>
          <w:sz w:val="24"/>
          <w:szCs w:val="24"/>
        </w:rPr>
        <w:t xml:space="preserve">useum </w:t>
      </w:r>
      <w:r w:rsidR="00742067">
        <w:rPr>
          <w:sz w:val="24"/>
          <w:szCs w:val="24"/>
        </w:rPr>
        <w:t>M</w:t>
      </w:r>
      <w:r w:rsidRPr="003901E7">
        <w:rPr>
          <w:sz w:val="24"/>
          <w:szCs w:val="24"/>
        </w:rPr>
        <w:t xml:space="preserve">etals </w:t>
      </w:r>
      <w:r w:rsidR="00742067">
        <w:rPr>
          <w:sz w:val="24"/>
          <w:szCs w:val="24"/>
        </w:rPr>
        <w:t>C</w:t>
      </w:r>
      <w:r w:rsidRPr="003901E7">
        <w:rPr>
          <w:sz w:val="24"/>
          <w:szCs w:val="24"/>
        </w:rPr>
        <w:t xml:space="preserve">ollections: A </w:t>
      </w:r>
      <w:r w:rsidR="00742067">
        <w:rPr>
          <w:sz w:val="24"/>
          <w:szCs w:val="24"/>
        </w:rPr>
        <w:t>C</w:t>
      </w:r>
      <w:r w:rsidRPr="003901E7">
        <w:rPr>
          <w:sz w:val="24"/>
          <w:szCs w:val="24"/>
        </w:rPr>
        <w:t xml:space="preserve">ase </w:t>
      </w:r>
      <w:r w:rsidR="00742067">
        <w:rPr>
          <w:sz w:val="24"/>
          <w:szCs w:val="24"/>
        </w:rPr>
        <w:t>S</w:t>
      </w:r>
      <w:r w:rsidRPr="003901E7">
        <w:rPr>
          <w:sz w:val="24"/>
          <w:szCs w:val="24"/>
        </w:rPr>
        <w:t>tudy of Ancient Messene Museum, Greece</w:t>
      </w:r>
      <w:r w:rsidR="00742067">
        <w:rPr>
          <w:sz w:val="24"/>
          <w:szCs w:val="24"/>
        </w:rPr>
        <w:t>.”</w:t>
      </w:r>
      <w:r w:rsidRPr="003901E7">
        <w:rPr>
          <w:sz w:val="24"/>
          <w:szCs w:val="24"/>
        </w:rPr>
        <w:t xml:space="preserve"> In</w:t>
      </w:r>
      <w:r w:rsidR="003901E7">
        <w:rPr>
          <w:sz w:val="24"/>
          <w:szCs w:val="24"/>
        </w:rPr>
        <w:t xml:space="preserve"> </w:t>
      </w:r>
      <w:r w:rsidRPr="003901E7">
        <w:rPr>
          <w:i/>
          <w:sz w:val="24"/>
          <w:szCs w:val="24"/>
        </w:rPr>
        <w:t>METAL-07</w:t>
      </w:r>
      <w:r w:rsidR="00CF3E6A" w:rsidRPr="00CF3E6A">
        <w:rPr>
          <w:sz w:val="24"/>
          <w:szCs w:val="24"/>
        </w:rPr>
        <w:t xml:space="preserve">, </w:t>
      </w:r>
      <w:r w:rsidR="00742067">
        <w:rPr>
          <w:sz w:val="24"/>
          <w:szCs w:val="24"/>
        </w:rPr>
        <w:t>v</w:t>
      </w:r>
      <w:r w:rsidR="00CF3E6A" w:rsidRPr="00CF3E6A">
        <w:rPr>
          <w:sz w:val="24"/>
          <w:szCs w:val="24"/>
        </w:rPr>
        <w:t>ol. 1</w:t>
      </w:r>
      <w:r w:rsidR="00B80C18">
        <w:rPr>
          <w:sz w:val="24"/>
          <w:szCs w:val="24"/>
        </w:rPr>
        <w:t>:</w:t>
      </w:r>
      <w:r w:rsidRPr="003901E7">
        <w:rPr>
          <w:i/>
          <w:sz w:val="24"/>
          <w:szCs w:val="24"/>
        </w:rPr>
        <w:t xml:space="preserve"> When Archaeometry and </w:t>
      </w:r>
      <w:r w:rsidR="00742067">
        <w:rPr>
          <w:i/>
          <w:sz w:val="24"/>
          <w:szCs w:val="24"/>
        </w:rPr>
        <w:t>C</w:t>
      </w:r>
      <w:r w:rsidRPr="003901E7">
        <w:rPr>
          <w:i/>
          <w:sz w:val="24"/>
          <w:szCs w:val="24"/>
        </w:rPr>
        <w:t xml:space="preserve">onservation </w:t>
      </w:r>
      <w:r w:rsidR="00742067">
        <w:rPr>
          <w:i/>
          <w:sz w:val="24"/>
          <w:szCs w:val="24"/>
        </w:rPr>
        <w:t>M</w:t>
      </w:r>
      <w:r w:rsidRPr="003901E7">
        <w:rPr>
          <w:i/>
          <w:sz w:val="24"/>
          <w:szCs w:val="24"/>
        </w:rPr>
        <w:t>eet</w:t>
      </w:r>
      <w:r w:rsidRPr="003901E7">
        <w:rPr>
          <w:sz w:val="24"/>
          <w:szCs w:val="24"/>
        </w:rPr>
        <w:t>,</w:t>
      </w:r>
      <w:r w:rsidR="003901E7">
        <w:rPr>
          <w:sz w:val="24"/>
          <w:szCs w:val="24"/>
        </w:rPr>
        <w:t xml:space="preserve"> </w:t>
      </w:r>
      <w:r w:rsidRPr="003901E7">
        <w:rPr>
          <w:sz w:val="24"/>
          <w:szCs w:val="24"/>
        </w:rPr>
        <w:t>67</w:t>
      </w:r>
      <w:r w:rsidR="00742067">
        <w:rPr>
          <w:sz w:val="24"/>
          <w:szCs w:val="24"/>
        </w:rPr>
        <w:t>–</w:t>
      </w:r>
      <w:r w:rsidRPr="003901E7">
        <w:rPr>
          <w:sz w:val="24"/>
          <w:szCs w:val="24"/>
        </w:rPr>
        <w:t>72.</w:t>
      </w:r>
      <w:r w:rsidR="00742067" w:rsidRPr="00742067">
        <w:rPr>
          <w:sz w:val="24"/>
          <w:szCs w:val="24"/>
        </w:rPr>
        <w:t xml:space="preserve"> </w:t>
      </w:r>
      <w:r w:rsidR="00742067">
        <w:rPr>
          <w:sz w:val="24"/>
          <w:szCs w:val="24"/>
        </w:rPr>
        <w:t>Amsterdam: Rijksmuseum.</w:t>
      </w:r>
    </w:p>
    <w:p w:rsidR="00131458" w:rsidRPr="003901E7" w:rsidRDefault="00131458" w:rsidP="00131458">
      <w:pPr>
        <w:pStyle w:val="ListParagraph"/>
        <w:spacing w:line="360" w:lineRule="auto"/>
        <w:ind w:left="0"/>
        <w:rPr>
          <w:bCs/>
          <w:sz w:val="24"/>
          <w:szCs w:val="24"/>
        </w:rPr>
      </w:pPr>
    </w:p>
    <w:p w:rsidR="00131458" w:rsidRDefault="00131458" w:rsidP="00131458">
      <w:pPr>
        <w:autoSpaceDE w:val="0"/>
        <w:autoSpaceDN w:val="0"/>
        <w:adjustRightInd w:val="0"/>
        <w:spacing w:line="360" w:lineRule="auto"/>
        <w:rPr>
          <w:color w:val="000000"/>
          <w:sz w:val="24"/>
          <w:szCs w:val="24"/>
          <w:lang w:eastAsia="el-GR"/>
        </w:rPr>
      </w:pPr>
      <w:r>
        <w:rPr>
          <w:color w:val="000000"/>
          <w:sz w:val="24"/>
          <w:szCs w:val="24"/>
          <w:lang w:eastAsia="el-GR"/>
        </w:rPr>
        <w:t>Gianoncelli and Kourousias</w:t>
      </w:r>
      <w:r w:rsidRPr="003901E7">
        <w:rPr>
          <w:color w:val="000000"/>
          <w:sz w:val="24"/>
          <w:szCs w:val="24"/>
          <w:lang w:eastAsia="el-GR"/>
        </w:rPr>
        <w:t xml:space="preserve"> 2007</w:t>
      </w:r>
    </w:p>
    <w:p w:rsidR="00000000" w:rsidRDefault="00131458">
      <w:pPr>
        <w:autoSpaceDE w:val="0"/>
        <w:autoSpaceDN w:val="0"/>
        <w:adjustRightInd w:val="0"/>
        <w:spacing w:line="360" w:lineRule="auto"/>
        <w:rPr>
          <w:color w:val="000000"/>
          <w:sz w:val="24"/>
          <w:szCs w:val="24"/>
          <w:lang w:eastAsia="el-GR"/>
        </w:rPr>
      </w:pPr>
      <w:r w:rsidRPr="003901E7">
        <w:rPr>
          <w:color w:val="000000"/>
          <w:sz w:val="24"/>
          <w:szCs w:val="24"/>
          <w:lang w:eastAsia="el-GR"/>
        </w:rPr>
        <w:t>Gianoncelli, A. and Kourousias, G. 2007. “</w:t>
      </w:r>
      <w:r w:rsidR="00B80C18">
        <w:rPr>
          <w:bCs/>
          <w:color w:val="000000"/>
          <w:sz w:val="24"/>
          <w:szCs w:val="24"/>
          <w:lang w:eastAsia="el-GR"/>
        </w:rPr>
        <w:t>Limitations of Portable XRF Implementations in E</w:t>
      </w:r>
      <w:r w:rsidRPr="003901E7">
        <w:rPr>
          <w:bCs/>
          <w:color w:val="000000"/>
          <w:sz w:val="24"/>
          <w:szCs w:val="24"/>
          <w:lang w:eastAsia="el-GR"/>
        </w:rPr>
        <w:t>v</w:t>
      </w:r>
      <w:r w:rsidR="00B80C18">
        <w:rPr>
          <w:bCs/>
          <w:color w:val="000000"/>
          <w:sz w:val="24"/>
          <w:szCs w:val="24"/>
          <w:lang w:eastAsia="el-GR"/>
        </w:rPr>
        <w:t>aluating Depth Information: An Archaeometric P</w:t>
      </w:r>
      <w:r w:rsidRPr="003901E7">
        <w:rPr>
          <w:bCs/>
          <w:color w:val="000000"/>
          <w:sz w:val="24"/>
          <w:szCs w:val="24"/>
          <w:lang w:eastAsia="el-GR"/>
        </w:rPr>
        <w:t>erspective</w:t>
      </w:r>
      <w:r w:rsidR="00B80C18">
        <w:rPr>
          <w:bCs/>
          <w:color w:val="000000"/>
          <w:sz w:val="24"/>
          <w:szCs w:val="24"/>
          <w:lang w:eastAsia="el-GR"/>
        </w:rPr>
        <w:t>.</w:t>
      </w:r>
      <w:r w:rsidRPr="003901E7">
        <w:rPr>
          <w:bCs/>
          <w:color w:val="000000"/>
          <w:sz w:val="24"/>
          <w:szCs w:val="24"/>
          <w:lang w:eastAsia="el-GR"/>
        </w:rPr>
        <w:t xml:space="preserve">” </w:t>
      </w:r>
      <w:r w:rsidRPr="003901E7">
        <w:rPr>
          <w:i/>
          <w:iCs/>
          <w:color w:val="000000"/>
          <w:sz w:val="24"/>
          <w:szCs w:val="24"/>
          <w:lang w:eastAsia="el-GR"/>
        </w:rPr>
        <w:t>Applied Physics A</w:t>
      </w:r>
      <w:r>
        <w:rPr>
          <w:color w:val="000000"/>
          <w:sz w:val="24"/>
          <w:szCs w:val="24"/>
          <w:lang w:eastAsia="el-GR"/>
        </w:rPr>
        <w:t xml:space="preserve"> </w:t>
      </w:r>
      <w:r w:rsidRPr="003901E7">
        <w:rPr>
          <w:bCs/>
          <w:color w:val="000000"/>
          <w:sz w:val="24"/>
          <w:szCs w:val="24"/>
          <w:lang w:eastAsia="el-GR"/>
        </w:rPr>
        <w:t>89</w:t>
      </w:r>
      <w:r w:rsidRPr="003901E7">
        <w:rPr>
          <w:color w:val="000000"/>
          <w:sz w:val="24"/>
          <w:szCs w:val="24"/>
          <w:lang w:eastAsia="el-GR"/>
        </w:rPr>
        <w:t>:</w:t>
      </w:r>
      <w:r w:rsidR="00B80C18">
        <w:rPr>
          <w:color w:val="000000"/>
          <w:sz w:val="24"/>
          <w:szCs w:val="24"/>
          <w:lang w:eastAsia="el-GR"/>
        </w:rPr>
        <w:t xml:space="preserve"> 857–</w:t>
      </w:r>
      <w:r w:rsidRPr="003901E7">
        <w:rPr>
          <w:color w:val="000000"/>
          <w:sz w:val="24"/>
          <w:szCs w:val="24"/>
          <w:lang w:eastAsia="el-GR"/>
        </w:rPr>
        <w:t xml:space="preserve">63. </w:t>
      </w:r>
    </w:p>
    <w:p w:rsidR="003C4D7A" w:rsidRPr="003901E7" w:rsidRDefault="003C4D7A" w:rsidP="003901E7">
      <w:pPr>
        <w:spacing w:line="360" w:lineRule="auto"/>
        <w:rPr>
          <w:sz w:val="24"/>
          <w:szCs w:val="24"/>
        </w:rPr>
      </w:pPr>
    </w:p>
    <w:p w:rsidR="00742067" w:rsidRDefault="00742067" w:rsidP="003901E7">
      <w:pPr>
        <w:autoSpaceDE w:val="0"/>
        <w:autoSpaceDN w:val="0"/>
        <w:adjustRightInd w:val="0"/>
        <w:spacing w:line="360" w:lineRule="auto"/>
        <w:rPr>
          <w:bCs/>
          <w:sz w:val="24"/>
          <w:szCs w:val="24"/>
        </w:rPr>
      </w:pPr>
      <w:r w:rsidRPr="003901E7">
        <w:rPr>
          <w:bCs/>
          <w:sz w:val="24"/>
          <w:szCs w:val="24"/>
        </w:rPr>
        <w:t xml:space="preserve">Heginbotham </w:t>
      </w:r>
      <w:r>
        <w:rPr>
          <w:bCs/>
          <w:sz w:val="24"/>
          <w:szCs w:val="24"/>
        </w:rPr>
        <w:t>et al. 2010</w:t>
      </w:r>
    </w:p>
    <w:p w:rsidR="003C4D7A" w:rsidRPr="003901E7" w:rsidRDefault="003C4D7A" w:rsidP="003901E7">
      <w:pPr>
        <w:autoSpaceDE w:val="0"/>
        <w:autoSpaceDN w:val="0"/>
        <w:adjustRightInd w:val="0"/>
        <w:spacing w:line="360" w:lineRule="auto"/>
        <w:rPr>
          <w:rFonts w:eastAsia="MS Mincho"/>
          <w:bCs/>
          <w:sz w:val="24"/>
          <w:szCs w:val="24"/>
          <w:lang w:eastAsia="ja-JP"/>
        </w:rPr>
      </w:pPr>
      <w:r w:rsidRPr="003901E7">
        <w:rPr>
          <w:bCs/>
          <w:sz w:val="24"/>
          <w:szCs w:val="24"/>
        </w:rPr>
        <w:t>Heginbotham, A.</w:t>
      </w:r>
      <w:r w:rsidR="00742067">
        <w:rPr>
          <w:bCs/>
          <w:sz w:val="24"/>
          <w:szCs w:val="24"/>
        </w:rPr>
        <w:t>, A.</w:t>
      </w:r>
      <w:r w:rsidRPr="003901E7">
        <w:rPr>
          <w:bCs/>
          <w:sz w:val="24"/>
          <w:szCs w:val="24"/>
        </w:rPr>
        <w:t xml:space="preserve"> Bezur, </w:t>
      </w:r>
      <w:r w:rsidR="00742067">
        <w:rPr>
          <w:bCs/>
          <w:sz w:val="24"/>
          <w:szCs w:val="24"/>
        </w:rPr>
        <w:t>M</w:t>
      </w:r>
      <w:r w:rsidRPr="003901E7">
        <w:rPr>
          <w:bCs/>
          <w:sz w:val="24"/>
          <w:szCs w:val="24"/>
        </w:rPr>
        <w:t xml:space="preserve">. Bouchard, </w:t>
      </w:r>
      <w:r w:rsidR="00742067">
        <w:rPr>
          <w:bCs/>
          <w:sz w:val="24"/>
          <w:szCs w:val="24"/>
        </w:rPr>
        <w:t>J. M</w:t>
      </w:r>
      <w:r w:rsidRPr="003901E7">
        <w:rPr>
          <w:bCs/>
          <w:sz w:val="24"/>
          <w:szCs w:val="24"/>
        </w:rPr>
        <w:t xml:space="preserve">. Davis, </w:t>
      </w:r>
      <w:r w:rsidR="00742067">
        <w:rPr>
          <w:bCs/>
          <w:sz w:val="24"/>
          <w:szCs w:val="24"/>
        </w:rPr>
        <w:t>K</w:t>
      </w:r>
      <w:r w:rsidRPr="003901E7">
        <w:rPr>
          <w:bCs/>
          <w:sz w:val="24"/>
          <w:szCs w:val="24"/>
        </w:rPr>
        <w:t xml:space="preserve">. Eremin, </w:t>
      </w:r>
      <w:r w:rsidR="00742067">
        <w:rPr>
          <w:bCs/>
          <w:sz w:val="24"/>
          <w:szCs w:val="24"/>
        </w:rPr>
        <w:t>J. H</w:t>
      </w:r>
      <w:r w:rsidRPr="003901E7">
        <w:rPr>
          <w:bCs/>
          <w:sz w:val="24"/>
          <w:szCs w:val="24"/>
        </w:rPr>
        <w:t xml:space="preserve">. Frantz, </w:t>
      </w:r>
      <w:r w:rsidR="00742067">
        <w:rPr>
          <w:bCs/>
          <w:sz w:val="24"/>
          <w:szCs w:val="24"/>
        </w:rPr>
        <w:t>L</w:t>
      </w:r>
      <w:r w:rsidRPr="003901E7">
        <w:rPr>
          <w:bCs/>
          <w:sz w:val="24"/>
          <w:szCs w:val="24"/>
        </w:rPr>
        <w:t>. Glinsman, L.</w:t>
      </w:r>
      <w:r w:rsidR="00742067">
        <w:rPr>
          <w:bCs/>
          <w:sz w:val="24"/>
          <w:szCs w:val="24"/>
        </w:rPr>
        <w:t xml:space="preserve"> A.</w:t>
      </w:r>
      <w:r w:rsidRPr="003901E7">
        <w:rPr>
          <w:bCs/>
          <w:sz w:val="24"/>
          <w:szCs w:val="24"/>
        </w:rPr>
        <w:t xml:space="preserve"> Hayek, </w:t>
      </w:r>
      <w:r w:rsidR="00742067">
        <w:rPr>
          <w:bCs/>
          <w:sz w:val="24"/>
          <w:szCs w:val="24"/>
        </w:rPr>
        <w:t>D</w:t>
      </w:r>
      <w:r w:rsidRPr="003901E7">
        <w:rPr>
          <w:bCs/>
          <w:sz w:val="24"/>
          <w:szCs w:val="24"/>
        </w:rPr>
        <w:t xml:space="preserve">. Hook, </w:t>
      </w:r>
      <w:r w:rsidR="00742067">
        <w:rPr>
          <w:bCs/>
          <w:sz w:val="24"/>
          <w:szCs w:val="24"/>
        </w:rPr>
        <w:t>V.</w:t>
      </w:r>
      <w:r w:rsidRPr="003901E7">
        <w:rPr>
          <w:bCs/>
          <w:sz w:val="24"/>
          <w:szCs w:val="24"/>
        </w:rPr>
        <w:t xml:space="preserve"> Kantarelou, </w:t>
      </w:r>
      <w:r w:rsidR="00742067">
        <w:rPr>
          <w:bCs/>
          <w:sz w:val="24"/>
          <w:szCs w:val="24"/>
        </w:rPr>
        <w:t>A. G.</w:t>
      </w:r>
      <w:r w:rsidRPr="003901E7">
        <w:rPr>
          <w:bCs/>
          <w:sz w:val="24"/>
          <w:szCs w:val="24"/>
        </w:rPr>
        <w:t xml:space="preserve">. Karydas, </w:t>
      </w:r>
      <w:r w:rsidR="00742067">
        <w:rPr>
          <w:bCs/>
          <w:sz w:val="24"/>
          <w:szCs w:val="24"/>
        </w:rPr>
        <w:t>L</w:t>
      </w:r>
      <w:r w:rsidRPr="003901E7">
        <w:rPr>
          <w:bCs/>
          <w:sz w:val="24"/>
          <w:szCs w:val="24"/>
        </w:rPr>
        <w:t xml:space="preserve">. Lee, </w:t>
      </w:r>
      <w:r w:rsidR="00742067">
        <w:rPr>
          <w:bCs/>
          <w:sz w:val="24"/>
          <w:szCs w:val="24"/>
        </w:rPr>
        <w:t>J.</w:t>
      </w:r>
      <w:r w:rsidRPr="003901E7">
        <w:rPr>
          <w:bCs/>
          <w:sz w:val="24"/>
          <w:szCs w:val="24"/>
        </w:rPr>
        <w:t xml:space="preserve"> Mass, </w:t>
      </w:r>
      <w:r w:rsidR="00742067">
        <w:rPr>
          <w:bCs/>
          <w:sz w:val="24"/>
          <w:szCs w:val="24"/>
        </w:rPr>
        <w:t>C</w:t>
      </w:r>
      <w:r w:rsidRPr="003901E7">
        <w:rPr>
          <w:bCs/>
          <w:sz w:val="24"/>
          <w:szCs w:val="24"/>
        </w:rPr>
        <w:t xml:space="preserve">. Matsen, </w:t>
      </w:r>
      <w:r w:rsidR="00742067">
        <w:rPr>
          <w:bCs/>
          <w:sz w:val="24"/>
          <w:szCs w:val="24"/>
        </w:rPr>
        <w:t>B</w:t>
      </w:r>
      <w:r w:rsidRPr="003901E7">
        <w:rPr>
          <w:bCs/>
          <w:sz w:val="24"/>
          <w:szCs w:val="24"/>
        </w:rPr>
        <w:t xml:space="preserve">. McCarthy, </w:t>
      </w:r>
      <w:r w:rsidR="00742067">
        <w:rPr>
          <w:bCs/>
          <w:sz w:val="24"/>
          <w:szCs w:val="24"/>
        </w:rPr>
        <w:t>M</w:t>
      </w:r>
      <w:r w:rsidRPr="003901E7">
        <w:rPr>
          <w:bCs/>
          <w:sz w:val="24"/>
          <w:szCs w:val="24"/>
        </w:rPr>
        <w:t xml:space="preserve">. McGath, </w:t>
      </w:r>
      <w:r w:rsidR="00742067">
        <w:rPr>
          <w:bCs/>
          <w:sz w:val="24"/>
          <w:szCs w:val="24"/>
        </w:rPr>
        <w:t>A</w:t>
      </w:r>
      <w:r w:rsidRPr="003901E7">
        <w:rPr>
          <w:bCs/>
          <w:sz w:val="24"/>
          <w:szCs w:val="24"/>
        </w:rPr>
        <w:t xml:space="preserve">. Shugar, </w:t>
      </w:r>
      <w:r w:rsidR="00742067">
        <w:rPr>
          <w:bCs/>
          <w:sz w:val="24"/>
          <w:szCs w:val="24"/>
        </w:rPr>
        <w:t>J.</w:t>
      </w:r>
      <w:r w:rsidRPr="003901E7">
        <w:rPr>
          <w:bCs/>
          <w:sz w:val="24"/>
          <w:szCs w:val="24"/>
        </w:rPr>
        <w:t xml:space="preserve"> Sirois, </w:t>
      </w:r>
      <w:r w:rsidR="00742067">
        <w:rPr>
          <w:bCs/>
          <w:sz w:val="24"/>
          <w:szCs w:val="24"/>
        </w:rPr>
        <w:t>D</w:t>
      </w:r>
      <w:r w:rsidRPr="003901E7">
        <w:rPr>
          <w:bCs/>
          <w:sz w:val="24"/>
          <w:szCs w:val="24"/>
        </w:rPr>
        <w:t xml:space="preserve">. Smith, </w:t>
      </w:r>
      <w:r w:rsidR="00742067">
        <w:rPr>
          <w:bCs/>
          <w:sz w:val="24"/>
          <w:szCs w:val="24"/>
        </w:rPr>
        <w:t>and R</w:t>
      </w:r>
      <w:r w:rsidRPr="003901E7">
        <w:rPr>
          <w:bCs/>
          <w:sz w:val="24"/>
          <w:szCs w:val="24"/>
        </w:rPr>
        <w:t>.</w:t>
      </w:r>
      <w:r w:rsidR="00742067">
        <w:rPr>
          <w:bCs/>
          <w:sz w:val="24"/>
          <w:szCs w:val="24"/>
        </w:rPr>
        <w:t xml:space="preserve"> J.</w:t>
      </w:r>
      <w:r w:rsidRPr="003901E7">
        <w:rPr>
          <w:bCs/>
          <w:sz w:val="24"/>
          <w:szCs w:val="24"/>
        </w:rPr>
        <w:t xml:space="preserve"> Speakman. 2010. “An Evaluation of </w:t>
      </w:r>
      <w:r w:rsidR="00742067">
        <w:rPr>
          <w:bCs/>
          <w:sz w:val="24"/>
          <w:szCs w:val="24"/>
        </w:rPr>
        <w:t>I</w:t>
      </w:r>
      <w:r w:rsidRPr="003901E7">
        <w:rPr>
          <w:bCs/>
          <w:sz w:val="24"/>
          <w:szCs w:val="24"/>
        </w:rPr>
        <w:t xml:space="preserve">nter-laboratory </w:t>
      </w:r>
      <w:r w:rsidR="00742067">
        <w:rPr>
          <w:bCs/>
          <w:sz w:val="24"/>
          <w:szCs w:val="24"/>
        </w:rPr>
        <w:t>R</w:t>
      </w:r>
      <w:r w:rsidRPr="003901E7">
        <w:rPr>
          <w:bCs/>
          <w:sz w:val="24"/>
          <w:szCs w:val="24"/>
        </w:rPr>
        <w:t xml:space="preserve">eproducibility for </w:t>
      </w:r>
      <w:r w:rsidR="00742067">
        <w:rPr>
          <w:bCs/>
          <w:sz w:val="24"/>
          <w:szCs w:val="24"/>
        </w:rPr>
        <w:t>Q</w:t>
      </w:r>
      <w:r w:rsidRPr="003901E7">
        <w:rPr>
          <w:bCs/>
          <w:sz w:val="24"/>
          <w:szCs w:val="24"/>
        </w:rPr>
        <w:t xml:space="preserve">uantitative XRF of </w:t>
      </w:r>
      <w:r w:rsidR="00742067">
        <w:rPr>
          <w:bCs/>
          <w:sz w:val="24"/>
          <w:szCs w:val="24"/>
        </w:rPr>
        <w:t>H</w:t>
      </w:r>
      <w:r w:rsidRPr="003901E7">
        <w:rPr>
          <w:bCs/>
          <w:sz w:val="24"/>
          <w:szCs w:val="24"/>
        </w:rPr>
        <w:t>istoric</w:t>
      </w:r>
      <w:r w:rsidR="003901E7">
        <w:rPr>
          <w:bCs/>
          <w:sz w:val="24"/>
          <w:szCs w:val="24"/>
        </w:rPr>
        <w:t xml:space="preserve"> </w:t>
      </w:r>
      <w:r w:rsidR="00742067">
        <w:rPr>
          <w:bCs/>
          <w:sz w:val="24"/>
          <w:szCs w:val="24"/>
        </w:rPr>
        <w:t>C</w:t>
      </w:r>
      <w:r w:rsidRPr="003901E7">
        <w:rPr>
          <w:bCs/>
          <w:sz w:val="24"/>
          <w:szCs w:val="24"/>
        </w:rPr>
        <w:t xml:space="preserve">opper </w:t>
      </w:r>
      <w:r w:rsidR="00742067">
        <w:rPr>
          <w:bCs/>
          <w:sz w:val="24"/>
          <w:szCs w:val="24"/>
        </w:rPr>
        <w:t>A</w:t>
      </w:r>
      <w:r w:rsidRPr="003901E7">
        <w:rPr>
          <w:bCs/>
          <w:sz w:val="24"/>
          <w:szCs w:val="24"/>
        </w:rPr>
        <w:t>lloys</w:t>
      </w:r>
      <w:r w:rsidR="00742067">
        <w:rPr>
          <w:bCs/>
          <w:sz w:val="24"/>
          <w:szCs w:val="24"/>
        </w:rPr>
        <w:t>.”</w:t>
      </w:r>
      <w:r w:rsidRPr="003901E7">
        <w:rPr>
          <w:bCs/>
          <w:sz w:val="24"/>
          <w:szCs w:val="24"/>
        </w:rPr>
        <w:t xml:space="preserve"> In </w:t>
      </w:r>
      <w:r w:rsidRPr="003901E7">
        <w:rPr>
          <w:bCs/>
          <w:i/>
          <w:sz w:val="24"/>
          <w:szCs w:val="24"/>
        </w:rPr>
        <w:t>P</w:t>
      </w:r>
      <w:r w:rsidRPr="003901E7">
        <w:rPr>
          <w:bCs/>
          <w:i/>
          <w:color w:val="000000"/>
          <w:sz w:val="24"/>
          <w:szCs w:val="24"/>
        </w:rPr>
        <w:t>roceedings of the International Conference on Metal Conservation, METAL 2010</w:t>
      </w:r>
      <w:r w:rsidRPr="003901E7">
        <w:rPr>
          <w:bCs/>
          <w:color w:val="000000"/>
          <w:sz w:val="24"/>
          <w:szCs w:val="24"/>
        </w:rPr>
        <w:t>, ed</w:t>
      </w:r>
      <w:r w:rsidR="00742067">
        <w:rPr>
          <w:bCs/>
          <w:color w:val="000000"/>
          <w:sz w:val="24"/>
          <w:szCs w:val="24"/>
        </w:rPr>
        <w:t>.</w:t>
      </w:r>
      <w:r w:rsidRPr="003901E7">
        <w:rPr>
          <w:bCs/>
          <w:color w:val="000000"/>
          <w:sz w:val="24"/>
          <w:szCs w:val="24"/>
        </w:rPr>
        <w:t xml:space="preserve"> </w:t>
      </w:r>
      <w:r w:rsidR="00742067">
        <w:rPr>
          <w:bCs/>
          <w:color w:val="000000"/>
          <w:sz w:val="24"/>
          <w:szCs w:val="24"/>
        </w:rPr>
        <w:t>P.</w:t>
      </w:r>
      <w:r w:rsidR="00742067" w:rsidRPr="003901E7">
        <w:rPr>
          <w:bCs/>
          <w:color w:val="000000"/>
          <w:sz w:val="24"/>
          <w:szCs w:val="24"/>
        </w:rPr>
        <w:t xml:space="preserve"> </w:t>
      </w:r>
      <w:r w:rsidRPr="003901E7">
        <w:rPr>
          <w:bCs/>
          <w:color w:val="000000"/>
          <w:sz w:val="24"/>
          <w:szCs w:val="24"/>
        </w:rPr>
        <w:t xml:space="preserve">Mardikian, </w:t>
      </w:r>
      <w:r w:rsidR="00742067">
        <w:rPr>
          <w:bCs/>
          <w:color w:val="000000"/>
          <w:sz w:val="24"/>
          <w:szCs w:val="24"/>
        </w:rPr>
        <w:t>C.</w:t>
      </w:r>
      <w:r w:rsidR="00742067" w:rsidRPr="003901E7">
        <w:rPr>
          <w:bCs/>
          <w:color w:val="000000"/>
          <w:sz w:val="24"/>
          <w:szCs w:val="24"/>
        </w:rPr>
        <w:t xml:space="preserve"> </w:t>
      </w:r>
      <w:r w:rsidRPr="003901E7">
        <w:rPr>
          <w:bCs/>
          <w:color w:val="000000"/>
          <w:sz w:val="24"/>
          <w:szCs w:val="24"/>
        </w:rPr>
        <w:t xml:space="preserve">Chemello, </w:t>
      </w:r>
      <w:r w:rsidR="00742067">
        <w:rPr>
          <w:bCs/>
          <w:color w:val="000000"/>
          <w:sz w:val="24"/>
          <w:szCs w:val="24"/>
        </w:rPr>
        <w:t>C.</w:t>
      </w:r>
      <w:r w:rsidR="00742067" w:rsidRPr="003901E7">
        <w:rPr>
          <w:bCs/>
          <w:color w:val="000000"/>
          <w:sz w:val="24"/>
          <w:szCs w:val="24"/>
        </w:rPr>
        <w:t xml:space="preserve"> </w:t>
      </w:r>
      <w:r w:rsidRPr="003901E7">
        <w:rPr>
          <w:bCs/>
          <w:color w:val="000000"/>
          <w:sz w:val="24"/>
          <w:szCs w:val="24"/>
        </w:rPr>
        <w:t>Watters</w:t>
      </w:r>
      <w:r w:rsidR="00742067">
        <w:rPr>
          <w:bCs/>
          <w:color w:val="000000"/>
          <w:sz w:val="24"/>
          <w:szCs w:val="24"/>
        </w:rPr>
        <w:t>,</w:t>
      </w:r>
      <w:r w:rsidRPr="003901E7">
        <w:rPr>
          <w:bCs/>
          <w:color w:val="000000"/>
          <w:sz w:val="24"/>
          <w:szCs w:val="24"/>
        </w:rPr>
        <w:t xml:space="preserve"> and </w:t>
      </w:r>
      <w:r w:rsidR="00742067">
        <w:rPr>
          <w:bCs/>
          <w:color w:val="000000"/>
          <w:sz w:val="24"/>
          <w:szCs w:val="24"/>
        </w:rPr>
        <w:t>P.</w:t>
      </w:r>
      <w:r w:rsidR="00742067" w:rsidRPr="003901E7">
        <w:rPr>
          <w:bCs/>
          <w:color w:val="000000"/>
          <w:sz w:val="24"/>
          <w:szCs w:val="24"/>
        </w:rPr>
        <w:t xml:space="preserve"> </w:t>
      </w:r>
      <w:r w:rsidRPr="003901E7">
        <w:rPr>
          <w:bCs/>
          <w:color w:val="000000"/>
          <w:sz w:val="24"/>
          <w:szCs w:val="24"/>
        </w:rPr>
        <w:t>Hull, 178</w:t>
      </w:r>
      <w:r w:rsidR="00742067">
        <w:rPr>
          <w:bCs/>
          <w:color w:val="000000"/>
          <w:sz w:val="24"/>
          <w:szCs w:val="24"/>
        </w:rPr>
        <w:t>–</w:t>
      </w:r>
      <w:r w:rsidRPr="003901E7">
        <w:rPr>
          <w:bCs/>
          <w:color w:val="000000"/>
          <w:sz w:val="24"/>
          <w:szCs w:val="24"/>
        </w:rPr>
        <w:t>88</w:t>
      </w:r>
      <w:r w:rsidR="00742067">
        <w:rPr>
          <w:sz w:val="24"/>
          <w:szCs w:val="24"/>
        </w:rPr>
        <w:t>.</w:t>
      </w:r>
      <w:r w:rsidRPr="003901E7">
        <w:rPr>
          <w:sz w:val="24"/>
          <w:szCs w:val="24"/>
        </w:rPr>
        <w:t xml:space="preserve"> Charleston</w:t>
      </w:r>
      <w:r w:rsidR="00131458">
        <w:rPr>
          <w:sz w:val="24"/>
          <w:szCs w:val="24"/>
        </w:rPr>
        <w:t xml:space="preserve"> (SC): Clemson University.</w:t>
      </w:r>
    </w:p>
    <w:p w:rsidR="003C4D7A" w:rsidRPr="003901E7" w:rsidRDefault="003C4D7A" w:rsidP="003901E7">
      <w:pPr>
        <w:autoSpaceDE w:val="0"/>
        <w:autoSpaceDN w:val="0"/>
        <w:adjustRightInd w:val="0"/>
        <w:spacing w:line="360" w:lineRule="auto"/>
        <w:rPr>
          <w:rFonts w:eastAsia="MS Mincho"/>
          <w:bCs/>
          <w:sz w:val="24"/>
          <w:szCs w:val="24"/>
          <w:lang w:eastAsia="ja-JP"/>
        </w:rPr>
      </w:pPr>
    </w:p>
    <w:p w:rsidR="00131458" w:rsidRDefault="00131458" w:rsidP="003901E7">
      <w:pPr>
        <w:autoSpaceDE w:val="0"/>
        <w:autoSpaceDN w:val="0"/>
        <w:adjustRightInd w:val="0"/>
        <w:spacing w:line="360" w:lineRule="auto"/>
        <w:rPr>
          <w:color w:val="000000"/>
          <w:sz w:val="24"/>
          <w:szCs w:val="24"/>
          <w:lang w:eastAsia="el-GR"/>
        </w:rPr>
      </w:pPr>
      <w:r w:rsidRPr="003901E7">
        <w:rPr>
          <w:color w:val="000000"/>
          <w:sz w:val="24"/>
          <w:szCs w:val="24"/>
          <w:lang w:eastAsia="el-GR"/>
        </w:rPr>
        <w:t xml:space="preserve">Ingelbrecht </w:t>
      </w:r>
      <w:r>
        <w:rPr>
          <w:color w:val="000000"/>
          <w:sz w:val="24"/>
          <w:szCs w:val="24"/>
          <w:lang w:eastAsia="el-GR"/>
        </w:rPr>
        <w:t>et al. 2001</w:t>
      </w:r>
    </w:p>
    <w:p w:rsidR="003C4D7A" w:rsidRPr="003901E7" w:rsidRDefault="003C4D7A" w:rsidP="003901E7">
      <w:pPr>
        <w:autoSpaceDE w:val="0"/>
        <w:autoSpaceDN w:val="0"/>
        <w:adjustRightInd w:val="0"/>
        <w:spacing w:line="360" w:lineRule="auto"/>
        <w:rPr>
          <w:color w:val="000000"/>
          <w:sz w:val="24"/>
          <w:szCs w:val="24"/>
          <w:lang w:eastAsia="el-GR"/>
        </w:rPr>
      </w:pPr>
      <w:r w:rsidRPr="003901E7">
        <w:rPr>
          <w:color w:val="000000"/>
          <w:sz w:val="24"/>
          <w:szCs w:val="24"/>
          <w:lang w:eastAsia="el-GR"/>
        </w:rPr>
        <w:t>Ingelbrecht, C.</w:t>
      </w:r>
      <w:r w:rsidR="00131458">
        <w:rPr>
          <w:color w:val="000000"/>
          <w:sz w:val="24"/>
          <w:szCs w:val="24"/>
          <w:lang w:eastAsia="el-GR"/>
        </w:rPr>
        <w:t>, A.</w:t>
      </w:r>
      <w:r w:rsidRPr="003901E7">
        <w:rPr>
          <w:color w:val="000000"/>
          <w:sz w:val="24"/>
          <w:szCs w:val="24"/>
          <w:lang w:eastAsia="el-GR"/>
        </w:rPr>
        <w:t xml:space="preserve"> Andriaens, </w:t>
      </w:r>
      <w:r w:rsidR="00131458">
        <w:rPr>
          <w:color w:val="000000"/>
          <w:sz w:val="24"/>
          <w:szCs w:val="24"/>
          <w:lang w:eastAsia="el-GR"/>
        </w:rPr>
        <w:t xml:space="preserve">and E. </w:t>
      </w:r>
      <w:r w:rsidRPr="003901E7">
        <w:rPr>
          <w:color w:val="000000"/>
          <w:sz w:val="24"/>
          <w:szCs w:val="24"/>
          <w:lang w:eastAsia="el-GR"/>
        </w:rPr>
        <w:t xml:space="preserve">A. Maler. 2001. “The </w:t>
      </w:r>
      <w:r w:rsidR="00131458">
        <w:rPr>
          <w:color w:val="000000"/>
          <w:sz w:val="24"/>
          <w:szCs w:val="24"/>
          <w:lang w:eastAsia="el-GR"/>
        </w:rPr>
        <w:t>C</w:t>
      </w:r>
      <w:r w:rsidRPr="003901E7">
        <w:rPr>
          <w:color w:val="000000"/>
          <w:sz w:val="24"/>
          <w:szCs w:val="24"/>
          <w:lang w:eastAsia="el-GR"/>
        </w:rPr>
        <w:t xml:space="preserve">ertification of </w:t>
      </w:r>
      <w:r w:rsidR="00131458">
        <w:rPr>
          <w:color w:val="000000"/>
          <w:sz w:val="24"/>
          <w:szCs w:val="24"/>
          <w:lang w:eastAsia="el-GR"/>
        </w:rPr>
        <w:t>A</w:t>
      </w:r>
      <w:r w:rsidRPr="003901E7">
        <w:rPr>
          <w:color w:val="000000"/>
          <w:sz w:val="24"/>
          <w:szCs w:val="24"/>
          <w:lang w:eastAsia="el-GR"/>
        </w:rPr>
        <w:t xml:space="preserve">rsenic, </w:t>
      </w:r>
      <w:r w:rsidR="00131458">
        <w:rPr>
          <w:color w:val="000000"/>
          <w:sz w:val="24"/>
          <w:szCs w:val="24"/>
          <w:lang w:eastAsia="el-GR"/>
        </w:rPr>
        <w:t>L</w:t>
      </w:r>
      <w:r w:rsidRPr="003901E7">
        <w:rPr>
          <w:color w:val="000000"/>
          <w:sz w:val="24"/>
          <w:szCs w:val="24"/>
          <w:lang w:eastAsia="el-GR"/>
        </w:rPr>
        <w:t xml:space="preserve">ead, </w:t>
      </w:r>
      <w:r w:rsidR="00131458">
        <w:rPr>
          <w:color w:val="000000"/>
          <w:sz w:val="24"/>
          <w:szCs w:val="24"/>
          <w:lang w:eastAsia="el-GR"/>
        </w:rPr>
        <w:t>T</w:t>
      </w:r>
      <w:r w:rsidRPr="003901E7">
        <w:rPr>
          <w:color w:val="000000"/>
          <w:sz w:val="24"/>
          <w:szCs w:val="24"/>
          <w:lang w:eastAsia="el-GR"/>
        </w:rPr>
        <w:t xml:space="preserve">in and </w:t>
      </w:r>
      <w:r w:rsidR="00131458">
        <w:rPr>
          <w:color w:val="000000"/>
          <w:sz w:val="24"/>
          <w:szCs w:val="24"/>
          <w:lang w:eastAsia="el-GR"/>
        </w:rPr>
        <w:t>Z</w:t>
      </w:r>
      <w:r w:rsidRPr="003901E7">
        <w:rPr>
          <w:color w:val="000000"/>
          <w:sz w:val="24"/>
          <w:szCs w:val="24"/>
          <w:lang w:eastAsia="el-GR"/>
        </w:rPr>
        <w:t>inc (</w:t>
      </w:r>
      <w:r w:rsidR="00131458">
        <w:rPr>
          <w:color w:val="000000"/>
          <w:sz w:val="24"/>
          <w:szCs w:val="24"/>
          <w:lang w:eastAsia="el-GR"/>
        </w:rPr>
        <w:t>M</w:t>
      </w:r>
      <w:r w:rsidRPr="003901E7">
        <w:rPr>
          <w:color w:val="000000"/>
          <w:sz w:val="24"/>
          <w:szCs w:val="24"/>
          <w:lang w:eastAsia="el-GR"/>
        </w:rPr>
        <w:t xml:space="preserve">ass </w:t>
      </w:r>
      <w:r w:rsidR="00131458">
        <w:rPr>
          <w:color w:val="000000"/>
          <w:sz w:val="24"/>
          <w:szCs w:val="24"/>
          <w:lang w:eastAsia="el-GR"/>
        </w:rPr>
        <w:t>F</w:t>
      </w:r>
      <w:r w:rsidRPr="003901E7">
        <w:rPr>
          <w:color w:val="000000"/>
          <w:sz w:val="24"/>
          <w:szCs w:val="24"/>
          <w:lang w:eastAsia="el-GR"/>
        </w:rPr>
        <w:t xml:space="preserve">ractions) in </w:t>
      </w:r>
      <w:r w:rsidR="00131458">
        <w:rPr>
          <w:color w:val="000000"/>
          <w:sz w:val="24"/>
          <w:szCs w:val="24"/>
          <w:lang w:eastAsia="el-GR"/>
        </w:rPr>
        <w:t>F</w:t>
      </w:r>
      <w:r w:rsidRPr="003901E7">
        <w:rPr>
          <w:color w:val="000000"/>
          <w:sz w:val="24"/>
          <w:szCs w:val="24"/>
          <w:lang w:eastAsia="el-GR"/>
        </w:rPr>
        <w:t xml:space="preserve">ive </w:t>
      </w:r>
      <w:r w:rsidR="00131458">
        <w:rPr>
          <w:color w:val="000000"/>
          <w:sz w:val="24"/>
          <w:szCs w:val="24"/>
          <w:lang w:eastAsia="el-GR"/>
        </w:rPr>
        <w:t>C</w:t>
      </w:r>
      <w:r w:rsidRPr="003901E7">
        <w:rPr>
          <w:color w:val="000000"/>
          <w:sz w:val="24"/>
          <w:szCs w:val="24"/>
          <w:lang w:eastAsia="el-GR"/>
        </w:rPr>
        <w:t xml:space="preserve">opper </w:t>
      </w:r>
      <w:r w:rsidR="00131458">
        <w:rPr>
          <w:color w:val="000000"/>
          <w:sz w:val="24"/>
          <w:szCs w:val="24"/>
          <w:lang w:eastAsia="el-GR"/>
        </w:rPr>
        <w:t>A</w:t>
      </w:r>
      <w:r w:rsidRPr="003901E7">
        <w:rPr>
          <w:color w:val="000000"/>
          <w:sz w:val="24"/>
          <w:szCs w:val="24"/>
          <w:lang w:eastAsia="el-GR"/>
        </w:rPr>
        <w:t>lloys, BCR-691</w:t>
      </w:r>
      <w:r w:rsidR="00131458">
        <w:rPr>
          <w:color w:val="000000"/>
          <w:sz w:val="24"/>
          <w:szCs w:val="24"/>
          <w:lang w:eastAsia="el-GR"/>
        </w:rPr>
        <w:t>.</w:t>
      </w:r>
      <w:r w:rsidRPr="003901E7">
        <w:rPr>
          <w:color w:val="000000"/>
          <w:sz w:val="24"/>
          <w:szCs w:val="24"/>
          <w:lang w:eastAsia="el-GR"/>
        </w:rPr>
        <w:t xml:space="preserve">” </w:t>
      </w:r>
      <w:r w:rsidRPr="003901E7">
        <w:rPr>
          <w:i/>
          <w:color w:val="000000"/>
          <w:sz w:val="24"/>
          <w:szCs w:val="24"/>
          <w:lang w:eastAsia="el-GR"/>
        </w:rPr>
        <w:t>EUR 19778/1EN</w:t>
      </w:r>
      <w:r w:rsidRPr="003901E7">
        <w:rPr>
          <w:color w:val="000000"/>
          <w:sz w:val="24"/>
          <w:szCs w:val="24"/>
          <w:lang w:eastAsia="el-GR"/>
        </w:rPr>
        <w:t xml:space="preserve">. </w:t>
      </w:r>
    </w:p>
    <w:p w:rsidR="003C4D7A" w:rsidRPr="003901E7" w:rsidRDefault="003C4D7A" w:rsidP="003901E7">
      <w:pPr>
        <w:autoSpaceDE w:val="0"/>
        <w:autoSpaceDN w:val="0"/>
        <w:adjustRightInd w:val="0"/>
        <w:spacing w:line="360" w:lineRule="auto"/>
        <w:rPr>
          <w:rFonts w:eastAsia="MS Mincho"/>
          <w:bCs/>
          <w:sz w:val="24"/>
          <w:szCs w:val="24"/>
          <w:lang w:eastAsia="ja-JP"/>
        </w:rPr>
      </w:pPr>
    </w:p>
    <w:p w:rsidR="00131458" w:rsidRDefault="00CF3E6A" w:rsidP="003901E7">
      <w:pPr>
        <w:spacing w:line="360" w:lineRule="auto"/>
        <w:rPr>
          <w:sz w:val="24"/>
          <w:szCs w:val="24"/>
        </w:rPr>
      </w:pPr>
      <w:hyperlink r:id="rId13" w:anchor="author-details-1" w:tooltip="View author's information" w:history="1">
        <w:r w:rsidR="00131458" w:rsidRPr="003901E7">
          <w:rPr>
            <w:sz w:val="24"/>
            <w:szCs w:val="24"/>
          </w:rPr>
          <w:t>Ingo</w:t>
        </w:r>
      </w:hyperlink>
      <w:r w:rsidR="00131458">
        <w:rPr>
          <w:sz w:val="24"/>
          <w:szCs w:val="24"/>
        </w:rPr>
        <w:t xml:space="preserve"> </w:t>
      </w:r>
      <w:r w:rsidR="005F309F">
        <w:rPr>
          <w:sz w:val="24"/>
          <w:szCs w:val="24"/>
        </w:rPr>
        <w:t xml:space="preserve">et al. </w:t>
      </w:r>
      <w:r w:rsidR="00131458">
        <w:rPr>
          <w:sz w:val="24"/>
          <w:szCs w:val="24"/>
        </w:rPr>
        <w:t>2004</w:t>
      </w:r>
    </w:p>
    <w:p w:rsidR="003C4D7A" w:rsidRPr="003901E7" w:rsidRDefault="00CF3E6A" w:rsidP="003901E7">
      <w:pPr>
        <w:spacing w:line="360" w:lineRule="auto"/>
        <w:rPr>
          <w:bCs/>
          <w:sz w:val="24"/>
          <w:szCs w:val="24"/>
        </w:rPr>
      </w:pPr>
      <w:hyperlink r:id="rId14" w:anchor="author-details-1" w:tooltip="View author's information" w:history="1">
        <w:r w:rsidR="003C4D7A" w:rsidRPr="003901E7">
          <w:rPr>
            <w:sz w:val="24"/>
            <w:szCs w:val="24"/>
          </w:rPr>
          <w:t>Ingo</w:t>
        </w:r>
      </w:hyperlink>
      <w:r w:rsidR="003C4D7A" w:rsidRPr="003901E7">
        <w:rPr>
          <w:sz w:val="24"/>
          <w:szCs w:val="24"/>
        </w:rPr>
        <w:t>, G.</w:t>
      </w:r>
      <w:r w:rsidR="00131458">
        <w:rPr>
          <w:sz w:val="24"/>
          <w:szCs w:val="24"/>
        </w:rPr>
        <w:t xml:space="preserve"> </w:t>
      </w:r>
      <w:r w:rsidR="003C4D7A" w:rsidRPr="003901E7">
        <w:rPr>
          <w:sz w:val="24"/>
          <w:szCs w:val="24"/>
        </w:rPr>
        <w:t>M.</w:t>
      </w:r>
      <w:r w:rsidR="00131458">
        <w:rPr>
          <w:sz w:val="24"/>
          <w:szCs w:val="24"/>
        </w:rPr>
        <w:t>, E.</w:t>
      </w:r>
      <w:r w:rsidR="003C4D7A" w:rsidRPr="003901E7">
        <w:rPr>
          <w:sz w:val="24"/>
          <w:szCs w:val="24"/>
        </w:rPr>
        <w:t xml:space="preserve"> </w:t>
      </w:r>
      <w:hyperlink r:id="rId15" w:anchor="author-details-2" w:tooltip="View author's information" w:history="1">
        <w:r w:rsidR="003C4D7A" w:rsidRPr="003901E7">
          <w:rPr>
            <w:sz w:val="24"/>
            <w:szCs w:val="24"/>
          </w:rPr>
          <w:t>Angelini</w:t>
        </w:r>
      </w:hyperlink>
      <w:r w:rsidR="003C4D7A" w:rsidRPr="003901E7">
        <w:rPr>
          <w:sz w:val="24"/>
          <w:szCs w:val="24"/>
        </w:rPr>
        <w:t>, </w:t>
      </w:r>
      <w:r w:rsidR="00131458">
        <w:rPr>
          <w:sz w:val="24"/>
          <w:szCs w:val="24"/>
        </w:rPr>
        <w:t>T</w:t>
      </w:r>
      <w:r w:rsidR="003C4D7A" w:rsidRPr="003901E7">
        <w:rPr>
          <w:sz w:val="24"/>
          <w:szCs w:val="24"/>
        </w:rPr>
        <w:t>.</w:t>
      </w:r>
      <w:hyperlink r:id="rId16" w:anchor="author-details-3" w:tooltip="View author's information" w:history="1">
        <w:r w:rsidR="003C4D7A" w:rsidRPr="003901E7">
          <w:rPr>
            <w:sz w:val="24"/>
            <w:szCs w:val="24"/>
          </w:rPr>
          <w:t> de Caro</w:t>
        </w:r>
      </w:hyperlink>
      <w:r w:rsidR="003C4D7A" w:rsidRPr="003901E7">
        <w:rPr>
          <w:sz w:val="24"/>
          <w:szCs w:val="24"/>
        </w:rPr>
        <w:t>, </w:t>
      </w:r>
      <w:r w:rsidR="00131458">
        <w:rPr>
          <w:sz w:val="24"/>
          <w:szCs w:val="24"/>
        </w:rPr>
        <w:t>G</w:t>
      </w:r>
      <w:r w:rsidR="003C4D7A" w:rsidRPr="003901E7">
        <w:rPr>
          <w:sz w:val="24"/>
          <w:szCs w:val="24"/>
        </w:rPr>
        <w:t xml:space="preserve">. </w:t>
      </w:r>
      <w:hyperlink r:id="rId17" w:anchor="author-details-4" w:tooltip="View author's information" w:history="1">
        <w:r w:rsidR="003C4D7A" w:rsidRPr="003901E7">
          <w:rPr>
            <w:sz w:val="24"/>
            <w:szCs w:val="24"/>
          </w:rPr>
          <w:t>Bultrini</w:t>
        </w:r>
      </w:hyperlink>
      <w:r w:rsidR="003C4D7A" w:rsidRPr="003901E7">
        <w:rPr>
          <w:sz w:val="24"/>
          <w:szCs w:val="24"/>
        </w:rPr>
        <w:t>, </w:t>
      </w:r>
      <w:r w:rsidR="00131458">
        <w:rPr>
          <w:sz w:val="24"/>
          <w:szCs w:val="24"/>
        </w:rPr>
        <w:t>and I</w:t>
      </w:r>
      <w:r w:rsidR="003C4D7A" w:rsidRPr="003901E7">
        <w:rPr>
          <w:sz w:val="24"/>
          <w:szCs w:val="24"/>
        </w:rPr>
        <w:t>.</w:t>
      </w:r>
      <w:r w:rsidR="003901E7">
        <w:rPr>
          <w:sz w:val="24"/>
          <w:szCs w:val="24"/>
        </w:rPr>
        <w:t xml:space="preserve"> </w:t>
      </w:r>
      <w:hyperlink r:id="rId18" w:anchor="author-details-5" w:tooltip="View author's information" w:history="1">
        <w:r w:rsidR="003C4D7A" w:rsidRPr="003901E7">
          <w:rPr>
            <w:sz w:val="24"/>
            <w:szCs w:val="24"/>
          </w:rPr>
          <w:t>Calliari</w:t>
        </w:r>
      </w:hyperlink>
      <w:r w:rsidR="003C4D7A" w:rsidRPr="003901E7">
        <w:rPr>
          <w:sz w:val="24"/>
          <w:szCs w:val="24"/>
        </w:rPr>
        <w:t>. 2004. “</w:t>
      </w:r>
      <w:r w:rsidR="003C4D7A" w:rsidRPr="003901E7">
        <w:rPr>
          <w:bCs/>
          <w:sz w:val="24"/>
          <w:szCs w:val="24"/>
        </w:rPr>
        <w:t xml:space="preserve">Combined </w:t>
      </w:r>
      <w:r w:rsidR="00131458">
        <w:rPr>
          <w:bCs/>
          <w:sz w:val="24"/>
          <w:szCs w:val="24"/>
        </w:rPr>
        <w:t>U</w:t>
      </w:r>
      <w:r w:rsidR="003C4D7A" w:rsidRPr="003901E7">
        <w:rPr>
          <w:bCs/>
          <w:sz w:val="24"/>
          <w:szCs w:val="24"/>
        </w:rPr>
        <w:t xml:space="preserve">se of GDOES, SEM + EDS, XRD and OM for the </w:t>
      </w:r>
      <w:r w:rsidR="00131458">
        <w:rPr>
          <w:bCs/>
          <w:sz w:val="24"/>
          <w:szCs w:val="24"/>
        </w:rPr>
        <w:t>M</w:t>
      </w:r>
      <w:r w:rsidR="003C4D7A" w:rsidRPr="003901E7">
        <w:rPr>
          <w:bCs/>
          <w:sz w:val="24"/>
          <w:szCs w:val="24"/>
        </w:rPr>
        <w:t xml:space="preserve">icrochemical </w:t>
      </w:r>
      <w:r w:rsidR="00131458">
        <w:rPr>
          <w:bCs/>
          <w:sz w:val="24"/>
          <w:szCs w:val="24"/>
        </w:rPr>
        <w:t>S</w:t>
      </w:r>
      <w:r w:rsidR="003C4D7A" w:rsidRPr="003901E7">
        <w:rPr>
          <w:bCs/>
          <w:sz w:val="24"/>
          <w:szCs w:val="24"/>
        </w:rPr>
        <w:t xml:space="preserve">tudy of the </w:t>
      </w:r>
      <w:r w:rsidR="00131458">
        <w:rPr>
          <w:bCs/>
          <w:sz w:val="24"/>
          <w:szCs w:val="24"/>
        </w:rPr>
        <w:t>C</w:t>
      </w:r>
      <w:r w:rsidR="003C4D7A" w:rsidRPr="003901E7">
        <w:rPr>
          <w:bCs/>
          <w:sz w:val="24"/>
          <w:szCs w:val="24"/>
        </w:rPr>
        <w:t xml:space="preserve">orrosion </w:t>
      </w:r>
      <w:r w:rsidR="00131458">
        <w:rPr>
          <w:bCs/>
          <w:sz w:val="24"/>
          <w:szCs w:val="24"/>
        </w:rPr>
        <w:t>P</w:t>
      </w:r>
      <w:r w:rsidR="003C4D7A" w:rsidRPr="003901E7">
        <w:rPr>
          <w:bCs/>
          <w:sz w:val="24"/>
          <w:szCs w:val="24"/>
        </w:rPr>
        <w:t xml:space="preserve">roducts on </w:t>
      </w:r>
      <w:r w:rsidR="00131458">
        <w:rPr>
          <w:bCs/>
          <w:sz w:val="24"/>
          <w:szCs w:val="24"/>
        </w:rPr>
        <w:t>A</w:t>
      </w:r>
      <w:r w:rsidR="003C4D7A" w:rsidRPr="003901E7">
        <w:rPr>
          <w:bCs/>
          <w:sz w:val="24"/>
          <w:szCs w:val="24"/>
        </w:rPr>
        <w:t xml:space="preserve">rchaeological </w:t>
      </w:r>
      <w:r w:rsidR="00131458">
        <w:rPr>
          <w:bCs/>
          <w:sz w:val="24"/>
          <w:szCs w:val="24"/>
        </w:rPr>
        <w:t>B</w:t>
      </w:r>
      <w:r w:rsidR="003C4D7A" w:rsidRPr="003901E7">
        <w:rPr>
          <w:bCs/>
          <w:sz w:val="24"/>
          <w:szCs w:val="24"/>
        </w:rPr>
        <w:t>ronzes</w:t>
      </w:r>
      <w:r w:rsidR="00131458">
        <w:rPr>
          <w:bCs/>
          <w:sz w:val="24"/>
          <w:szCs w:val="24"/>
        </w:rPr>
        <w:t>.</w:t>
      </w:r>
      <w:r w:rsidR="003C4D7A" w:rsidRPr="003901E7">
        <w:rPr>
          <w:bCs/>
          <w:sz w:val="24"/>
          <w:szCs w:val="24"/>
        </w:rPr>
        <w:t xml:space="preserve">” </w:t>
      </w:r>
      <w:r w:rsidR="003C4D7A" w:rsidRPr="003901E7">
        <w:rPr>
          <w:bCs/>
          <w:i/>
          <w:sz w:val="24"/>
          <w:szCs w:val="24"/>
        </w:rPr>
        <w:t xml:space="preserve">Applied Physics A </w:t>
      </w:r>
      <w:r w:rsidR="003C4D7A" w:rsidRPr="003901E7">
        <w:rPr>
          <w:bCs/>
          <w:sz w:val="24"/>
          <w:szCs w:val="24"/>
        </w:rPr>
        <w:t>79:</w:t>
      </w:r>
      <w:r w:rsidR="00131458">
        <w:rPr>
          <w:bCs/>
          <w:sz w:val="24"/>
          <w:szCs w:val="24"/>
        </w:rPr>
        <w:t xml:space="preserve"> </w:t>
      </w:r>
      <w:r w:rsidR="003C4D7A" w:rsidRPr="003901E7">
        <w:rPr>
          <w:bCs/>
          <w:sz w:val="24"/>
          <w:szCs w:val="24"/>
        </w:rPr>
        <w:t>199</w:t>
      </w:r>
      <w:r w:rsidR="00131458">
        <w:rPr>
          <w:bCs/>
          <w:sz w:val="24"/>
          <w:szCs w:val="24"/>
        </w:rPr>
        <w:t>–</w:t>
      </w:r>
      <w:r w:rsidR="003C4D7A" w:rsidRPr="003901E7">
        <w:rPr>
          <w:bCs/>
          <w:sz w:val="24"/>
          <w:szCs w:val="24"/>
        </w:rPr>
        <w:t>203.</w:t>
      </w:r>
    </w:p>
    <w:p w:rsidR="003C4D7A" w:rsidRPr="003901E7" w:rsidRDefault="003C4D7A" w:rsidP="003901E7">
      <w:pPr>
        <w:autoSpaceDE w:val="0"/>
        <w:autoSpaceDN w:val="0"/>
        <w:adjustRightInd w:val="0"/>
        <w:spacing w:line="360" w:lineRule="auto"/>
        <w:rPr>
          <w:rFonts w:eastAsia="MS Mincho"/>
          <w:bCs/>
          <w:sz w:val="24"/>
          <w:szCs w:val="24"/>
          <w:lang w:eastAsia="ja-JP"/>
        </w:rPr>
      </w:pPr>
    </w:p>
    <w:p w:rsidR="00131458" w:rsidRDefault="00131458" w:rsidP="003901E7">
      <w:pPr>
        <w:spacing w:line="360" w:lineRule="auto"/>
        <w:rPr>
          <w:sz w:val="24"/>
          <w:szCs w:val="24"/>
        </w:rPr>
      </w:pPr>
      <w:r w:rsidRPr="003901E7">
        <w:rPr>
          <w:sz w:val="24"/>
          <w:szCs w:val="24"/>
        </w:rPr>
        <w:t xml:space="preserve">Kantarelou </w:t>
      </w:r>
      <w:r>
        <w:rPr>
          <w:sz w:val="24"/>
          <w:szCs w:val="24"/>
        </w:rPr>
        <w:t>et al. 2007a</w:t>
      </w:r>
    </w:p>
    <w:p w:rsidR="003C4D7A" w:rsidRPr="003901E7" w:rsidRDefault="003C4D7A" w:rsidP="003901E7">
      <w:pPr>
        <w:spacing w:line="360" w:lineRule="auto"/>
        <w:rPr>
          <w:sz w:val="24"/>
          <w:szCs w:val="24"/>
        </w:rPr>
      </w:pPr>
      <w:r w:rsidRPr="003901E7">
        <w:rPr>
          <w:sz w:val="24"/>
          <w:szCs w:val="24"/>
        </w:rPr>
        <w:t>Kantarelou, V.</w:t>
      </w:r>
      <w:r w:rsidR="00131458">
        <w:rPr>
          <w:sz w:val="24"/>
          <w:szCs w:val="24"/>
        </w:rPr>
        <w:t>, Ch.</w:t>
      </w:r>
      <w:r w:rsidRPr="003901E7">
        <w:rPr>
          <w:sz w:val="24"/>
          <w:szCs w:val="24"/>
        </w:rPr>
        <w:t xml:space="preserve"> Zarkadas, </w:t>
      </w:r>
      <w:r w:rsidR="00131458">
        <w:rPr>
          <w:sz w:val="24"/>
          <w:szCs w:val="24"/>
        </w:rPr>
        <w:t>A</w:t>
      </w:r>
      <w:r w:rsidRPr="003901E7">
        <w:rPr>
          <w:sz w:val="24"/>
          <w:szCs w:val="24"/>
        </w:rPr>
        <w:t xml:space="preserve">. Giakoumaki, </w:t>
      </w:r>
      <w:r w:rsidR="00131458">
        <w:rPr>
          <w:sz w:val="24"/>
          <w:szCs w:val="24"/>
        </w:rPr>
        <w:t>M.</w:t>
      </w:r>
      <w:r w:rsidR="00131458" w:rsidRPr="003901E7">
        <w:rPr>
          <w:sz w:val="24"/>
          <w:szCs w:val="24"/>
        </w:rPr>
        <w:t xml:space="preserve"> </w:t>
      </w:r>
      <w:r w:rsidRPr="003901E7">
        <w:rPr>
          <w:sz w:val="24"/>
          <w:szCs w:val="24"/>
        </w:rPr>
        <w:t xml:space="preserve">Giannoulaki, </w:t>
      </w:r>
      <w:r w:rsidR="00131458">
        <w:rPr>
          <w:sz w:val="24"/>
          <w:szCs w:val="24"/>
        </w:rPr>
        <w:t>A. G.</w:t>
      </w:r>
      <w:r w:rsidRPr="003901E7">
        <w:rPr>
          <w:sz w:val="24"/>
          <w:szCs w:val="24"/>
        </w:rPr>
        <w:t xml:space="preserve">. Karydas, </w:t>
      </w:r>
      <w:r w:rsidR="00131458">
        <w:rPr>
          <w:sz w:val="24"/>
          <w:szCs w:val="24"/>
        </w:rPr>
        <w:t>D</w:t>
      </w:r>
      <w:r w:rsidRPr="003901E7">
        <w:rPr>
          <w:sz w:val="24"/>
          <w:szCs w:val="24"/>
        </w:rPr>
        <w:t xml:space="preserve">. Anglos, </w:t>
      </w:r>
      <w:r w:rsidR="00131458">
        <w:rPr>
          <w:sz w:val="24"/>
          <w:szCs w:val="24"/>
        </w:rPr>
        <w:t>and V</w:t>
      </w:r>
      <w:r w:rsidRPr="003901E7">
        <w:rPr>
          <w:sz w:val="24"/>
          <w:szCs w:val="24"/>
        </w:rPr>
        <w:t>. Argyropoulos. 2007.</w:t>
      </w:r>
      <w:r w:rsidRPr="003901E7">
        <w:rPr>
          <w:i/>
          <w:sz w:val="24"/>
          <w:szCs w:val="24"/>
        </w:rPr>
        <w:t xml:space="preserve"> “</w:t>
      </w:r>
      <w:r w:rsidRPr="003901E7">
        <w:rPr>
          <w:sz w:val="24"/>
          <w:szCs w:val="24"/>
        </w:rPr>
        <w:t xml:space="preserve">A </w:t>
      </w:r>
      <w:r w:rsidR="00131458">
        <w:rPr>
          <w:sz w:val="24"/>
          <w:szCs w:val="24"/>
        </w:rPr>
        <w:t>N</w:t>
      </w:r>
      <w:r w:rsidRPr="003901E7">
        <w:rPr>
          <w:sz w:val="24"/>
          <w:szCs w:val="24"/>
        </w:rPr>
        <w:t xml:space="preserve">ovel </w:t>
      </w:r>
      <w:r w:rsidR="00131458">
        <w:rPr>
          <w:sz w:val="24"/>
          <w:szCs w:val="24"/>
        </w:rPr>
        <w:t>A</w:t>
      </w:r>
      <w:r w:rsidRPr="003901E7">
        <w:rPr>
          <w:sz w:val="24"/>
          <w:szCs w:val="24"/>
        </w:rPr>
        <w:t xml:space="preserve">pproach on the </w:t>
      </w:r>
      <w:r w:rsidR="00131458">
        <w:rPr>
          <w:sz w:val="24"/>
          <w:szCs w:val="24"/>
        </w:rPr>
        <w:t>C</w:t>
      </w:r>
      <w:r w:rsidRPr="003901E7">
        <w:rPr>
          <w:sz w:val="24"/>
          <w:szCs w:val="24"/>
        </w:rPr>
        <w:t xml:space="preserve">ombined in-situ </w:t>
      </w:r>
      <w:r w:rsidR="00131458">
        <w:rPr>
          <w:sz w:val="24"/>
          <w:szCs w:val="24"/>
        </w:rPr>
        <w:t>A</w:t>
      </w:r>
      <w:r w:rsidRPr="003901E7">
        <w:rPr>
          <w:sz w:val="24"/>
          <w:szCs w:val="24"/>
        </w:rPr>
        <w:t xml:space="preserve">pplication of LIBS and </w:t>
      </w:r>
      <w:r w:rsidRPr="003901E7">
        <w:rPr>
          <w:sz w:val="24"/>
          <w:szCs w:val="24"/>
        </w:rPr>
        <w:lastRenderedPageBreak/>
        <w:t xml:space="preserve">μ-XRF </w:t>
      </w:r>
      <w:r w:rsidR="00131458">
        <w:rPr>
          <w:sz w:val="24"/>
          <w:szCs w:val="24"/>
        </w:rPr>
        <w:t>S</w:t>
      </w:r>
      <w:r w:rsidRPr="003901E7">
        <w:rPr>
          <w:sz w:val="24"/>
          <w:szCs w:val="24"/>
        </w:rPr>
        <w:t xml:space="preserve">pectrometers for the </w:t>
      </w:r>
      <w:r w:rsidR="00131458">
        <w:rPr>
          <w:sz w:val="24"/>
          <w:szCs w:val="24"/>
        </w:rPr>
        <w:t>C</w:t>
      </w:r>
      <w:r w:rsidRPr="003901E7">
        <w:rPr>
          <w:sz w:val="24"/>
          <w:szCs w:val="24"/>
        </w:rPr>
        <w:t xml:space="preserve">haracterization of </w:t>
      </w:r>
      <w:r w:rsidR="00131458">
        <w:rPr>
          <w:sz w:val="24"/>
          <w:szCs w:val="24"/>
        </w:rPr>
        <w:t>C</w:t>
      </w:r>
      <w:r w:rsidRPr="003901E7">
        <w:rPr>
          <w:sz w:val="24"/>
          <w:szCs w:val="24"/>
        </w:rPr>
        <w:t xml:space="preserve">opper </w:t>
      </w:r>
      <w:r w:rsidR="00131458">
        <w:rPr>
          <w:sz w:val="24"/>
          <w:szCs w:val="24"/>
        </w:rPr>
        <w:t>A</w:t>
      </w:r>
      <w:r w:rsidRPr="003901E7">
        <w:rPr>
          <w:sz w:val="24"/>
          <w:szCs w:val="24"/>
        </w:rPr>
        <w:t xml:space="preserve">lloy </w:t>
      </w:r>
      <w:r w:rsidR="00131458">
        <w:rPr>
          <w:sz w:val="24"/>
          <w:szCs w:val="24"/>
        </w:rPr>
        <w:t>C</w:t>
      </w:r>
      <w:r w:rsidRPr="003901E7">
        <w:rPr>
          <w:sz w:val="24"/>
          <w:szCs w:val="24"/>
        </w:rPr>
        <w:t xml:space="preserve">orrosion </w:t>
      </w:r>
      <w:r w:rsidR="00131458">
        <w:rPr>
          <w:sz w:val="24"/>
          <w:szCs w:val="24"/>
        </w:rPr>
        <w:t>P</w:t>
      </w:r>
      <w:r w:rsidRPr="003901E7">
        <w:rPr>
          <w:sz w:val="24"/>
          <w:szCs w:val="24"/>
        </w:rPr>
        <w:t>roducts</w:t>
      </w:r>
      <w:r w:rsidR="00131458">
        <w:rPr>
          <w:sz w:val="24"/>
          <w:szCs w:val="24"/>
        </w:rPr>
        <w:t>.</w:t>
      </w:r>
      <w:r w:rsidR="00CF3E6A" w:rsidRPr="00CF3E6A">
        <w:rPr>
          <w:sz w:val="24"/>
          <w:szCs w:val="24"/>
        </w:rPr>
        <w:t>”</w:t>
      </w:r>
      <w:r w:rsidRPr="003901E7">
        <w:rPr>
          <w:sz w:val="24"/>
          <w:szCs w:val="24"/>
        </w:rPr>
        <w:t xml:space="preserve"> In </w:t>
      </w:r>
      <w:r w:rsidRPr="003901E7">
        <w:rPr>
          <w:i/>
          <w:sz w:val="24"/>
          <w:szCs w:val="24"/>
        </w:rPr>
        <w:t>METAL-07</w:t>
      </w:r>
      <w:r w:rsidR="00CF3E6A" w:rsidRPr="00CF3E6A">
        <w:rPr>
          <w:sz w:val="24"/>
          <w:szCs w:val="24"/>
        </w:rPr>
        <w:t xml:space="preserve">, </w:t>
      </w:r>
      <w:r w:rsidR="00B80C18">
        <w:rPr>
          <w:sz w:val="24"/>
          <w:szCs w:val="24"/>
        </w:rPr>
        <w:t>v</w:t>
      </w:r>
      <w:r w:rsidR="00CF3E6A" w:rsidRPr="00CF3E6A">
        <w:rPr>
          <w:sz w:val="24"/>
          <w:szCs w:val="24"/>
        </w:rPr>
        <w:t>ol. 2</w:t>
      </w:r>
      <w:r w:rsidR="00131458">
        <w:rPr>
          <w:sz w:val="24"/>
          <w:szCs w:val="24"/>
        </w:rPr>
        <w:t>:</w:t>
      </w:r>
      <w:r w:rsidRPr="003901E7">
        <w:rPr>
          <w:i/>
          <w:sz w:val="24"/>
          <w:szCs w:val="24"/>
        </w:rPr>
        <w:t xml:space="preserve"> Innovative </w:t>
      </w:r>
      <w:r w:rsidR="00131458">
        <w:rPr>
          <w:i/>
          <w:sz w:val="24"/>
          <w:szCs w:val="24"/>
        </w:rPr>
        <w:t>I</w:t>
      </w:r>
      <w:r w:rsidRPr="003901E7">
        <w:rPr>
          <w:i/>
          <w:sz w:val="24"/>
          <w:szCs w:val="24"/>
        </w:rPr>
        <w:t xml:space="preserve">nvestigation of </w:t>
      </w:r>
      <w:r w:rsidR="00131458">
        <w:rPr>
          <w:i/>
          <w:sz w:val="24"/>
          <w:szCs w:val="24"/>
        </w:rPr>
        <w:t>M</w:t>
      </w:r>
      <w:r w:rsidRPr="003901E7">
        <w:rPr>
          <w:i/>
          <w:sz w:val="24"/>
          <w:szCs w:val="24"/>
        </w:rPr>
        <w:t xml:space="preserve">etal </w:t>
      </w:r>
      <w:r w:rsidR="00131458">
        <w:rPr>
          <w:i/>
          <w:sz w:val="24"/>
          <w:szCs w:val="24"/>
        </w:rPr>
        <w:t>A</w:t>
      </w:r>
      <w:r w:rsidRPr="003901E7">
        <w:rPr>
          <w:i/>
          <w:sz w:val="24"/>
          <w:szCs w:val="24"/>
        </w:rPr>
        <w:t>rtifacts</w:t>
      </w:r>
      <w:r w:rsidRPr="003901E7">
        <w:rPr>
          <w:sz w:val="24"/>
          <w:szCs w:val="24"/>
        </w:rPr>
        <w:t>, 35</w:t>
      </w:r>
      <w:r w:rsidR="00131458">
        <w:rPr>
          <w:sz w:val="24"/>
          <w:szCs w:val="24"/>
        </w:rPr>
        <w:t>–</w:t>
      </w:r>
      <w:r w:rsidRPr="003901E7">
        <w:rPr>
          <w:sz w:val="24"/>
          <w:szCs w:val="24"/>
        </w:rPr>
        <w:t>41.</w:t>
      </w:r>
    </w:p>
    <w:p w:rsidR="003C4D7A" w:rsidRPr="003901E7" w:rsidRDefault="003C4D7A" w:rsidP="003901E7">
      <w:pPr>
        <w:spacing w:line="360" w:lineRule="auto"/>
        <w:rPr>
          <w:sz w:val="24"/>
          <w:szCs w:val="24"/>
        </w:rPr>
      </w:pPr>
    </w:p>
    <w:p w:rsidR="00131458" w:rsidRPr="006A1A0B" w:rsidRDefault="00131458" w:rsidP="003901E7">
      <w:pPr>
        <w:spacing w:line="360" w:lineRule="auto"/>
        <w:rPr>
          <w:sz w:val="24"/>
          <w:szCs w:val="24"/>
        </w:rPr>
      </w:pPr>
      <w:r w:rsidRPr="003901E7">
        <w:rPr>
          <w:sz w:val="24"/>
          <w:szCs w:val="24"/>
        </w:rPr>
        <w:t xml:space="preserve">Kantarelou </w:t>
      </w:r>
      <w:r>
        <w:rPr>
          <w:sz w:val="24"/>
          <w:szCs w:val="24"/>
        </w:rPr>
        <w:t>et al. 2007b</w:t>
      </w:r>
    </w:p>
    <w:p w:rsidR="003C4D7A" w:rsidRPr="003901E7" w:rsidRDefault="003C4D7A" w:rsidP="003901E7">
      <w:pPr>
        <w:spacing w:line="360" w:lineRule="auto"/>
        <w:rPr>
          <w:rStyle w:val="bodystyle141"/>
          <w:sz w:val="24"/>
          <w:szCs w:val="24"/>
        </w:rPr>
      </w:pPr>
      <w:r w:rsidRPr="003901E7">
        <w:rPr>
          <w:bCs/>
          <w:sz w:val="24"/>
          <w:szCs w:val="24"/>
        </w:rPr>
        <w:t>Kantarelou, V.</w:t>
      </w:r>
      <w:r w:rsidR="00131458">
        <w:rPr>
          <w:bCs/>
          <w:sz w:val="24"/>
          <w:szCs w:val="24"/>
        </w:rPr>
        <w:t>, A. G.</w:t>
      </w:r>
      <w:r w:rsidRPr="003901E7">
        <w:rPr>
          <w:bCs/>
          <w:sz w:val="24"/>
          <w:szCs w:val="24"/>
        </w:rPr>
        <w:t xml:space="preserve"> Karydas, </w:t>
      </w:r>
      <w:r w:rsidR="00131458">
        <w:rPr>
          <w:bCs/>
          <w:sz w:val="24"/>
          <w:szCs w:val="24"/>
        </w:rPr>
        <w:t>Ch</w:t>
      </w:r>
      <w:r w:rsidRPr="003901E7">
        <w:rPr>
          <w:bCs/>
          <w:sz w:val="24"/>
          <w:szCs w:val="24"/>
        </w:rPr>
        <w:t xml:space="preserve">. Zarkadas, </w:t>
      </w:r>
      <w:r w:rsidR="00131458">
        <w:rPr>
          <w:bCs/>
          <w:sz w:val="24"/>
          <w:szCs w:val="24"/>
        </w:rPr>
        <w:t>M</w:t>
      </w:r>
      <w:r w:rsidRPr="003901E7">
        <w:rPr>
          <w:bCs/>
          <w:sz w:val="24"/>
          <w:szCs w:val="24"/>
        </w:rPr>
        <w:t>. Giannoulaki</w:t>
      </w:r>
      <w:r w:rsidR="00131458">
        <w:rPr>
          <w:bCs/>
          <w:sz w:val="24"/>
          <w:szCs w:val="24"/>
        </w:rPr>
        <w:t>,</w:t>
      </w:r>
      <w:r w:rsidRPr="003901E7">
        <w:rPr>
          <w:bCs/>
          <w:sz w:val="24"/>
          <w:szCs w:val="24"/>
        </w:rPr>
        <w:t xml:space="preserve"> and </w:t>
      </w:r>
      <w:r w:rsidR="00131458">
        <w:rPr>
          <w:bCs/>
          <w:sz w:val="24"/>
          <w:szCs w:val="24"/>
        </w:rPr>
        <w:t xml:space="preserve">V. </w:t>
      </w:r>
      <w:r w:rsidRPr="003901E7">
        <w:rPr>
          <w:bCs/>
          <w:sz w:val="24"/>
          <w:szCs w:val="24"/>
        </w:rPr>
        <w:t>Argyropoulos. 2007. “</w:t>
      </w:r>
      <w:r w:rsidRPr="003901E7">
        <w:rPr>
          <w:sz w:val="24"/>
          <w:szCs w:val="24"/>
        </w:rPr>
        <w:t xml:space="preserve">Micro-XRF Analysis of High Tin Bronze Mirrors at the </w:t>
      </w:r>
      <w:r w:rsidR="00131458">
        <w:rPr>
          <w:sz w:val="24"/>
          <w:szCs w:val="24"/>
        </w:rPr>
        <w:t>M</w:t>
      </w:r>
      <w:r w:rsidRPr="003901E7">
        <w:rPr>
          <w:sz w:val="24"/>
          <w:szCs w:val="24"/>
        </w:rPr>
        <w:t>useum of Ancient Messene in Greece</w:t>
      </w:r>
      <w:r w:rsidR="00131458">
        <w:rPr>
          <w:sz w:val="24"/>
          <w:szCs w:val="24"/>
        </w:rPr>
        <w:t>.</w:t>
      </w:r>
      <w:r w:rsidRPr="003901E7">
        <w:rPr>
          <w:sz w:val="24"/>
          <w:szCs w:val="24"/>
        </w:rPr>
        <w:t xml:space="preserve">” In </w:t>
      </w:r>
      <w:r w:rsidRPr="003901E7">
        <w:rPr>
          <w:i/>
          <w:sz w:val="24"/>
          <w:szCs w:val="24"/>
        </w:rPr>
        <w:t xml:space="preserve">Proceedings of the </w:t>
      </w:r>
      <w:r w:rsidRPr="003901E7">
        <w:rPr>
          <w:rStyle w:val="bodystyle141"/>
          <w:i/>
          <w:sz w:val="24"/>
          <w:szCs w:val="24"/>
        </w:rPr>
        <w:t>International Conference on Conservation Strategies for Saving Indoor Metallic Collections (CSSIM)</w:t>
      </w:r>
      <w:r w:rsidRPr="003901E7">
        <w:rPr>
          <w:rStyle w:val="bodystyle141"/>
          <w:sz w:val="24"/>
          <w:szCs w:val="24"/>
        </w:rPr>
        <w:t>, ed</w:t>
      </w:r>
      <w:r w:rsidR="00131458">
        <w:rPr>
          <w:rStyle w:val="bodystyle141"/>
          <w:sz w:val="24"/>
          <w:szCs w:val="24"/>
        </w:rPr>
        <w:t>.</w:t>
      </w:r>
      <w:r w:rsidRPr="003901E7">
        <w:rPr>
          <w:rStyle w:val="bodystyle141"/>
          <w:sz w:val="24"/>
          <w:szCs w:val="24"/>
        </w:rPr>
        <w:t xml:space="preserve"> V. Argyropoulos, A. Hein</w:t>
      </w:r>
      <w:r w:rsidR="00131458">
        <w:rPr>
          <w:rStyle w:val="bodystyle141"/>
          <w:sz w:val="24"/>
          <w:szCs w:val="24"/>
        </w:rPr>
        <w:t>,</w:t>
      </w:r>
      <w:r w:rsidR="003901E7">
        <w:rPr>
          <w:rStyle w:val="bodystyle141"/>
          <w:sz w:val="24"/>
          <w:szCs w:val="24"/>
        </w:rPr>
        <w:t xml:space="preserve"> </w:t>
      </w:r>
      <w:r w:rsidRPr="003901E7">
        <w:rPr>
          <w:rStyle w:val="bodystyle141"/>
          <w:sz w:val="24"/>
          <w:szCs w:val="24"/>
        </w:rPr>
        <w:t>and M.</w:t>
      </w:r>
      <w:r w:rsidR="00131458">
        <w:rPr>
          <w:rStyle w:val="bodystyle141"/>
          <w:sz w:val="24"/>
          <w:szCs w:val="24"/>
        </w:rPr>
        <w:t xml:space="preserve"> </w:t>
      </w:r>
      <w:r w:rsidRPr="003901E7">
        <w:rPr>
          <w:rStyle w:val="bodystyle141"/>
          <w:sz w:val="24"/>
          <w:szCs w:val="24"/>
        </w:rPr>
        <w:t>A. Harith, 93</w:t>
      </w:r>
      <w:r w:rsidR="00131458">
        <w:rPr>
          <w:rStyle w:val="bodystyle141"/>
          <w:sz w:val="24"/>
          <w:szCs w:val="24"/>
        </w:rPr>
        <w:t>–</w:t>
      </w:r>
      <w:r w:rsidRPr="003901E7">
        <w:rPr>
          <w:rStyle w:val="bodystyle141"/>
          <w:sz w:val="24"/>
          <w:szCs w:val="24"/>
        </w:rPr>
        <w:t>99.</w:t>
      </w:r>
      <w:r w:rsidR="00131458">
        <w:rPr>
          <w:rStyle w:val="bodystyle141"/>
          <w:sz w:val="24"/>
          <w:szCs w:val="24"/>
        </w:rPr>
        <w:t xml:space="preserve"> Athens: Dept. of Conservation of Antiquities and Works of Art.</w:t>
      </w:r>
    </w:p>
    <w:p w:rsidR="003C4D7A" w:rsidRPr="003901E7" w:rsidRDefault="003C4D7A" w:rsidP="003901E7">
      <w:pPr>
        <w:pStyle w:val="ListParagraph"/>
        <w:spacing w:line="360" w:lineRule="auto"/>
        <w:ind w:left="0"/>
        <w:rPr>
          <w:rStyle w:val="bodystyle141"/>
          <w:sz w:val="24"/>
          <w:szCs w:val="24"/>
        </w:rPr>
      </w:pPr>
    </w:p>
    <w:p w:rsidR="00131458" w:rsidRDefault="00131458" w:rsidP="003901E7">
      <w:pPr>
        <w:pStyle w:val="Default"/>
        <w:spacing w:line="360" w:lineRule="auto"/>
        <w:rPr>
          <w:rFonts w:ascii="Times New Roman" w:hAnsi="Times New Roman" w:cs="Times New Roman"/>
          <w:bCs/>
          <w:lang w:val="en-US"/>
        </w:rPr>
      </w:pPr>
      <w:r w:rsidRPr="003901E7">
        <w:rPr>
          <w:rFonts w:ascii="Times New Roman" w:hAnsi="Times New Roman" w:cs="Times New Roman"/>
          <w:bCs/>
          <w:lang w:val="en-US"/>
        </w:rPr>
        <w:t xml:space="preserve">Kantarelou </w:t>
      </w:r>
      <w:r>
        <w:rPr>
          <w:rFonts w:ascii="Times New Roman" w:hAnsi="Times New Roman" w:cs="Times New Roman"/>
          <w:bCs/>
          <w:lang w:val="en-US"/>
        </w:rPr>
        <w:t>et al. 2015</w:t>
      </w:r>
    </w:p>
    <w:p w:rsidR="003C4D7A" w:rsidRPr="003901E7" w:rsidRDefault="003C4D7A" w:rsidP="003901E7">
      <w:pPr>
        <w:pStyle w:val="Default"/>
        <w:spacing w:line="360" w:lineRule="auto"/>
        <w:rPr>
          <w:rFonts w:ascii="Times New Roman" w:hAnsi="Times New Roman" w:cs="Times New Roman"/>
          <w:lang w:val="en-US"/>
        </w:rPr>
      </w:pPr>
      <w:r w:rsidRPr="003901E7">
        <w:rPr>
          <w:rFonts w:ascii="Times New Roman" w:hAnsi="Times New Roman" w:cs="Times New Roman"/>
          <w:bCs/>
          <w:lang w:val="en-US"/>
        </w:rPr>
        <w:t>Kantarelou</w:t>
      </w:r>
      <w:r w:rsidRPr="003901E7">
        <w:rPr>
          <w:rFonts w:ascii="Times New Roman" w:hAnsi="Times New Roman" w:cs="Times New Roman"/>
          <w:lang w:val="en-US"/>
        </w:rPr>
        <w:t xml:space="preserve">, </w:t>
      </w:r>
      <w:r w:rsidRPr="003901E7">
        <w:rPr>
          <w:rFonts w:ascii="Times New Roman" w:hAnsi="Times New Roman" w:cs="Times New Roman"/>
          <w:bCs/>
          <w:lang w:val="en-US"/>
        </w:rPr>
        <w:t>V.</w:t>
      </w:r>
      <w:r w:rsidR="00131458">
        <w:rPr>
          <w:rFonts w:ascii="Times New Roman" w:hAnsi="Times New Roman" w:cs="Times New Roman"/>
          <w:bCs/>
          <w:lang w:val="en-US"/>
        </w:rPr>
        <w:t>, A. G.</w:t>
      </w:r>
      <w:r w:rsidRPr="003901E7">
        <w:rPr>
          <w:rFonts w:ascii="Times New Roman" w:hAnsi="Times New Roman" w:cs="Times New Roman"/>
          <w:bCs/>
          <w:lang w:val="en-US"/>
        </w:rPr>
        <w:t xml:space="preserve"> </w:t>
      </w:r>
      <w:r w:rsidRPr="003901E7">
        <w:rPr>
          <w:rFonts w:ascii="Times New Roman" w:hAnsi="Times New Roman" w:cs="Times New Roman"/>
          <w:lang w:val="en-US"/>
        </w:rPr>
        <w:t xml:space="preserve">Karydas, </w:t>
      </w:r>
      <w:r w:rsidR="00131458">
        <w:rPr>
          <w:rFonts w:ascii="Times New Roman" w:hAnsi="Times New Roman" w:cs="Times New Roman"/>
          <w:lang w:val="en-US"/>
        </w:rPr>
        <w:t>D</w:t>
      </w:r>
      <w:r w:rsidRPr="003901E7">
        <w:rPr>
          <w:rFonts w:ascii="Times New Roman" w:hAnsi="Times New Roman" w:cs="Times New Roman"/>
          <w:lang w:val="en-US"/>
        </w:rPr>
        <w:t xml:space="preserve">. Sokaras, </w:t>
      </w:r>
      <w:r w:rsidR="00131458">
        <w:rPr>
          <w:rFonts w:ascii="Times New Roman" w:hAnsi="Times New Roman" w:cs="Times New Roman"/>
          <w:lang w:val="en-US"/>
        </w:rPr>
        <w:t>L</w:t>
      </w:r>
      <w:r w:rsidRPr="003901E7">
        <w:rPr>
          <w:rFonts w:ascii="Times New Roman" w:hAnsi="Times New Roman" w:cs="Times New Roman"/>
          <w:lang w:val="en-US"/>
        </w:rPr>
        <w:t xml:space="preserve">. Mahfouz, </w:t>
      </w:r>
      <w:r w:rsidR="00131458">
        <w:rPr>
          <w:rFonts w:ascii="Times New Roman" w:hAnsi="Times New Roman" w:cs="Times New Roman"/>
          <w:lang w:val="en-US"/>
        </w:rPr>
        <w:t>A</w:t>
      </w:r>
      <w:r w:rsidRPr="003901E7">
        <w:rPr>
          <w:rFonts w:ascii="Times New Roman" w:hAnsi="Times New Roman" w:cs="Times New Roman"/>
          <w:lang w:val="en-US"/>
        </w:rPr>
        <w:t xml:space="preserve">. Qurdab, </w:t>
      </w:r>
      <w:r w:rsidR="00131458">
        <w:rPr>
          <w:rFonts w:ascii="Times New Roman" w:hAnsi="Times New Roman" w:cs="Times New Roman"/>
          <w:lang w:val="en-US"/>
        </w:rPr>
        <w:t>M</w:t>
      </w:r>
      <w:r w:rsidRPr="003901E7">
        <w:rPr>
          <w:rFonts w:ascii="Times New Roman" w:hAnsi="Times New Roman" w:cs="Times New Roman"/>
          <w:lang w:val="en-US"/>
        </w:rPr>
        <w:t>. Al-Saadi, M. Giannoulaki</w:t>
      </w:r>
      <w:r w:rsidR="00251E7E">
        <w:rPr>
          <w:rFonts w:ascii="Times New Roman" w:hAnsi="Times New Roman" w:cs="Times New Roman"/>
          <w:lang w:val="en-US"/>
        </w:rPr>
        <w:t>, and V</w:t>
      </w:r>
      <w:r w:rsidRPr="003901E7">
        <w:rPr>
          <w:rFonts w:ascii="Times New Roman" w:hAnsi="Times New Roman" w:cs="Times New Roman"/>
          <w:lang w:val="en-US"/>
        </w:rPr>
        <w:t>. Argyropoulos. 2015. “</w:t>
      </w:r>
      <w:r w:rsidRPr="003901E7">
        <w:rPr>
          <w:rFonts w:ascii="Times New Roman" w:hAnsi="Times New Roman" w:cs="Times New Roman"/>
          <w:iCs/>
          <w:lang w:val="en-US"/>
        </w:rPr>
        <w:t xml:space="preserve">In situ </w:t>
      </w:r>
      <w:r w:rsidR="00251E7E">
        <w:rPr>
          <w:rFonts w:ascii="Times New Roman" w:hAnsi="Times New Roman" w:cs="Times New Roman"/>
          <w:iCs/>
          <w:lang w:val="en-US"/>
        </w:rPr>
        <w:t>S</w:t>
      </w:r>
      <w:r w:rsidRPr="003901E7">
        <w:rPr>
          <w:rFonts w:ascii="Times New Roman" w:hAnsi="Times New Roman" w:cs="Times New Roman"/>
          <w:iCs/>
          <w:lang w:val="en-US"/>
        </w:rPr>
        <w:t xml:space="preserve">canning </w:t>
      </w:r>
      <w:r w:rsidR="00251E7E">
        <w:rPr>
          <w:rFonts w:ascii="Times New Roman" w:hAnsi="Times New Roman" w:cs="Times New Roman"/>
          <w:iCs/>
          <w:lang w:val="en-US"/>
        </w:rPr>
        <w:t>M</w:t>
      </w:r>
      <w:r w:rsidRPr="003901E7">
        <w:rPr>
          <w:rFonts w:ascii="Times New Roman" w:hAnsi="Times New Roman" w:cs="Times New Roman"/>
          <w:iCs/>
          <w:lang w:val="en-US"/>
        </w:rPr>
        <w:t xml:space="preserve">icro-XRF </w:t>
      </w:r>
      <w:r w:rsidR="00251E7E">
        <w:rPr>
          <w:rFonts w:ascii="Times New Roman" w:hAnsi="Times New Roman" w:cs="Times New Roman"/>
          <w:iCs/>
          <w:lang w:val="en-US"/>
        </w:rPr>
        <w:t>A</w:t>
      </w:r>
      <w:r w:rsidRPr="003901E7">
        <w:rPr>
          <w:rFonts w:ascii="Times New Roman" w:hAnsi="Times New Roman" w:cs="Times New Roman"/>
          <w:iCs/>
          <w:lang w:val="en-US"/>
        </w:rPr>
        <w:t xml:space="preserve">nalyses of </w:t>
      </w:r>
      <w:r w:rsidR="00251E7E">
        <w:rPr>
          <w:rFonts w:ascii="Times New Roman" w:hAnsi="Times New Roman" w:cs="Times New Roman"/>
          <w:iCs/>
          <w:lang w:val="en-US"/>
        </w:rPr>
        <w:t>G</w:t>
      </w:r>
      <w:r w:rsidRPr="003901E7">
        <w:rPr>
          <w:rFonts w:ascii="Times New Roman" w:hAnsi="Times New Roman" w:cs="Times New Roman"/>
          <w:iCs/>
          <w:lang w:val="en-US"/>
        </w:rPr>
        <w:t xml:space="preserve">ilded </w:t>
      </w:r>
      <w:r w:rsidR="00251E7E">
        <w:rPr>
          <w:rFonts w:ascii="Times New Roman" w:hAnsi="Times New Roman" w:cs="Times New Roman"/>
          <w:iCs/>
          <w:lang w:val="en-US"/>
        </w:rPr>
        <w:t>B</w:t>
      </w:r>
      <w:r w:rsidRPr="003901E7">
        <w:rPr>
          <w:rFonts w:ascii="Times New Roman" w:hAnsi="Times New Roman" w:cs="Times New Roman"/>
          <w:iCs/>
          <w:lang w:val="en-US"/>
        </w:rPr>
        <w:t xml:space="preserve">ronze </w:t>
      </w:r>
      <w:r w:rsidR="00251E7E">
        <w:rPr>
          <w:rFonts w:ascii="Times New Roman" w:hAnsi="Times New Roman" w:cs="Times New Roman"/>
          <w:iCs/>
          <w:lang w:val="en-US"/>
        </w:rPr>
        <w:t>F</w:t>
      </w:r>
      <w:r w:rsidRPr="003901E7">
        <w:rPr>
          <w:rFonts w:ascii="Times New Roman" w:hAnsi="Times New Roman" w:cs="Times New Roman"/>
          <w:iCs/>
          <w:lang w:val="en-US"/>
        </w:rPr>
        <w:t>igurines at the National Museum of Damascus</w:t>
      </w:r>
      <w:r w:rsidR="00251E7E">
        <w:rPr>
          <w:rFonts w:ascii="Times New Roman" w:hAnsi="Times New Roman" w:cs="Times New Roman"/>
          <w:iCs/>
          <w:lang w:val="en-US"/>
        </w:rPr>
        <w:t>.</w:t>
      </w:r>
      <w:r w:rsidRPr="003901E7">
        <w:rPr>
          <w:rFonts w:ascii="Times New Roman" w:hAnsi="Times New Roman" w:cs="Times New Roman"/>
          <w:lang w:val="en-US"/>
        </w:rPr>
        <w:t xml:space="preserve">” </w:t>
      </w:r>
      <w:r w:rsidRPr="003901E7">
        <w:rPr>
          <w:rFonts w:ascii="Times New Roman" w:hAnsi="Times New Roman" w:cs="Times New Roman"/>
          <w:i/>
          <w:lang w:val="en-US"/>
        </w:rPr>
        <w:t>Journal of Analytical Atomic Spectroscopy</w:t>
      </w:r>
      <w:r w:rsidRPr="003901E7">
        <w:rPr>
          <w:rFonts w:ascii="Times New Roman" w:hAnsi="Times New Roman" w:cs="Times New Roman"/>
          <w:lang w:val="en-US"/>
        </w:rPr>
        <w:t xml:space="preserve"> 30: 1787</w:t>
      </w:r>
      <w:r w:rsidR="00251E7E">
        <w:rPr>
          <w:rFonts w:ascii="Times New Roman" w:hAnsi="Times New Roman" w:cs="Times New Roman"/>
          <w:lang w:val="en-US"/>
        </w:rPr>
        <w:t>–</w:t>
      </w:r>
      <w:r w:rsidRPr="003901E7">
        <w:rPr>
          <w:rFonts w:ascii="Times New Roman" w:hAnsi="Times New Roman" w:cs="Times New Roman"/>
          <w:lang w:val="en-US"/>
        </w:rPr>
        <w:t xml:space="preserve">98. </w:t>
      </w:r>
    </w:p>
    <w:p w:rsidR="003C4D7A" w:rsidRPr="003901E7" w:rsidRDefault="003C4D7A" w:rsidP="003901E7">
      <w:pPr>
        <w:pStyle w:val="Default"/>
        <w:spacing w:line="360" w:lineRule="auto"/>
        <w:rPr>
          <w:rFonts w:ascii="Times New Roman" w:hAnsi="Times New Roman" w:cs="Times New Roman"/>
          <w:lang w:val="en-US"/>
        </w:rPr>
      </w:pPr>
    </w:p>
    <w:p w:rsidR="00251E7E" w:rsidRDefault="00251E7E" w:rsidP="003901E7">
      <w:pPr>
        <w:pStyle w:val="Default"/>
        <w:spacing w:line="360" w:lineRule="auto"/>
        <w:rPr>
          <w:rFonts w:ascii="Times New Roman" w:hAnsi="Times New Roman" w:cs="Times New Roman"/>
          <w:lang w:val="en-US"/>
        </w:rPr>
      </w:pPr>
      <w:r>
        <w:rPr>
          <w:rFonts w:ascii="Times New Roman" w:hAnsi="Times New Roman" w:cs="Times New Roman"/>
          <w:bCs/>
          <w:lang w:val="en-US"/>
        </w:rPr>
        <w:t>Kantarelou</w:t>
      </w:r>
      <w:r w:rsidRPr="003901E7">
        <w:rPr>
          <w:rFonts w:ascii="Times New Roman" w:hAnsi="Times New Roman" w:cs="Times New Roman"/>
          <w:bCs/>
          <w:lang w:val="en-US"/>
        </w:rPr>
        <w:t xml:space="preserve"> </w:t>
      </w:r>
      <w:r>
        <w:rPr>
          <w:rFonts w:ascii="Times New Roman" w:hAnsi="Times New Roman" w:cs="Times New Roman"/>
          <w:lang w:val="en-US"/>
        </w:rPr>
        <w:t>and Karydas</w:t>
      </w:r>
      <w:r w:rsidRPr="003901E7">
        <w:rPr>
          <w:rFonts w:ascii="Times New Roman" w:hAnsi="Times New Roman" w:cs="Times New Roman"/>
          <w:lang w:val="en-US"/>
        </w:rPr>
        <w:t xml:space="preserve"> 2016</w:t>
      </w:r>
    </w:p>
    <w:p w:rsidR="003C4D7A" w:rsidRPr="003901E7" w:rsidRDefault="003C4D7A" w:rsidP="003901E7">
      <w:pPr>
        <w:pStyle w:val="Default"/>
        <w:spacing w:line="360" w:lineRule="auto"/>
        <w:rPr>
          <w:rFonts w:ascii="Times New Roman" w:hAnsi="Times New Roman" w:cs="Times New Roman"/>
          <w:lang w:val="en-US"/>
        </w:rPr>
      </w:pPr>
      <w:r w:rsidRPr="003901E7">
        <w:rPr>
          <w:rFonts w:ascii="Times New Roman" w:hAnsi="Times New Roman" w:cs="Times New Roman"/>
          <w:bCs/>
          <w:lang w:val="en-US"/>
        </w:rPr>
        <w:t>Kantarelou V.</w:t>
      </w:r>
      <w:r w:rsidR="00251E7E">
        <w:rPr>
          <w:rFonts w:ascii="Times New Roman" w:hAnsi="Times New Roman" w:cs="Times New Roman"/>
          <w:bCs/>
          <w:lang w:val="en-US"/>
        </w:rPr>
        <w:t>,</w:t>
      </w:r>
      <w:r w:rsidRPr="003901E7">
        <w:rPr>
          <w:rFonts w:ascii="Times New Roman" w:hAnsi="Times New Roman" w:cs="Times New Roman"/>
          <w:bCs/>
          <w:lang w:val="en-US"/>
        </w:rPr>
        <w:t xml:space="preserve"> </w:t>
      </w:r>
      <w:r w:rsidRPr="003901E7">
        <w:rPr>
          <w:rFonts w:ascii="Times New Roman" w:hAnsi="Times New Roman" w:cs="Times New Roman"/>
          <w:lang w:val="en-US"/>
        </w:rPr>
        <w:t xml:space="preserve">and </w:t>
      </w:r>
      <w:r w:rsidR="00251E7E">
        <w:rPr>
          <w:rFonts w:ascii="Times New Roman" w:hAnsi="Times New Roman" w:cs="Times New Roman"/>
          <w:lang w:val="en-US"/>
        </w:rPr>
        <w:t xml:space="preserve">A. G. </w:t>
      </w:r>
      <w:r w:rsidRPr="003901E7">
        <w:rPr>
          <w:rFonts w:ascii="Times New Roman" w:hAnsi="Times New Roman" w:cs="Times New Roman"/>
          <w:lang w:val="en-US"/>
        </w:rPr>
        <w:t xml:space="preserve">Karydas. 2016. “A </w:t>
      </w:r>
      <w:r w:rsidR="00251E7E">
        <w:rPr>
          <w:rFonts w:ascii="Times New Roman" w:hAnsi="Times New Roman" w:cs="Times New Roman"/>
          <w:lang w:val="en-US"/>
        </w:rPr>
        <w:t>S</w:t>
      </w:r>
      <w:r w:rsidRPr="003901E7">
        <w:rPr>
          <w:rFonts w:ascii="Times New Roman" w:hAnsi="Times New Roman" w:cs="Times New Roman"/>
          <w:lang w:val="en-US"/>
        </w:rPr>
        <w:t xml:space="preserve">imple </w:t>
      </w:r>
      <w:r w:rsidR="00251E7E">
        <w:rPr>
          <w:rFonts w:ascii="Times New Roman" w:hAnsi="Times New Roman" w:cs="Times New Roman"/>
          <w:lang w:val="en-US"/>
        </w:rPr>
        <w:t>C</w:t>
      </w:r>
      <w:r w:rsidRPr="003901E7">
        <w:rPr>
          <w:rFonts w:ascii="Times New Roman" w:hAnsi="Times New Roman" w:cs="Times New Roman"/>
          <w:lang w:val="en-US"/>
        </w:rPr>
        <w:t xml:space="preserve">alibration </w:t>
      </w:r>
      <w:r w:rsidR="00251E7E">
        <w:rPr>
          <w:rFonts w:ascii="Times New Roman" w:hAnsi="Times New Roman" w:cs="Times New Roman"/>
          <w:lang w:val="en-US"/>
        </w:rPr>
        <w:t>P</w:t>
      </w:r>
      <w:r w:rsidRPr="003901E7">
        <w:rPr>
          <w:rFonts w:ascii="Times New Roman" w:hAnsi="Times New Roman" w:cs="Times New Roman"/>
          <w:lang w:val="en-US"/>
        </w:rPr>
        <w:t xml:space="preserve">rocedure of </w:t>
      </w:r>
      <w:r w:rsidR="00251E7E">
        <w:rPr>
          <w:rFonts w:ascii="Times New Roman" w:hAnsi="Times New Roman" w:cs="Times New Roman"/>
          <w:lang w:val="en-US"/>
        </w:rPr>
        <w:t>P</w:t>
      </w:r>
      <w:r w:rsidRPr="003901E7">
        <w:rPr>
          <w:rFonts w:ascii="Times New Roman" w:hAnsi="Times New Roman" w:cs="Times New Roman"/>
          <w:lang w:val="en-US"/>
        </w:rPr>
        <w:t xml:space="preserve">olycapillary </w:t>
      </w:r>
      <w:r w:rsidR="00251E7E">
        <w:rPr>
          <w:rFonts w:ascii="Times New Roman" w:hAnsi="Times New Roman" w:cs="Times New Roman"/>
          <w:lang w:val="en-US"/>
        </w:rPr>
        <w:t>B</w:t>
      </w:r>
      <w:r w:rsidRPr="003901E7">
        <w:rPr>
          <w:rFonts w:ascii="Times New Roman" w:hAnsi="Times New Roman" w:cs="Times New Roman"/>
          <w:lang w:val="en-US"/>
        </w:rPr>
        <w:t xml:space="preserve">ased </w:t>
      </w:r>
      <w:r w:rsidR="00251E7E">
        <w:rPr>
          <w:rFonts w:ascii="Times New Roman" w:hAnsi="Times New Roman" w:cs="Times New Roman"/>
          <w:lang w:val="en-US"/>
        </w:rPr>
        <w:t>P</w:t>
      </w:r>
      <w:r w:rsidRPr="003901E7">
        <w:rPr>
          <w:rFonts w:ascii="Times New Roman" w:hAnsi="Times New Roman" w:cs="Times New Roman"/>
          <w:lang w:val="en-US"/>
        </w:rPr>
        <w:t xml:space="preserve">ortable </w:t>
      </w:r>
      <w:r w:rsidR="00251E7E">
        <w:rPr>
          <w:rFonts w:ascii="Times New Roman" w:hAnsi="Times New Roman" w:cs="Times New Roman"/>
          <w:lang w:val="en-US"/>
        </w:rPr>
        <w:t>M</w:t>
      </w:r>
      <w:r w:rsidRPr="003901E7">
        <w:rPr>
          <w:rFonts w:ascii="Times New Roman" w:hAnsi="Times New Roman" w:cs="Times New Roman"/>
          <w:lang w:val="en-US"/>
        </w:rPr>
        <w:t xml:space="preserve">icro-XRF </w:t>
      </w:r>
      <w:r w:rsidR="00251E7E">
        <w:rPr>
          <w:rFonts w:ascii="Times New Roman" w:hAnsi="Times New Roman" w:cs="Times New Roman"/>
          <w:lang w:val="en-US"/>
        </w:rPr>
        <w:t>S</w:t>
      </w:r>
      <w:r w:rsidRPr="003901E7">
        <w:rPr>
          <w:rFonts w:ascii="Times New Roman" w:hAnsi="Times New Roman" w:cs="Times New Roman"/>
          <w:lang w:val="en-US"/>
        </w:rPr>
        <w:t xml:space="preserve">pectrometers for </w:t>
      </w:r>
      <w:r w:rsidR="00251E7E">
        <w:rPr>
          <w:rFonts w:ascii="Times New Roman" w:hAnsi="Times New Roman" w:cs="Times New Roman"/>
          <w:lang w:val="en-US"/>
        </w:rPr>
        <w:t>R</w:t>
      </w:r>
      <w:r w:rsidRPr="003901E7">
        <w:rPr>
          <w:rFonts w:ascii="Times New Roman" w:hAnsi="Times New Roman" w:cs="Times New Roman"/>
          <w:lang w:val="en-US"/>
        </w:rPr>
        <w:t xml:space="preserve">eliable </w:t>
      </w:r>
      <w:r w:rsidR="00251E7E">
        <w:rPr>
          <w:rFonts w:ascii="Times New Roman" w:hAnsi="Times New Roman" w:cs="Times New Roman"/>
          <w:lang w:val="en-US"/>
        </w:rPr>
        <w:t>Q</w:t>
      </w:r>
      <w:r w:rsidRPr="003901E7">
        <w:rPr>
          <w:rFonts w:ascii="Times New Roman" w:hAnsi="Times New Roman" w:cs="Times New Roman"/>
          <w:lang w:val="en-US"/>
        </w:rPr>
        <w:t xml:space="preserve">uantitative </w:t>
      </w:r>
      <w:r w:rsidR="00251E7E">
        <w:rPr>
          <w:rFonts w:ascii="Times New Roman" w:hAnsi="Times New Roman" w:cs="Times New Roman"/>
          <w:lang w:val="en-US"/>
        </w:rPr>
        <w:t>A</w:t>
      </w:r>
      <w:r w:rsidRPr="003901E7">
        <w:rPr>
          <w:rFonts w:ascii="Times New Roman" w:hAnsi="Times New Roman" w:cs="Times New Roman"/>
          <w:lang w:val="en-US"/>
        </w:rPr>
        <w:t xml:space="preserve">nalysis of </w:t>
      </w:r>
      <w:r w:rsidR="00251E7E">
        <w:rPr>
          <w:rFonts w:ascii="Times New Roman" w:hAnsi="Times New Roman" w:cs="Times New Roman"/>
          <w:lang w:val="en-US"/>
        </w:rPr>
        <w:t>C</w:t>
      </w:r>
      <w:r w:rsidRPr="003901E7">
        <w:rPr>
          <w:rFonts w:ascii="Times New Roman" w:hAnsi="Times New Roman" w:cs="Times New Roman"/>
          <w:lang w:val="en-US"/>
        </w:rPr>
        <w:t xml:space="preserve">ultural </w:t>
      </w:r>
      <w:r w:rsidR="00251E7E">
        <w:rPr>
          <w:rFonts w:ascii="Times New Roman" w:hAnsi="Times New Roman" w:cs="Times New Roman"/>
          <w:lang w:val="en-US"/>
        </w:rPr>
        <w:t>H</w:t>
      </w:r>
      <w:r w:rsidRPr="003901E7">
        <w:rPr>
          <w:rFonts w:ascii="Times New Roman" w:hAnsi="Times New Roman" w:cs="Times New Roman"/>
          <w:lang w:val="en-US"/>
        </w:rPr>
        <w:t xml:space="preserve">eritage </w:t>
      </w:r>
      <w:r w:rsidR="00251E7E">
        <w:rPr>
          <w:rFonts w:ascii="Times New Roman" w:hAnsi="Times New Roman" w:cs="Times New Roman"/>
          <w:lang w:val="en-US"/>
        </w:rPr>
        <w:t>M</w:t>
      </w:r>
      <w:r w:rsidRPr="003901E7">
        <w:rPr>
          <w:rFonts w:ascii="Times New Roman" w:hAnsi="Times New Roman" w:cs="Times New Roman"/>
          <w:lang w:val="en-US"/>
        </w:rPr>
        <w:t>aterials</w:t>
      </w:r>
      <w:r w:rsidR="00251E7E">
        <w:rPr>
          <w:rFonts w:ascii="Times New Roman" w:hAnsi="Times New Roman" w:cs="Times New Roman"/>
          <w:lang w:val="en-US"/>
        </w:rPr>
        <w:t>.</w:t>
      </w:r>
      <w:r w:rsidRPr="003901E7">
        <w:rPr>
          <w:rFonts w:ascii="Times New Roman" w:hAnsi="Times New Roman" w:cs="Times New Roman"/>
          <w:lang w:val="en-US"/>
        </w:rPr>
        <w:t>” X</w:t>
      </w:r>
      <w:r w:rsidRPr="003901E7">
        <w:rPr>
          <w:rFonts w:ascii="Times New Roman" w:hAnsi="Times New Roman" w:cs="Times New Roman"/>
          <w:i/>
          <w:lang w:val="en-US"/>
        </w:rPr>
        <w:t xml:space="preserve"> Ray Spectrometry </w:t>
      </w:r>
      <w:r w:rsidRPr="003901E7">
        <w:rPr>
          <w:rFonts w:ascii="Times New Roman" w:hAnsi="Times New Roman" w:cs="Times New Roman"/>
          <w:lang w:val="en-US"/>
        </w:rPr>
        <w:t>45: 85</w:t>
      </w:r>
      <w:r w:rsidR="00251E7E">
        <w:rPr>
          <w:rFonts w:ascii="Times New Roman" w:hAnsi="Times New Roman" w:cs="Times New Roman"/>
          <w:lang w:val="en-US"/>
        </w:rPr>
        <w:t>–</w:t>
      </w:r>
      <w:r w:rsidRPr="003901E7">
        <w:rPr>
          <w:rFonts w:ascii="Times New Roman" w:hAnsi="Times New Roman" w:cs="Times New Roman"/>
          <w:lang w:val="en-US"/>
        </w:rPr>
        <w:t>94.</w:t>
      </w:r>
    </w:p>
    <w:p w:rsidR="00251E7E" w:rsidRPr="003901E7" w:rsidRDefault="00251E7E" w:rsidP="00251E7E">
      <w:pPr>
        <w:pStyle w:val="ListParagraph"/>
        <w:spacing w:line="360" w:lineRule="auto"/>
        <w:ind w:left="0"/>
        <w:rPr>
          <w:sz w:val="24"/>
          <w:szCs w:val="24"/>
        </w:rPr>
      </w:pPr>
    </w:p>
    <w:p w:rsidR="00251E7E" w:rsidRDefault="00251E7E" w:rsidP="00251E7E">
      <w:pPr>
        <w:spacing w:line="360" w:lineRule="auto"/>
        <w:rPr>
          <w:sz w:val="24"/>
          <w:szCs w:val="24"/>
        </w:rPr>
      </w:pPr>
      <w:r>
        <w:rPr>
          <w:sz w:val="24"/>
          <w:szCs w:val="24"/>
        </w:rPr>
        <w:t>Karydas</w:t>
      </w:r>
      <w:r w:rsidRPr="003901E7">
        <w:rPr>
          <w:sz w:val="24"/>
          <w:szCs w:val="24"/>
        </w:rPr>
        <w:t xml:space="preserve"> 2007</w:t>
      </w:r>
    </w:p>
    <w:p w:rsidR="00251E7E" w:rsidRPr="003901E7" w:rsidRDefault="00251E7E" w:rsidP="00251E7E">
      <w:pPr>
        <w:spacing w:line="360" w:lineRule="auto"/>
        <w:rPr>
          <w:bCs/>
          <w:sz w:val="24"/>
          <w:szCs w:val="24"/>
        </w:rPr>
      </w:pPr>
      <w:r w:rsidRPr="003901E7">
        <w:rPr>
          <w:sz w:val="24"/>
          <w:szCs w:val="24"/>
        </w:rPr>
        <w:t>Karydas, A.</w:t>
      </w:r>
      <w:r>
        <w:rPr>
          <w:sz w:val="24"/>
          <w:szCs w:val="24"/>
        </w:rPr>
        <w:t xml:space="preserve"> </w:t>
      </w:r>
      <w:r w:rsidRPr="003901E7">
        <w:rPr>
          <w:sz w:val="24"/>
          <w:szCs w:val="24"/>
        </w:rPr>
        <w:t>G. 2007. “</w:t>
      </w:r>
      <w:r w:rsidRPr="003901E7">
        <w:rPr>
          <w:bCs/>
          <w:sz w:val="24"/>
          <w:szCs w:val="24"/>
        </w:rPr>
        <w:t>Application of a Portable XRF Spe</w:t>
      </w:r>
      <w:r>
        <w:rPr>
          <w:bCs/>
          <w:sz w:val="24"/>
          <w:szCs w:val="24"/>
        </w:rPr>
        <w:t>ctrometer for the Non-Invasive A</w:t>
      </w:r>
      <w:r w:rsidRPr="003901E7">
        <w:rPr>
          <w:bCs/>
          <w:sz w:val="24"/>
          <w:szCs w:val="24"/>
        </w:rPr>
        <w:t>nalysis of Museum Metal Artefacts</w:t>
      </w:r>
      <w:r>
        <w:rPr>
          <w:bCs/>
          <w:sz w:val="24"/>
          <w:szCs w:val="24"/>
        </w:rPr>
        <w:t>.</w:t>
      </w:r>
      <w:r w:rsidRPr="003901E7">
        <w:rPr>
          <w:bCs/>
          <w:sz w:val="24"/>
          <w:szCs w:val="24"/>
        </w:rPr>
        <w:t xml:space="preserve">” </w:t>
      </w:r>
      <w:r w:rsidRPr="003901E7">
        <w:rPr>
          <w:bCs/>
          <w:i/>
          <w:sz w:val="24"/>
          <w:szCs w:val="24"/>
        </w:rPr>
        <w:t>Annali di Chimica</w:t>
      </w:r>
      <w:r w:rsidRPr="003901E7">
        <w:rPr>
          <w:bCs/>
          <w:sz w:val="24"/>
          <w:szCs w:val="24"/>
        </w:rPr>
        <w:t xml:space="preserve"> 97:</w:t>
      </w:r>
      <w:r>
        <w:rPr>
          <w:bCs/>
          <w:sz w:val="24"/>
          <w:szCs w:val="24"/>
        </w:rPr>
        <w:t xml:space="preserve"> 419–</w:t>
      </w:r>
      <w:r w:rsidRPr="003901E7">
        <w:rPr>
          <w:bCs/>
          <w:sz w:val="24"/>
          <w:szCs w:val="24"/>
        </w:rPr>
        <w:t>32.</w:t>
      </w:r>
    </w:p>
    <w:p w:rsidR="00251E7E" w:rsidRDefault="00251E7E" w:rsidP="003901E7">
      <w:pPr>
        <w:spacing w:line="360" w:lineRule="auto"/>
        <w:rPr>
          <w:sz w:val="24"/>
          <w:szCs w:val="24"/>
        </w:rPr>
      </w:pPr>
    </w:p>
    <w:p w:rsidR="00251E7E" w:rsidRDefault="00251E7E" w:rsidP="003901E7">
      <w:pPr>
        <w:spacing w:line="360" w:lineRule="auto"/>
        <w:rPr>
          <w:sz w:val="24"/>
          <w:szCs w:val="24"/>
        </w:rPr>
      </w:pPr>
      <w:r w:rsidRPr="003901E7">
        <w:rPr>
          <w:sz w:val="24"/>
          <w:szCs w:val="24"/>
        </w:rPr>
        <w:t>Karydas</w:t>
      </w:r>
      <w:r w:rsidR="004E6D6C">
        <w:rPr>
          <w:sz w:val="24"/>
          <w:szCs w:val="24"/>
        </w:rPr>
        <w:t>, Anglos, and Harith</w:t>
      </w:r>
      <w:r>
        <w:rPr>
          <w:sz w:val="24"/>
          <w:szCs w:val="24"/>
        </w:rPr>
        <w:t xml:space="preserve"> 2008</w:t>
      </w:r>
    </w:p>
    <w:p w:rsidR="003C4D7A" w:rsidRPr="003901E7" w:rsidRDefault="003C4D7A" w:rsidP="003901E7">
      <w:pPr>
        <w:spacing w:line="360" w:lineRule="auto"/>
        <w:rPr>
          <w:sz w:val="24"/>
          <w:szCs w:val="24"/>
        </w:rPr>
      </w:pPr>
      <w:r w:rsidRPr="003901E7">
        <w:rPr>
          <w:sz w:val="24"/>
          <w:szCs w:val="24"/>
        </w:rPr>
        <w:t>Karydas, A.</w:t>
      </w:r>
      <w:r w:rsidR="00251E7E">
        <w:rPr>
          <w:sz w:val="24"/>
          <w:szCs w:val="24"/>
        </w:rPr>
        <w:t xml:space="preserve"> </w:t>
      </w:r>
      <w:r w:rsidRPr="003901E7">
        <w:rPr>
          <w:sz w:val="24"/>
          <w:szCs w:val="24"/>
        </w:rPr>
        <w:t>G.</w:t>
      </w:r>
      <w:r w:rsidR="00251E7E">
        <w:rPr>
          <w:sz w:val="24"/>
          <w:szCs w:val="24"/>
        </w:rPr>
        <w:t>, D.</w:t>
      </w:r>
      <w:r w:rsidRPr="003901E7">
        <w:rPr>
          <w:sz w:val="24"/>
          <w:szCs w:val="24"/>
        </w:rPr>
        <w:t xml:space="preserve"> Anglos</w:t>
      </w:r>
      <w:r w:rsidR="00251E7E">
        <w:rPr>
          <w:sz w:val="24"/>
          <w:szCs w:val="24"/>
        </w:rPr>
        <w:t>,</w:t>
      </w:r>
      <w:r w:rsidRPr="003901E7">
        <w:rPr>
          <w:sz w:val="24"/>
          <w:szCs w:val="24"/>
        </w:rPr>
        <w:t xml:space="preserve"> and </w:t>
      </w:r>
      <w:r w:rsidR="00251E7E">
        <w:rPr>
          <w:sz w:val="24"/>
          <w:szCs w:val="24"/>
        </w:rPr>
        <w:t xml:space="preserve">M. A. </w:t>
      </w:r>
      <w:r w:rsidRPr="003901E7">
        <w:rPr>
          <w:sz w:val="24"/>
          <w:szCs w:val="24"/>
        </w:rPr>
        <w:t xml:space="preserve">Harith. 2008. “Mobile </w:t>
      </w:r>
      <w:r w:rsidR="00251E7E">
        <w:rPr>
          <w:sz w:val="24"/>
          <w:szCs w:val="24"/>
        </w:rPr>
        <w:t xml:space="preserve">Micro-XRF and LIBS </w:t>
      </w:r>
      <w:r w:rsidRPr="003901E7">
        <w:rPr>
          <w:sz w:val="24"/>
          <w:szCs w:val="24"/>
        </w:rPr>
        <w:t>Spectrometers for Diagnostic Micro-Analysis of Ancient Metal Objects</w:t>
      </w:r>
      <w:r w:rsidR="00251E7E">
        <w:rPr>
          <w:sz w:val="24"/>
          <w:szCs w:val="24"/>
        </w:rPr>
        <w:t>.</w:t>
      </w:r>
      <w:r w:rsidRPr="003901E7">
        <w:rPr>
          <w:sz w:val="24"/>
          <w:szCs w:val="24"/>
        </w:rPr>
        <w:t xml:space="preserve">” In </w:t>
      </w:r>
      <w:r w:rsidRPr="003901E7">
        <w:rPr>
          <w:i/>
          <w:sz w:val="24"/>
          <w:szCs w:val="24"/>
        </w:rPr>
        <w:t>Metals and Museums in the Mediterranean: Protecting, Preserving and Interpreting</w:t>
      </w:r>
      <w:r w:rsidRPr="003901E7">
        <w:rPr>
          <w:sz w:val="24"/>
          <w:szCs w:val="24"/>
        </w:rPr>
        <w:t>, ed</w:t>
      </w:r>
      <w:r w:rsidR="00251E7E">
        <w:rPr>
          <w:sz w:val="24"/>
          <w:szCs w:val="24"/>
        </w:rPr>
        <w:t>.</w:t>
      </w:r>
      <w:r w:rsidRPr="003901E7">
        <w:rPr>
          <w:sz w:val="24"/>
          <w:szCs w:val="24"/>
        </w:rPr>
        <w:t xml:space="preserve"> V. Argyropoulos</w:t>
      </w:r>
      <w:r w:rsidR="00251E7E">
        <w:rPr>
          <w:sz w:val="24"/>
          <w:szCs w:val="24"/>
        </w:rPr>
        <w:t xml:space="preserve">, 141–77. </w:t>
      </w:r>
      <w:r w:rsidRPr="003901E7">
        <w:rPr>
          <w:sz w:val="24"/>
          <w:szCs w:val="24"/>
        </w:rPr>
        <w:t xml:space="preserve"> </w:t>
      </w:r>
      <w:r w:rsidR="00251E7E">
        <w:rPr>
          <w:sz w:val="24"/>
          <w:szCs w:val="24"/>
        </w:rPr>
        <w:t xml:space="preserve">Athens: </w:t>
      </w:r>
      <w:r w:rsidRPr="003901E7">
        <w:rPr>
          <w:sz w:val="24"/>
          <w:szCs w:val="24"/>
        </w:rPr>
        <w:t>Department of Conservation of Antiquities and Works of Art.</w:t>
      </w:r>
    </w:p>
    <w:p w:rsidR="003C4D7A" w:rsidRPr="003901E7" w:rsidRDefault="003C4D7A" w:rsidP="003901E7">
      <w:pPr>
        <w:pStyle w:val="ListParagraph"/>
        <w:spacing w:line="360" w:lineRule="auto"/>
        <w:ind w:left="0"/>
        <w:rPr>
          <w:color w:val="000000"/>
          <w:sz w:val="24"/>
          <w:szCs w:val="24"/>
          <w:lang w:eastAsia="el-GR"/>
        </w:rPr>
      </w:pPr>
    </w:p>
    <w:p w:rsidR="00251E7E" w:rsidRDefault="00251E7E" w:rsidP="003901E7">
      <w:pPr>
        <w:autoSpaceDE w:val="0"/>
        <w:autoSpaceDN w:val="0"/>
        <w:adjustRightInd w:val="0"/>
        <w:spacing w:line="360" w:lineRule="auto"/>
        <w:rPr>
          <w:color w:val="000000"/>
          <w:sz w:val="24"/>
          <w:szCs w:val="24"/>
          <w:lang w:eastAsia="el-GR"/>
        </w:rPr>
      </w:pPr>
      <w:r w:rsidRPr="003901E7">
        <w:rPr>
          <w:color w:val="000000"/>
          <w:sz w:val="24"/>
          <w:szCs w:val="24"/>
          <w:lang w:eastAsia="el-GR"/>
        </w:rPr>
        <w:lastRenderedPageBreak/>
        <w:t xml:space="preserve">Manso </w:t>
      </w:r>
      <w:r>
        <w:rPr>
          <w:color w:val="000000"/>
          <w:sz w:val="24"/>
          <w:szCs w:val="24"/>
          <w:lang w:eastAsia="el-GR"/>
        </w:rPr>
        <w:t>et al. 2015</w:t>
      </w:r>
    </w:p>
    <w:p w:rsidR="003C4D7A" w:rsidRPr="003901E7" w:rsidRDefault="003C4D7A" w:rsidP="003901E7">
      <w:pPr>
        <w:autoSpaceDE w:val="0"/>
        <w:autoSpaceDN w:val="0"/>
        <w:adjustRightInd w:val="0"/>
        <w:spacing w:line="360" w:lineRule="auto"/>
        <w:rPr>
          <w:color w:val="000000"/>
          <w:sz w:val="24"/>
          <w:szCs w:val="24"/>
          <w:lang w:eastAsia="el-GR"/>
        </w:rPr>
      </w:pPr>
      <w:r w:rsidRPr="003901E7">
        <w:rPr>
          <w:color w:val="000000"/>
          <w:sz w:val="24"/>
          <w:szCs w:val="24"/>
          <w:lang w:eastAsia="el-GR"/>
        </w:rPr>
        <w:t>Manso, M.</w:t>
      </w:r>
      <w:r w:rsidR="00251E7E">
        <w:rPr>
          <w:color w:val="000000"/>
          <w:sz w:val="24"/>
          <w:szCs w:val="24"/>
          <w:lang w:eastAsia="el-GR"/>
        </w:rPr>
        <w:t>, N.</w:t>
      </w:r>
      <w:r w:rsidRPr="003901E7">
        <w:rPr>
          <w:color w:val="000000"/>
          <w:sz w:val="24"/>
          <w:szCs w:val="24"/>
          <w:lang w:eastAsia="el-GR"/>
        </w:rPr>
        <w:t xml:space="preserve"> Schiavon, </w:t>
      </w:r>
      <w:r w:rsidR="00251E7E">
        <w:rPr>
          <w:color w:val="000000"/>
          <w:sz w:val="24"/>
          <w:szCs w:val="24"/>
          <w:lang w:eastAsia="el-GR"/>
        </w:rPr>
        <w:t>I</w:t>
      </w:r>
      <w:r w:rsidRPr="003901E7">
        <w:rPr>
          <w:color w:val="000000"/>
          <w:sz w:val="24"/>
          <w:szCs w:val="24"/>
          <w:lang w:eastAsia="el-GR"/>
        </w:rPr>
        <w:t xml:space="preserve">. Queralt, </w:t>
      </w:r>
      <w:r w:rsidR="00251E7E">
        <w:rPr>
          <w:color w:val="000000"/>
          <w:sz w:val="24"/>
          <w:szCs w:val="24"/>
          <w:lang w:eastAsia="el-GR"/>
        </w:rPr>
        <w:t>A. M</w:t>
      </w:r>
      <w:r w:rsidRPr="003901E7">
        <w:rPr>
          <w:color w:val="000000"/>
          <w:sz w:val="24"/>
          <w:szCs w:val="24"/>
          <w:lang w:eastAsia="el-GR"/>
        </w:rPr>
        <w:t xml:space="preserve">. Arruda, </w:t>
      </w:r>
      <w:r w:rsidR="00251E7E">
        <w:rPr>
          <w:color w:val="000000"/>
          <w:sz w:val="24"/>
          <w:szCs w:val="24"/>
          <w:lang w:eastAsia="el-GR"/>
        </w:rPr>
        <w:t>J. M</w:t>
      </w:r>
      <w:r w:rsidRPr="003901E7">
        <w:rPr>
          <w:color w:val="000000"/>
          <w:sz w:val="24"/>
          <w:szCs w:val="24"/>
          <w:lang w:eastAsia="el-GR"/>
        </w:rPr>
        <w:t xml:space="preserve">. Sampaio, </w:t>
      </w:r>
      <w:r w:rsidR="00251E7E">
        <w:rPr>
          <w:color w:val="000000"/>
          <w:sz w:val="24"/>
          <w:szCs w:val="24"/>
          <w:lang w:eastAsia="el-GR"/>
        </w:rPr>
        <w:t>and A</w:t>
      </w:r>
      <w:r w:rsidRPr="003901E7">
        <w:rPr>
          <w:color w:val="000000"/>
          <w:sz w:val="24"/>
          <w:szCs w:val="24"/>
          <w:lang w:eastAsia="el-GR"/>
        </w:rPr>
        <w:t>. Brunetti. 2015.</w:t>
      </w:r>
      <w:r w:rsidR="003901E7">
        <w:rPr>
          <w:color w:val="000000"/>
          <w:sz w:val="24"/>
          <w:szCs w:val="24"/>
          <w:lang w:eastAsia="el-GR"/>
        </w:rPr>
        <w:t xml:space="preserve"> </w:t>
      </w:r>
      <w:r w:rsidRPr="003901E7">
        <w:rPr>
          <w:color w:val="000000"/>
          <w:sz w:val="24"/>
          <w:szCs w:val="24"/>
        </w:rPr>
        <w:t>“</w:t>
      </w:r>
      <w:r w:rsidRPr="003901E7">
        <w:rPr>
          <w:color w:val="000000"/>
          <w:sz w:val="24"/>
          <w:szCs w:val="24"/>
          <w:lang w:eastAsia="el-GR"/>
        </w:rPr>
        <w:t xml:space="preserve">Alloy </w:t>
      </w:r>
      <w:r w:rsidR="00251E7E">
        <w:rPr>
          <w:color w:val="000000"/>
          <w:sz w:val="24"/>
          <w:szCs w:val="24"/>
          <w:lang w:eastAsia="el-GR"/>
        </w:rPr>
        <w:t>C</w:t>
      </w:r>
      <w:r w:rsidRPr="003901E7">
        <w:rPr>
          <w:color w:val="000000"/>
          <w:sz w:val="24"/>
          <w:szCs w:val="24"/>
          <w:lang w:eastAsia="el-GR"/>
        </w:rPr>
        <w:t xml:space="preserve">haracterization of a 7th Century BC </w:t>
      </w:r>
      <w:r w:rsidR="00251E7E">
        <w:rPr>
          <w:color w:val="000000"/>
          <w:sz w:val="24"/>
          <w:szCs w:val="24"/>
          <w:lang w:eastAsia="el-GR"/>
        </w:rPr>
        <w:t>A</w:t>
      </w:r>
      <w:r w:rsidRPr="003901E7">
        <w:rPr>
          <w:color w:val="000000"/>
          <w:sz w:val="24"/>
          <w:szCs w:val="24"/>
          <w:lang w:eastAsia="el-GR"/>
        </w:rPr>
        <w:t xml:space="preserve">rcheological </w:t>
      </w:r>
      <w:r w:rsidR="00251E7E">
        <w:rPr>
          <w:color w:val="000000"/>
          <w:sz w:val="24"/>
          <w:szCs w:val="24"/>
          <w:lang w:eastAsia="el-GR"/>
        </w:rPr>
        <w:t>B</w:t>
      </w:r>
      <w:r w:rsidRPr="003901E7">
        <w:rPr>
          <w:color w:val="000000"/>
          <w:sz w:val="24"/>
          <w:szCs w:val="24"/>
          <w:lang w:eastAsia="el-GR"/>
        </w:rPr>
        <w:t xml:space="preserve">ronze </w:t>
      </w:r>
      <w:r w:rsidR="00251E7E">
        <w:rPr>
          <w:color w:val="000000"/>
          <w:sz w:val="24"/>
          <w:szCs w:val="24"/>
          <w:lang w:eastAsia="el-GR"/>
        </w:rPr>
        <w:t>V</w:t>
      </w:r>
      <w:r w:rsidRPr="003901E7">
        <w:rPr>
          <w:color w:val="000000"/>
          <w:sz w:val="24"/>
          <w:szCs w:val="24"/>
          <w:lang w:eastAsia="el-GR"/>
        </w:rPr>
        <w:t xml:space="preserve">ase Overcoming </w:t>
      </w:r>
      <w:r w:rsidR="00251E7E">
        <w:rPr>
          <w:color w:val="000000"/>
          <w:sz w:val="24"/>
          <w:szCs w:val="24"/>
          <w:lang w:eastAsia="el-GR"/>
        </w:rPr>
        <w:t>P</w:t>
      </w:r>
      <w:r w:rsidRPr="003901E7">
        <w:rPr>
          <w:color w:val="000000"/>
          <w:sz w:val="24"/>
          <w:szCs w:val="24"/>
          <w:lang w:eastAsia="el-GR"/>
        </w:rPr>
        <w:t xml:space="preserve">atina </w:t>
      </w:r>
      <w:r w:rsidR="00251E7E">
        <w:rPr>
          <w:color w:val="000000"/>
          <w:sz w:val="24"/>
          <w:szCs w:val="24"/>
          <w:lang w:eastAsia="el-GR"/>
        </w:rPr>
        <w:t>C</w:t>
      </w:r>
      <w:r w:rsidRPr="003901E7">
        <w:rPr>
          <w:color w:val="000000"/>
          <w:sz w:val="24"/>
          <w:szCs w:val="24"/>
          <w:lang w:eastAsia="el-GR"/>
        </w:rPr>
        <w:t xml:space="preserve">onstraints </w:t>
      </w:r>
      <w:r w:rsidR="00251E7E">
        <w:rPr>
          <w:color w:val="000000"/>
          <w:sz w:val="24"/>
          <w:szCs w:val="24"/>
          <w:lang w:eastAsia="el-GR"/>
        </w:rPr>
        <w:t>U</w:t>
      </w:r>
      <w:r w:rsidRPr="003901E7">
        <w:rPr>
          <w:color w:val="000000"/>
          <w:sz w:val="24"/>
          <w:szCs w:val="24"/>
          <w:lang w:eastAsia="el-GR"/>
        </w:rPr>
        <w:t xml:space="preserve">sing Monte Carlo </w:t>
      </w:r>
      <w:r w:rsidR="00251E7E">
        <w:rPr>
          <w:color w:val="000000"/>
          <w:sz w:val="24"/>
          <w:szCs w:val="24"/>
          <w:lang w:eastAsia="el-GR"/>
        </w:rPr>
        <w:t>S</w:t>
      </w:r>
      <w:r w:rsidRPr="003901E7">
        <w:rPr>
          <w:color w:val="000000"/>
          <w:sz w:val="24"/>
          <w:szCs w:val="24"/>
          <w:lang w:eastAsia="el-GR"/>
        </w:rPr>
        <w:t>imulations</w:t>
      </w:r>
      <w:r w:rsidR="00251E7E">
        <w:rPr>
          <w:color w:val="000000"/>
          <w:sz w:val="24"/>
          <w:szCs w:val="24"/>
          <w:lang w:eastAsia="el-GR"/>
        </w:rPr>
        <w:t>.”</w:t>
      </w:r>
      <w:r w:rsidRPr="003901E7">
        <w:rPr>
          <w:i/>
          <w:color w:val="000000"/>
          <w:sz w:val="24"/>
          <w:szCs w:val="24"/>
          <w:lang w:eastAsia="el-GR"/>
        </w:rPr>
        <w:t xml:space="preserve"> Spectrochimica Acta B</w:t>
      </w:r>
      <w:r w:rsidRPr="003901E7">
        <w:rPr>
          <w:color w:val="000000"/>
          <w:sz w:val="24"/>
          <w:szCs w:val="24"/>
          <w:lang w:eastAsia="el-GR"/>
        </w:rPr>
        <w:t xml:space="preserve"> 107:</w:t>
      </w:r>
      <w:r w:rsidR="001C0CA7">
        <w:rPr>
          <w:color w:val="000000"/>
          <w:sz w:val="24"/>
          <w:szCs w:val="24"/>
          <w:lang w:eastAsia="el-GR"/>
        </w:rPr>
        <w:t xml:space="preserve"> </w:t>
      </w:r>
      <w:r w:rsidRPr="003901E7">
        <w:rPr>
          <w:color w:val="000000"/>
          <w:sz w:val="24"/>
          <w:szCs w:val="24"/>
          <w:lang w:eastAsia="el-GR"/>
        </w:rPr>
        <w:t>93</w:t>
      </w:r>
      <w:r w:rsidR="001C0CA7">
        <w:rPr>
          <w:color w:val="000000"/>
          <w:sz w:val="24"/>
          <w:szCs w:val="24"/>
          <w:lang w:eastAsia="el-GR"/>
        </w:rPr>
        <w:t>–</w:t>
      </w:r>
      <w:r w:rsidRPr="003901E7">
        <w:rPr>
          <w:color w:val="000000"/>
          <w:sz w:val="24"/>
          <w:szCs w:val="24"/>
          <w:lang w:eastAsia="el-GR"/>
        </w:rPr>
        <w:t>96.</w:t>
      </w:r>
    </w:p>
    <w:p w:rsidR="003C4D7A" w:rsidRPr="003901E7" w:rsidRDefault="003C4D7A" w:rsidP="003901E7">
      <w:pPr>
        <w:spacing w:line="360" w:lineRule="auto"/>
        <w:rPr>
          <w:sz w:val="24"/>
          <w:szCs w:val="24"/>
        </w:rPr>
      </w:pPr>
    </w:p>
    <w:p w:rsidR="001C0CA7" w:rsidRDefault="001C0CA7" w:rsidP="003901E7">
      <w:pPr>
        <w:spacing w:line="360" w:lineRule="auto"/>
        <w:rPr>
          <w:sz w:val="24"/>
          <w:szCs w:val="24"/>
        </w:rPr>
      </w:pPr>
      <w:r>
        <w:rPr>
          <w:sz w:val="24"/>
          <w:szCs w:val="24"/>
        </w:rPr>
        <w:t>Nicholas and Manti</w:t>
      </w:r>
      <w:r w:rsidRPr="003901E7">
        <w:rPr>
          <w:sz w:val="24"/>
          <w:szCs w:val="24"/>
        </w:rPr>
        <w:t xml:space="preserve"> 2014</w:t>
      </w:r>
    </w:p>
    <w:p w:rsidR="003C4D7A" w:rsidRPr="003901E7" w:rsidRDefault="003C4D7A" w:rsidP="003901E7">
      <w:pPr>
        <w:spacing w:line="360" w:lineRule="auto"/>
        <w:rPr>
          <w:sz w:val="24"/>
          <w:szCs w:val="24"/>
        </w:rPr>
      </w:pPr>
      <w:r w:rsidRPr="003901E7">
        <w:rPr>
          <w:sz w:val="24"/>
          <w:szCs w:val="24"/>
        </w:rPr>
        <w:t>Nicholas</w:t>
      </w:r>
      <w:r w:rsidR="001C0CA7">
        <w:rPr>
          <w:sz w:val="24"/>
          <w:szCs w:val="24"/>
        </w:rPr>
        <w:t>,</w:t>
      </w:r>
      <w:r w:rsidRPr="003901E7">
        <w:rPr>
          <w:sz w:val="24"/>
          <w:szCs w:val="24"/>
        </w:rPr>
        <w:t xml:space="preserve"> M.</w:t>
      </w:r>
      <w:r w:rsidR="001C0CA7">
        <w:rPr>
          <w:sz w:val="24"/>
          <w:szCs w:val="24"/>
        </w:rPr>
        <w:t>,</w:t>
      </w:r>
      <w:r w:rsidRPr="003901E7">
        <w:rPr>
          <w:sz w:val="24"/>
          <w:szCs w:val="24"/>
        </w:rPr>
        <w:t xml:space="preserve"> and </w:t>
      </w:r>
      <w:r w:rsidR="001C0CA7">
        <w:rPr>
          <w:sz w:val="24"/>
          <w:szCs w:val="24"/>
        </w:rPr>
        <w:t xml:space="preserve">P. </w:t>
      </w:r>
      <w:r w:rsidRPr="003901E7">
        <w:rPr>
          <w:sz w:val="24"/>
          <w:szCs w:val="24"/>
        </w:rPr>
        <w:t>Manti</w:t>
      </w:r>
      <w:r w:rsidR="001C0CA7">
        <w:rPr>
          <w:sz w:val="24"/>
          <w:szCs w:val="24"/>
        </w:rPr>
        <w:t>.</w:t>
      </w:r>
      <w:r w:rsidRPr="003901E7">
        <w:rPr>
          <w:sz w:val="24"/>
          <w:szCs w:val="24"/>
        </w:rPr>
        <w:t xml:space="preserve"> 2014. “Testing the </w:t>
      </w:r>
      <w:r w:rsidR="001C0CA7">
        <w:rPr>
          <w:sz w:val="24"/>
          <w:szCs w:val="24"/>
        </w:rPr>
        <w:t>A</w:t>
      </w:r>
      <w:r w:rsidRPr="003901E7">
        <w:rPr>
          <w:sz w:val="24"/>
          <w:szCs w:val="24"/>
        </w:rPr>
        <w:t xml:space="preserve">pplicability of </w:t>
      </w:r>
      <w:r w:rsidR="001C0CA7">
        <w:rPr>
          <w:sz w:val="24"/>
          <w:szCs w:val="24"/>
        </w:rPr>
        <w:t>H</w:t>
      </w:r>
      <w:r w:rsidRPr="003901E7">
        <w:rPr>
          <w:sz w:val="24"/>
          <w:szCs w:val="24"/>
        </w:rPr>
        <w:t xml:space="preserve">andheld </w:t>
      </w:r>
      <w:r w:rsidR="001C0CA7">
        <w:rPr>
          <w:sz w:val="24"/>
          <w:szCs w:val="24"/>
        </w:rPr>
        <w:t>P</w:t>
      </w:r>
      <w:r w:rsidRPr="003901E7">
        <w:rPr>
          <w:sz w:val="24"/>
          <w:szCs w:val="24"/>
        </w:rPr>
        <w:t xml:space="preserve">ortable XRF to the </w:t>
      </w:r>
      <w:r w:rsidR="001C0CA7">
        <w:rPr>
          <w:sz w:val="24"/>
          <w:szCs w:val="24"/>
        </w:rPr>
        <w:t>C</w:t>
      </w:r>
      <w:r w:rsidRPr="003901E7">
        <w:rPr>
          <w:sz w:val="24"/>
          <w:szCs w:val="24"/>
        </w:rPr>
        <w:t xml:space="preserve">haracterisation of </w:t>
      </w:r>
      <w:r w:rsidR="001C0CA7">
        <w:rPr>
          <w:sz w:val="24"/>
          <w:szCs w:val="24"/>
        </w:rPr>
        <w:t>A</w:t>
      </w:r>
      <w:r w:rsidRPr="003901E7">
        <w:rPr>
          <w:sz w:val="24"/>
          <w:szCs w:val="24"/>
        </w:rPr>
        <w:t xml:space="preserve">rchaeological </w:t>
      </w:r>
      <w:r w:rsidR="001C0CA7">
        <w:rPr>
          <w:sz w:val="24"/>
          <w:szCs w:val="24"/>
        </w:rPr>
        <w:t>C</w:t>
      </w:r>
      <w:r w:rsidRPr="003901E7">
        <w:rPr>
          <w:sz w:val="24"/>
          <w:szCs w:val="24"/>
        </w:rPr>
        <w:t xml:space="preserve">opper </w:t>
      </w:r>
      <w:r w:rsidR="001C0CA7">
        <w:rPr>
          <w:sz w:val="24"/>
          <w:szCs w:val="24"/>
        </w:rPr>
        <w:t>A</w:t>
      </w:r>
      <w:r w:rsidRPr="003901E7">
        <w:rPr>
          <w:sz w:val="24"/>
          <w:szCs w:val="24"/>
        </w:rPr>
        <w:t>lloys</w:t>
      </w:r>
      <w:r w:rsidR="001C0CA7">
        <w:rPr>
          <w:sz w:val="24"/>
          <w:szCs w:val="24"/>
        </w:rPr>
        <w:t>.</w:t>
      </w:r>
      <w:r w:rsidRPr="003901E7">
        <w:rPr>
          <w:sz w:val="24"/>
          <w:szCs w:val="24"/>
        </w:rPr>
        <w:t xml:space="preserve">” In </w:t>
      </w:r>
      <w:r w:rsidR="00CF3E6A" w:rsidRPr="00CF3E6A">
        <w:rPr>
          <w:i/>
          <w:sz w:val="24"/>
          <w:szCs w:val="24"/>
        </w:rPr>
        <w:t>Proceedings of ICOM-CC 17th Triennial Conference, Melbourne</w:t>
      </w:r>
      <w:r w:rsidR="001C0CA7">
        <w:rPr>
          <w:sz w:val="24"/>
          <w:szCs w:val="24"/>
        </w:rPr>
        <w:t>, ed. J. Bridgeland</w:t>
      </w:r>
      <w:r w:rsidRPr="003901E7">
        <w:rPr>
          <w:sz w:val="24"/>
          <w:szCs w:val="24"/>
        </w:rPr>
        <w:t>.</w:t>
      </w:r>
      <w:r w:rsidR="001C0CA7">
        <w:rPr>
          <w:sz w:val="24"/>
          <w:szCs w:val="24"/>
        </w:rPr>
        <w:t xml:space="preserve"> International Council of Museums.</w:t>
      </w:r>
    </w:p>
    <w:p w:rsidR="003C4D7A" w:rsidRPr="003901E7" w:rsidRDefault="003C4D7A" w:rsidP="003901E7">
      <w:pPr>
        <w:pStyle w:val="ListParagraph"/>
        <w:spacing w:line="360" w:lineRule="auto"/>
        <w:ind w:left="0"/>
        <w:rPr>
          <w:sz w:val="24"/>
          <w:szCs w:val="24"/>
        </w:rPr>
      </w:pPr>
    </w:p>
    <w:p w:rsidR="001C0CA7" w:rsidRDefault="001C0CA7" w:rsidP="003901E7">
      <w:pPr>
        <w:spacing w:line="360" w:lineRule="auto"/>
        <w:rPr>
          <w:sz w:val="24"/>
          <w:szCs w:val="24"/>
        </w:rPr>
      </w:pPr>
      <w:r>
        <w:rPr>
          <w:sz w:val="24"/>
          <w:szCs w:val="24"/>
        </w:rPr>
        <w:t>Potts</w:t>
      </w:r>
      <w:r w:rsidRPr="003901E7">
        <w:rPr>
          <w:sz w:val="24"/>
          <w:szCs w:val="24"/>
        </w:rPr>
        <w:t xml:space="preserve"> and West 2008</w:t>
      </w:r>
    </w:p>
    <w:p w:rsidR="003C4D7A" w:rsidRPr="00843D73" w:rsidRDefault="003C4D7A" w:rsidP="003901E7">
      <w:pPr>
        <w:spacing w:line="360" w:lineRule="auto"/>
        <w:rPr>
          <w:bCs/>
          <w:i/>
          <w:sz w:val="24"/>
          <w:szCs w:val="24"/>
        </w:rPr>
      </w:pPr>
      <w:r w:rsidRPr="003901E7">
        <w:rPr>
          <w:sz w:val="24"/>
          <w:szCs w:val="24"/>
        </w:rPr>
        <w:t>Potts</w:t>
      </w:r>
      <w:r w:rsidR="001C0CA7">
        <w:rPr>
          <w:sz w:val="24"/>
          <w:szCs w:val="24"/>
        </w:rPr>
        <w:t>,</w:t>
      </w:r>
      <w:r w:rsidRPr="003901E7">
        <w:rPr>
          <w:sz w:val="24"/>
          <w:szCs w:val="24"/>
        </w:rPr>
        <w:t xml:space="preserve"> P.</w:t>
      </w:r>
      <w:r w:rsidR="001C0CA7">
        <w:rPr>
          <w:sz w:val="24"/>
          <w:szCs w:val="24"/>
        </w:rPr>
        <w:t xml:space="preserve"> </w:t>
      </w:r>
      <w:r w:rsidRPr="003901E7">
        <w:rPr>
          <w:sz w:val="24"/>
          <w:szCs w:val="24"/>
        </w:rPr>
        <w:t>J.</w:t>
      </w:r>
      <w:r w:rsidR="001C0CA7">
        <w:rPr>
          <w:sz w:val="24"/>
          <w:szCs w:val="24"/>
        </w:rPr>
        <w:t>,</w:t>
      </w:r>
      <w:r w:rsidRPr="003901E7">
        <w:rPr>
          <w:sz w:val="24"/>
          <w:szCs w:val="24"/>
        </w:rPr>
        <w:t xml:space="preserve"> and </w:t>
      </w:r>
      <w:r w:rsidR="001C0CA7">
        <w:rPr>
          <w:sz w:val="24"/>
          <w:szCs w:val="24"/>
        </w:rPr>
        <w:t xml:space="preserve">M. </w:t>
      </w:r>
      <w:r w:rsidRPr="003901E7">
        <w:rPr>
          <w:sz w:val="24"/>
          <w:szCs w:val="24"/>
        </w:rPr>
        <w:t>West</w:t>
      </w:r>
      <w:r w:rsidR="001C0CA7">
        <w:rPr>
          <w:sz w:val="24"/>
          <w:szCs w:val="24"/>
        </w:rPr>
        <w:t>,</w:t>
      </w:r>
      <w:r w:rsidRPr="003901E7">
        <w:rPr>
          <w:sz w:val="24"/>
          <w:szCs w:val="24"/>
        </w:rPr>
        <w:t xml:space="preserve"> eds. 2008. </w:t>
      </w:r>
      <w:r w:rsidRPr="003901E7">
        <w:rPr>
          <w:bCs/>
          <w:i/>
          <w:sz w:val="24"/>
          <w:szCs w:val="24"/>
        </w:rPr>
        <w:t>Portable X-ray Fluorescence Spectrometry: Capabilities for In Situ Analysis</w:t>
      </w:r>
      <w:r w:rsidR="001C0CA7">
        <w:rPr>
          <w:bCs/>
          <w:sz w:val="24"/>
          <w:szCs w:val="24"/>
        </w:rPr>
        <w:t>.</w:t>
      </w:r>
      <w:r w:rsidRPr="003901E7">
        <w:rPr>
          <w:bCs/>
          <w:sz w:val="24"/>
          <w:szCs w:val="24"/>
        </w:rPr>
        <w:t xml:space="preserve"> </w:t>
      </w:r>
      <w:r w:rsidR="001C0CA7">
        <w:rPr>
          <w:bCs/>
          <w:sz w:val="24"/>
          <w:szCs w:val="24"/>
        </w:rPr>
        <w:t xml:space="preserve">Cambridge: </w:t>
      </w:r>
      <w:r w:rsidRPr="003901E7">
        <w:rPr>
          <w:bCs/>
          <w:sz w:val="24"/>
          <w:szCs w:val="24"/>
        </w:rPr>
        <w:t>RSC Publishing</w:t>
      </w:r>
      <w:r w:rsidR="001C0CA7">
        <w:rPr>
          <w:bCs/>
          <w:sz w:val="24"/>
          <w:szCs w:val="24"/>
        </w:rPr>
        <w:t>.</w:t>
      </w:r>
      <w:r w:rsidRPr="003901E7">
        <w:rPr>
          <w:bCs/>
          <w:sz w:val="24"/>
          <w:szCs w:val="24"/>
        </w:rPr>
        <w:t xml:space="preserve"> </w:t>
      </w:r>
    </w:p>
    <w:p w:rsidR="00843D73" w:rsidRPr="003901E7" w:rsidRDefault="00843D73" w:rsidP="00843D73">
      <w:pPr>
        <w:spacing w:line="360" w:lineRule="auto"/>
        <w:rPr>
          <w:b/>
          <w:bCs/>
          <w:sz w:val="24"/>
          <w:szCs w:val="24"/>
        </w:rPr>
      </w:pPr>
    </w:p>
    <w:p w:rsidR="001C0CA7" w:rsidRDefault="001C0CA7" w:rsidP="00843D73">
      <w:pPr>
        <w:autoSpaceDE w:val="0"/>
        <w:autoSpaceDN w:val="0"/>
        <w:adjustRightInd w:val="0"/>
        <w:spacing w:line="360" w:lineRule="auto"/>
        <w:rPr>
          <w:color w:val="000000"/>
          <w:sz w:val="24"/>
          <w:szCs w:val="24"/>
          <w:lang w:eastAsia="el-GR"/>
        </w:rPr>
      </w:pPr>
      <w:r w:rsidRPr="003901E7">
        <w:rPr>
          <w:color w:val="000000"/>
          <w:sz w:val="24"/>
          <w:szCs w:val="24"/>
          <w:lang w:eastAsia="el-GR"/>
        </w:rPr>
        <w:t xml:space="preserve">Robbiola </w:t>
      </w:r>
      <w:r>
        <w:rPr>
          <w:color w:val="000000"/>
          <w:sz w:val="24"/>
          <w:szCs w:val="24"/>
          <w:lang w:eastAsia="el-GR"/>
        </w:rPr>
        <w:t>et al. 1998</w:t>
      </w:r>
    </w:p>
    <w:p w:rsidR="00843D73" w:rsidRPr="003901E7" w:rsidRDefault="00843D73" w:rsidP="00843D73">
      <w:pPr>
        <w:autoSpaceDE w:val="0"/>
        <w:autoSpaceDN w:val="0"/>
        <w:adjustRightInd w:val="0"/>
        <w:spacing w:line="360" w:lineRule="auto"/>
        <w:rPr>
          <w:color w:val="000000"/>
          <w:sz w:val="24"/>
          <w:szCs w:val="24"/>
          <w:lang w:eastAsia="el-GR"/>
        </w:rPr>
      </w:pPr>
      <w:r w:rsidRPr="003901E7">
        <w:rPr>
          <w:color w:val="000000"/>
          <w:sz w:val="24"/>
          <w:szCs w:val="24"/>
          <w:lang w:eastAsia="el-GR"/>
        </w:rPr>
        <w:t>Robbiola, L.</w:t>
      </w:r>
      <w:r>
        <w:rPr>
          <w:color w:val="000000"/>
          <w:sz w:val="24"/>
          <w:szCs w:val="24"/>
          <w:lang w:eastAsia="el-GR"/>
        </w:rPr>
        <w:t>,</w:t>
      </w:r>
      <w:r w:rsidRPr="003901E7">
        <w:rPr>
          <w:color w:val="000000"/>
          <w:sz w:val="24"/>
          <w:szCs w:val="24"/>
          <w:lang w:eastAsia="el-GR"/>
        </w:rPr>
        <w:t xml:space="preserve"> </w:t>
      </w:r>
      <w:r w:rsidR="001C0CA7">
        <w:rPr>
          <w:color w:val="000000"/>
          <w:sz w:val="24"/>
          <w:szCs w:val="24"/>
          <w:lang w:eastAsia="el-GR"/>
        </w:rPr>
        <w:t xml:space="preserve">J. M. </w:t>
      </w:r>
      <w:r w:rsidRPr="003901E7">
        <w:rPr>
          <w:color w:val="000000"/>
          <w:sz w:val="24"/>
          <w:szCs w:val="24"/>
          <w:lang w:eastAsia="el-GR"/>
        </w:rPr>
        <w:t>Blengino</w:t>
      </w:r>
      <w:r w:rsidR="001C0CA7">
        <w:rPr>
          <w:color w:val="000000"/>
          <w:sz w:val="24"/>
          <w:szCs w:val="24"/>
          <w:lang w:eastAsia="el-GR"/>
        </w:rPr>
        <w:t>,</w:t>
      </w:r>
      <w:r w:rsidRPr="003901E7">
        <w:rPr>
          <w:color w:val="000000"/>
          <w:sz w:val="24"/>
          <w:szCs w:val="24"/>
          <w:lang w:eastAsia="el-GR"/>
        </w:rPr>
        <w:t xml:space="preserve"> </w:t>
      </w:r>
      <w:r w:rsidR="001C0CA7">
        <w:rPr>
          <w:color w:val="000000"/>
          <w:sz w:val="24"/>
          <w:szCs w:val="24"/>
          <w:lang w:eastAsia="el-GR"/>
        </w:rPr>
        <w:t>and C</w:t>
      </w:r>
      <w:r w:rsidRPr="003901E7">
        <w:rPr>
          <w:color w:val="000000"/>
          <w:sz w:val="24"/>
          <w:szCs w:val="24"/>
          <w:lang w:eastAsia="el-GR"/>
        </w:rPr>
        <w:t>.</w:t>
      </w:r>
      <w:r>
        <w:rPr>
          <w:color w:val="000000"/>
          <w:sz w:val="24"/>
          <w:szCs w:val="24"/>
          <w:lang w:eastAsia="el-GR"/>
        </w:rPr>
        <w:t xml:space="preserve"> </w:t>
      </w:r>
      <w:r w:rsidRPr="003901E7">
        <w:rPr>
          <w:color w:val="000000"/>
          <w:sz w:val="24"/>
          <w:szCs w:val="24"/>
          <w:lang w:eastAsia="el-GR"/>
        </w:rPr>
        <w:t>Fiaud</w:t>
      </w:r>
      <w:r w:rsidR="001C0CA7">
        <w:rPr>
          <w:color w:val="000000"/>
          <w:sz w:val="24"/>
          <w:szCs w:val="24"/>
          <w:lang w:eastAsia="el-GR"/>
        </w:rPr>
        <w:t>.</w:t>
      </w:r>
      <w:r w:rsidRPr="003901E7">
        <w:rPr>
          <w:color w:val="000000"/>
          <w:sz w:val="24"/>
          <w:szCs w:val="24"/>
          <w:lang w:eastAsia="el-GR"/>
        </w:rPr>
        <w:t xml:space="preserve"> 1998. “</w:t>
      </w:r>
      <w:r w:rsidRPr="003901E7">
        <w:rPr>
          <w:iCs/>
          <w:color w:val="000000"/>
          <w:sz w:val="24"/>
          <w:szCs w:val="24"/>
          <w:lang w:eastAsia="el-GR"/>
        </w:rPr>
        <w:t xml:space="preserve">Morphology and </w:t>
      </w:r>
      <w:r w:rsidR="001C0CA7">
        <w:rPr>
          <w:iCs/>
          <w:color w:val="000000"/>
          <w:sz w:val="24"/>
          <w:szCs w:val="24"/>
          <w:lang w:eastAsia="el-GR"/>
        </w:rPr>
        <w:t>M</w:t>
      </w:r>
      <w:r w:rsidRPr="003901E7">
        <w:rPr>
          <w:iCs/>
          <w:color w:val="000000"/>
          <w:sz w:val="24"/>
          <w:szCs w:val="24"/>
          <w:lang w:eastAsia="el-GR"/>
        </w:rPr>
        <w:t xml:space="preserve">echanisms </w:t>
      </w:r>
      <w:r w:rsidR="001C0CA7">
        <w:rPr>
          <w:iCs/>
          <w:color w:val="000000"/>
          <w:sz w:val="24"/>
          <w:szCs w:val="24"/>
          <w:lang w:eastAsia="el-GR"/>
        </w:rPr>
        <w:t>F</w:t>
      </w:r>
      <w:r w:rsidRPr="003901E7">
        <w:rPr>
          <w:iCs/>
          <w:color w:val="000000"/>
          <w:sz w:val="24"/>
          <w:szCs w:val="24"/>
          <w:lang w:eastAsia="el-GR"/>
        </w:rPr>
        <w:t xml:space="preserve">ormation of </w:t>
      </w:r>
      <w:r w:rsidR="001C0CA7">
        <w:rPr>
          <w:iCs/>
          <w:color w:val="000000"/>
          <w:sz w:val="24"/>
          <w:szCs w:val="24"/>
          <w:lang w:eastAsia="el-GR"/>
        </w:rPr>
        <w:t>N</w:t>
      </w:r>
      <w:r w:rsidRPr="003901E7">
        <w:rPr>
          <w:iCs/>
          <w:color w:val="000000"/>
          <w:sz w:val="24"/>
          <w:szCs w:val="24"/>
          <w:lang w:eastAsia="el-GR"/>
        </w:rPr>
        <w:t xml:space="preserve">atural </w:t>
      </w:r>
      <w:r w:rsidR="001C0CA7">
        <w:rPr>
          <w:iCs/>
          <w:color w:val="000000"/>
          <w:sz w:val="24"/>
          <w:szCs w:val="24"/>
          <w:lang w:eastAsia="el-GR"/>
        </w:rPr>
        <w:t>P</w:t>
      </w:r>
      <w:r w:rsidRPr="003901E7">
        <w:rPr>
          <w:iCs/>
          <w:color w:val="000000"/>
          <w:sz w:val="24"/>
          <w:szCs w:val="24"/>
          <w:lang w:eastAsia="el-GR"/>
        </w:rPr>
        <w:t xml:space="preserve">atinas on </w:t>
      </w:r>
      <w:r w:rsidR="001C0CA7">
        <w:rPr>
          <w:iCs/>
          <w:color w:val="000000"/>
          <w:sz w:val="24"/>
          <w:szCs w:val="24"/>
          <w:lang w:eastAsia="el-GR"/>
        </w:rPr>
        <w:t>A</w:t>
      </w:r>
      <w:r w:rsidRPr="003901E7">
        <w:rPr>
          <w:iCs/>
          <w:color w:val="000000"/>
          <w:sz w:val="24"/>
          <w:szCs w:val="24"/>
          <w:lang w:eastAsia="el-GR"/>
        </w:rPr>
        <w:t xml:space="preserve">rchaeological Cu-Sn </w:t>
      </w:r>
      <w:r w:rsidR="001C0CA7">
        <w:rPr>
          <w:iCs/>
          <w:color w:val="000000"/>
          <w:sz w:val="24"/>
          <w:szCs w:val="24"/>
          <w:lang w:eastAsia="el-GR"/>
        </w:rPr>
        <w:t>A</w:t>
      </w:r>
      <w:r w:rsidRPr="003901E7">
        <w:rPr>
          <w:iCs/>
          <w:color w:val="000000"/>
          <w:sz w:val="24"/>
          <w:szCs w:val="24"/>
          <w:lang w:eastAsia="el-GR"/>
        </w:rPr>
        <w:t>lloys</w:t>
      </w:r>
      <w:r>
        <w:rPr>
          <w:iCs/>
          <w:color w:val="000000"/>
          <w:sz w:val="24"/>
          <w:szCs w:val="24"/>
          <w:lang w:eastAsia="el-GR"/>
        </w:rPr>
        <w:t>.</w:t>
      </w:r>
      <w:r w:rsidRPr="003901E7">
        <w:rPr>
          <w:iCs/>
          <w:color w:val="000000"/>
          <w:sz w:val="24"/>
          <w:szCs w:val="24"/>
          <w:lang w:eastAsia="el-GR"/>
        </w:rPr>
        <w:t xml:space="preserve">” </w:t>
      </w:r>
      <w:r w:rsidRPr="003901E7">
        <w:rPr>
          <w:i/>
          <w:iCs/>
          <w:color w:val="000000"/>
          <w:sz w:val="24"/>
          <w:szCs w:val="24"/>
          <w:lang w:eastAsia="el-GR"/>
        </w:rPr>
        <w:t>Corrosion Science</w:t>
      </w:r>
      <w:r w:rsidRPr="003901E7">
        <w:rPr>
          <w:iCs/>
          <w:color w:val="000000"/>
          <w:sz w:val="24"/>
          <w:szCs w:val="24"/>
          <w:lang w:eastAsia="el-GR"/>
        </w:rPr>
        <w:t xml:space="preserve"> </w:t>
      </w:r>
      <w:r w:rsidRPr="003901E7">
        <w:rPr>
          <w:bCs/>
          <w:color w:val="000000"/>
          <w:sz w:val="24"/>
          <w:szCs w:val="24"/>
          <w:lang w:eastAsia="el-GR"/>
        </w:rPr>
        <w:t>40</w:t>
      </w:r>
      <w:r w:rsidRPr="003901E7">
        <w:rPr>
          <w:color w:val="000000"/>
          <w:sz w:val="24"/>
          <w:szCs w:val="24"/>
          <w:lang w:eastAsia="el-GR"/>
        </w:rPr>
        <w:t>:</w:t>
      </w:r>
      <w:r w:rsidR="001C0CA7">
        <w:rPr>
          <w:color w:val="000000"/>
          <w:sz w:val="24"/>
          <w:szCs w:val="24"/>
          <w:lang w:eastAsia="el-GR"/>
        </w:rPr>
        <w:t xml:space="preserve"> </w:t>
      </w:r>
      <w:r w:rsidRPr="003901E7">
        <w:rPr>
          <w:color w:val="000000"/>
          <w:sz w:val="24"/>
          <w:szCs w:val="24"/>
          <w:lang w:eastAsia="el-GR"/>
        </w:rPr>
        <w:t>2083</w:t>
      </w:r>
      <w:r w:rsidR="001C0CA7">
        <w:rPr>
          <w:color w:val="000000"/>
          <w:sz w:val="24"/>
          <w:szCs w:val="24"/>
          <w:lang w:eastAsia="el-GR"/>
        </w:rPr>
        <w:t>–</w:t>
      </w:r>
      <w:r w:rsidRPr="003901E7">
        <w:rPr>
          <w:color w:val="000000"/>
          <w:sz w:val="24"/>
          <w:szCs w:val="24"/>
          <w:lang w:eastAsia="el-GR"/>
        </w:rPr>
        <w:t xml:space="preserve">111. </w:t>
      </w:r>
    </w:p>
    <w:p w:rsidR="00843D73" w:rsidRDefault="00843D73" w:rsidP="003901E7">
      <w:pPr>
        <w:autoSpaceDE w:val="0"/>
        <w:autoSpaceDN w:val="0"/>
        <w:adjustRightInd w:val="0"/>
        <w:spacing w:line="360" w:lineRule="auto"/>
        <w:rPr>
          <w:color w:val="000000"/>
          <w:sz w:val="24"/>
          <w:szCs w:val="24"/>
          <w:lang w:eastAsia="el-GR"/>
        </w:rPr>
      </w:pPr>
    </w:p>
    <w:p w:rsidR="001C0CA7" w:rsidRDefault="001C0CA7" w:rsidP="003901E7">
      <w:pPr>
        <w:autoSpaceDE w:val="0"/>
        <w:autoSpaceDN w:val="0"/>
        <w:adjustRightInd w:val="0"/>
        <w:spacing w:line="360" w:lineRule="auto"/>
        <w:rPr>
          <w:color w:val="000000"/>
          <w:sz w:val="24"/>
          <w:szCs w:val="24"/>
          <w:lang w:eastAsia="el-GR"/>
        </w:rPr>
      </w:pPr>
      <w:r w:rsidRPr="003901E7">
        <w:rPr>
          <w:color w:val="000000"/>
          <w:sz w:val="24"/>
          <w:szCs w:val="24"/>
          <w:lang w:eastAsia="el-GR"/>
        </w:rPr>
        <w:t xml:space="preserve">Trentelman </w:t>
      </w:r>
      <w:r>
        <w:rPr>
          <w:color w:val="000000"/>
          <w:sz w:val="24"/>
          <w:szCs w:val="24"/>
          <w:lang w:eastAsia="el-GR"/>
        </w:rPr>
        <w:t>et al. 2010</w:t>
      </w:r>
    </w:p>
    <w:p w:rsidR="003C4D7A" w:rsidRPr="003901E7" w:rsidRDefault="003C4D7A" w:rsidP="003901E7">
      <w:pPr>
        <w:autoSpaceDE w:val="0"/>
        <w:autoSpaceDN w:val="0"/>
        <w:adjustRightInd w:val="0"/>
        <w:spacing w:line="360" w:lineRule="auto"/>
        <w:rPr>
          <w:color w:val="000000"/>
          <w:sz w:val="24"/>
          <w:szCs w:val="24"/>
          <w:lang w:eastAsia="el-GR"/>
        </w:rPr>
      </w:pPr>
      <w:r w:rsidRPr="003901E7">
        <w:rPr>
          <w:color w:val="000000"/>
          <w:sz w:val="24"/>
          <w:szCs w:val="24"/>
          <w:lang w:eastAsia="el-GR"/>
        </w:rPr>
        <w:t>Trentelman, K.</w:t>
      </w:r>
      <w:r w:rsidR="00C31FCF" w:rsidRPr="003901E7">
        <w:rPr>
          <w:color w:val="000000"/>
          <w:sz w:val="24"/>
          <w:szCs w:val="24"/>
          <w:lang w:eastAsia="el-GR"/>
        </w:rPr>
        <w:t>, M.</w:t>
      </w:r>
      <w:r w:rsidRPr="003901E7">
        <w:rPr>
          <w:color w:val="000000"/>
          <w:sz w:val="24"/>
          <w:szCs w:val="24"/>
          <w:lang w:eastAsia="el-GR"/>
        </w:rPr>
        <w:t xml:space="preserve"> Bouchard, M. Ganio, </w:t>
      </w:r>
      <w:r w:rsidR="00C31FCF" w:rsidRPr="003901E7">
        <w:rPr>
          <w:color w:val="000000"/>
          <w:sz w:val="24"/>
          <w:szCs w:val="24"/>
          <w:lang w:eastAsia="el-GR"/>
        </w:rPr>
        <w:t>C.</w:t>
      </w:r>
      <w:r w:rsidRPr="003901E7">
        <w:rPr>
          <w:color w:val="000000"/>
          <w:sz w:val="24"/>
          <w:szCs w:val="24"/>
          <w:lang w:eastAsia="el-GR"/>
        </w:rPr>
        <w:t xml:space="preserve"> Namowicz, C. Schmidt Patterson</w:t>
      </w:r>
      <w:r w:rsidR="00C31FCF" w:rsidRPr="003901E7">
        <w:rPr>
          <w:color w:val="000000"/>
          <w:sz w:val="24"/>
          <w:szCs w:val="24"/>
          <w:lang w:eastAsia="el-GR"/>
        </w:rPr>
        <w:t>, and M</w:t>
      </w:r>
      <w:r w:rsidRPr="003901E7">
        <w:rPr>
          <w:color w:val="000000"/>
          <w:sz w:val="24"/>
          <w:szCs w:val="24"/>
          <w:lang w:eastAsia="el-GR"/>
        </w:rPr>
        <w:t>. Walton. 2010. “</w:t>
      </w:r>
      <w:r w:rsidRPr="003901E7">
        <w:rPr>
          <w:bCs/>
          <w:color w:val="000000"/>
          <w:sz w:val="24"/>
          <w:szCs w:val="24"/>
          <w:lang w:eastAsia="el-GR"/>
        </w:rPr>
        <w:t xml:space="preserve">The </w:t>
      </w:r>
      <w:r w:rsidR="001C0CA7">
        <w:rPr>
          <w:bCs/>
          <w:color w:val="000000"/>
          <w:sz w:val="24"/>
          <w:szCs w:val="24"/>
          <w:lang w:eastAsia="el-GR"/>
        </w:rPr>
        <w:t>E</w:t>
      </w:r>
      <w:r w:rsidRPr="003901E7">
        <w:rPr>
          <w:bCs/>
          <w:color w:val="000000"/>
          <w:sz w:val="24"/>
          <w:szCs w:val="24"/>
          <w:lang w:eastAsia="el-GR"/>
        </w:rPr>
        <w:t xml:space="preserve">xamination of </w:t>
      </w:r>
      <w:r w:rsidR="001C0CA7">
        <w:rPr>
          <w:bCs/>
          <w:color w:val="000000"/>
          <w:sz w:val="24"/>
          <w:szCs w:val="24"/>
          <w:lang w:eastAsia="el-GR"/>
        </w:rPr>
        <w:t>W</w:t>
      </w:r>
      <w:r w:rsidRPr="003901E7">
        <w:rPr>
          <w:bCs/>
          <w:color w:val="000000"/>
          <w:sz w:val="24"/>
          <w:szCs w:val="24"/>
          <w:lang w:eastAsia="el-GR"/>
        </w:rPr>
        <w:t xml:space="preserve">orks of </w:t>
      </w:r>
      <w:r w:rsidR="001C0CA7">
        <w:rPr>
          <w:bCs/>
          <w:color w:val="000000"/>
          <w:sz w:val="24"/>
          <w:szCs w:val="24"/>
          <w:lang w:eastAsia="el-GR"/>
        </w:rPr>
        <w:t>A</w:t>
      </w:r>
      <w:r w:rsidRPr="003901E7">
        <w:rPr>
          <w:bCs/>
          <w:color w:val="000000"/>
          <w:sz w:val="24"/>
          <w:szCs w:val="24"/>
          <w:lang w:eastAsia="el-GR"/>
        </w:rPr>
        <w:t xml:space="preserve">rt </w:t>
      </w:r>
      <w:r w:rsidR="001C0CA7">
        <w:rPr>
          <w:bCs/>
          <w:color w:val="000000"/>
          <w:sz w:val="24"/>
          <w:szCs w:val="24"/>
          <w:lang w:eastAsia="el-GR"/>
        </w:rPr>
        <w:t>U</w:t>
      </w:r>
      <w:r w:rsidRPr="003901E7">
        <w:rPr>
          <w:bCs/>
          <w:color w:val="000000"/>
          <w:sz w:val="24"/>
          <w:szCs w:val="24"/>
          <w:lang w:eastAsia="el-GR"/>
        </w:rPr>
        <w:t xml:space="preserve">sing </w:t>
      </w:r>
      <w:r w:rsidRPr="003901E7">
        <w:rPr>
          <w:bCs/>
          <w:i/>
          <w:iCs/>
          <w:color w:val="000000"/>
          <w:sz w:val="24"/>
          <w:szCs w:val="24"/>
          <w:lang w:eastAsia="el-GR"/>
        </w:rPr>
        <w:t>in situ</w:t>
      </w:r>
      <w:r w:rsidRPr="003901E7">
        <w:rPr>
          <w:bCs/>
          <w:color w:val="000000"/>
          <w:sz w:val="24"/>
          <w:szCs w:val="24"/>
          <w:lang w:eastAsia="el-GR"/>
        </w:rPr>
        <w:t xml:space="preserve"> XRF </w:t>
      </w:r>
      <w:r w:rsidR="001C0CA7">
        <w:rPr>
          <w:bCs/>
          <w:color w:val="000000"/>
          <w:sz w:val="24"/>
          <w:szCs w:val="24"/>
          <w:lang w:eastAsia="el-GR"/>
        </w:rPr>
        <w:t>L</w:t>
      </w:r>
      <w:r w:rsidRPr="003901E7">
        <w:rPr>
          <w:bCs/>
          <w:color w:val="000000"/>
          <w:sz w:val="24"/>
          <w:szCs w:val="24"/>
          <w:lang w:eastAsia="el-GR"/>
        </w:rPr>
        <w:t xml:space="preserve">ine and </w:t>
      </w:r>
      <w:r w:rsidR="001C0CA7">
        <w:rPr>
          <w:bCs/>
          <w:color w:val="000000"/>
          <w:sz w:val="24"/>
          <w:szCs w:val="24"/>
          <w:lang w:eastAsia="el-GR"/>
        </w:rPr>
        <w:t>A</w:t>
      </w:r>
      <w:r w:rsidRPr="003901E7">
        <w:rPr>
          <w:bCs/>
          <w:color w:val="000000"/>
          <w:sz w:val="24"/>
          <w:szCs w:val="24"/>
          <w:lang w:eastAsia="el-GR"/>
        </w:rPr>
        <w:t xml:space="preserve">rea </w:t>
      </w:r>
      <w:r w:rsidR="001C0CA7">
        <w:rPr>
          <w:bCs/>
          <w:color w:val="000000"/>
          <w:sz w:val="24"/>
          <w:szCs w:val="24"/>
          <w:lang w:eastAsia="el-GR"/>
        </w:rPr>
        <w:t>S</w:t>
      </w:r>
      <w:r w:rsidRPr="003901E7">
        <w:rPr>
          <w:bCs/>
          <w:color w:val="000000"/>
          <w:sz w:val="24"/>
          <w:szCs w:val="24"/>
          <w:lang w:eastAsia="el-GR"/>
        </w:rPr>
        <w:t>cans</w:t>
      </w:r>
      <w:r w:rsidR="001C0CA7">
        <w:rPr>
          <w:bCs/>
          <w:color w:val="000000"/>
          <w:sz w:val="24"/>
          <w:szCs w:val="24"/>
          <w:lang w:eastAsia="el-GR"/>
        </w:rPr>
        <w:t>.</w:t>
      </w:r>
      <w:r w:rsidRPr="003901E7">
        <w:rPr>
          <w:bCs/>
          <w:color w:val="000000"/>
          <w:sz w:val="24"/>
          <w:szCs w:val="24"/>
          <w:lang w:eastAsia="el-GR"/>
        </w:rPr>
        <w:t>”</w:t>
      </w:r>
      <w:r w:rsidR="003901E7">
        <w:rPr>
          <w:bCs/>
          <w:color w:val="000000"/>
          <w:sz w:val="24"/>
          <w:szCs w:val="24"/>
          <w:lang w:eastAsia="el-GR"/>
        </w:rPr>
        <w:t xml:space="preserve"> </w:t>
      </w:r>
      <w:r w:rsidRPr="003901E7">
        <w:rPr>
          <w:i/>
          <w:iCs/>
          <w:color w:val="000000"/>
          <w:sz w:val="24"/>
          <w:szCs w:val="24"/>
          <w:lang w:eastAsia="el-GR"/>
        </w:rPr>
        <w:t>X-Ray Spectrometry</w:t>
      </w:r>
      <w:r w:rsidR="001C0CA7">
        <w:rPr>
          <w:color w:val="000000"/>
          <w:sz w:val="24"/>
          <w:szCs w:val="24"/>
          <w:lang w:eastAsia="el-GR"/>
        </w:rPr>
        <w:t xml:space="preserve"> </w:t>
      </w:r>
      <w:r w:rsidRPr="003901E7">
        <w:rPr>
          <w:bCs/>
          <w:color w:val="000000"/>
          <w:sz w:val="24"/>
          <w:szCs w:val="24"/>
          <w:lang w:eastAsia="el-GR"/>
        </w:rPr>
        <w:t>39</w:t>
      </w:r>
      <w:r w:rsidR="001C0CA7">
        <w:rPr>
          <w:bCs/>
          <w:color w:val="000000"/>
          <w:sz w:val="24"/>
          <w:szCs w:val="24"/>
          <w:lang w:eastAsia="el-GR"/>
        </w:rPr>
        <w:t>:</w:t>
      </w:r>
      <w:r w:rsidRPr="003901E7">
        <w:rPr>
          <w:b/>
          <w:bCs/>
          <w:color w:val="000000"/>
          <w:sz w:val="24"/>
          <w:szCs w:val="24"/>
          <w:lang w:eastAsia="el-GR"/>
        </w:rPr>
        <w:t xml:space="preserve"> </w:t>
      </w:r>
      <w:r w:rsidRPr="003901E7">
        <w:rPr>
          <w:color w:val="000000"/>
          <w:sz w:val="24"/>
          <w:szCs w:val="24"/>
          <w:lang w:eastAsia="el-GR"/>
        </w:rPr>
        <w:t>159</w:t>
      </w:r>
      <w:r w:rsidR="001C0CA7">
        <w:rPr>
          <w:color w:val="000000"/>
          <w:sz w:val="24"/>
          <w:szCs w:val="24"/>
          <w:lang w:eastAsia="el-GR"/>
        </w:rPr>
        <w:t>–</w:t>
      </w:r>
      <w:r w:rsidRPr="003901E7">
        <w:rPr>
          <w:color w:val="000000"/>
          <w:sz w:val="24"/>
          <w:szCs w:val="24"/>
          <w:lang w:eastAsia="el-GR"/>
        </w:rPr>
        <w:t xml:space="preserve">66. </w:t>
      </w:r>
    </w:p>
    <w:p w:rsidR="003C4D7A" w:rsidRPr="003901E7" w:rsidRDefault="003C4D7A" w:rsidP="003901E7">
      <w:pPr>
        <w:spacing w:line="360" w:lineRule="auto"/>
        <w:rPr>
          <w:sz w:val="24"/>
          <w:szCs w:val="24"/>
        </w:rPr>
      </w:pPr>
    </w:p>
    <w:sectPr w:rsidR="003C4D7A" w:rsidRPr="003901E7" w:rsidSect="00D26F7B">
      <w:headerReference w:type="even" r:id="rId19"/>
      <w:footerReference w:type="even" r:id="rId20"/>
      <w:endnotePr>
        <w:numFmt w:val="decimal"/>
      </w:endnotePr>
      <w:pgSz w:w="12240" w:h="15840" w:code="1"/>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6-12-19T16:49:00Z" w:initials="RHR">
    <w:p w:rsidR="00EA6D32" w:rsidRDefault="00EA6D32">
      <w:pPr>
        <w:pStyle w:val="CommentText"/>
      </w:pPr>
      <w:r>
        <w:rPr>
          <w:rStyle w:val="CommentReference"/>
        </w:rPr>
        <w:annotationRef/>
      </w:r>
      <w:r>
        <w:t>ED: Pls note: Au. included 3 photos in “table 2” - please extract these and relabel as Fig. 46.5a–c. The captions have been edited accordingly.</w:t>
      </w:r>
    </w:p>
  </w:comment>
  <w:comment w:id="1" w:author="Robin" w:date="2016-12-19T16:49:00Z" w:initials="RHR">
    <w:p w:rsidR="00EA6D32" w:rsidRDefault="00EA6D32">
      <w:pPr>
        <w:pStyle w:val="CommentText"/>
      </w:pPr>
      <w:r>
        <w:rPr>
          <w:rStyle w:val="CommentReference"/>
        </w:rPr>
        <w:annotationRef/>
      </w:r>
      <w:r>
        <w:t>ED: special characters - Greek symbols, math equations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B44A31" w15:done="0"/>
  <w15:commentEx w15:paraId="6A8F167C" w15:done="0"/>
  <w15:commentEx w15:paraId="0E5E8757" w15:done="0"/>
  <w15:commentEx w15:paraId="5B7AC47C" w15:done="0"/>
  <w15:commentEx w15:paraId="4563C56F" w15:done="0"/>
  <w15:commentEx w15:paraId="526A4B9C" w15:done="0"/>
  <w15:commentEx w15:paraId="52E38247" w15:done="0"/>
  <w15:commentEx w15:paraId="791010EF" w15:done="0"/>
  <w15:commentEx w15:paraId="78669B0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760" w:rsidRDefault="00342760">
      <w:r>
        <w:separator/>
      </w:r>
    </w:p>
  </w:endnote>
  <w:endnote w:type="continuationSeparator" w:id="0">
    <w:p w:rsidR="00342760" w:rsidRDefault="00342760">
      <w:r>
        <w:continuationSeparator/>
      </w:r>
    </w:p>
  </w:endnote>
  <w:endnote w:id="1">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Giannoulaki et al. 2007, Kantarelou et al. 2007a, Kantarelou et al. 2007b.</w:t>
      </w:r>
    </w:p>
  </w:endnote>
  <w:endnote w:id="2">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Degrigny et al. 2007.</w:t>
      </w:r>
    </w:p>
  </w:endnote>
  <w:endnote w:id="3">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Arafat et al. 2013.</w:t>
      </w:r>
    </w:p>
  </w:endnote>
  <w:endnote w:id="4">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Kantarelou et al. 2015.</w:t>
      </w:r>
    </w:p>
  </w:endnote>
  <w:endnote w:id="5">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w:t>
      </w:r>
      <w:r w:rsidRPr="00B80C18">
        <w:rPr>
          <w:color w:val="000000"/>
          <w:sz w:val="24"/>
          <w:szCs w:val="24"/>
        </w:rPr>
        <w:t>Heginbotham et al. 2010.</w:t>
      </w:r>
    </w:p>
  </w:endnote>
  <w:endnote w:id="6">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Karydas et al. 2007, Potts </w:t>
      </w:r>
      <w:r>
        <w:rPr>
          <w:sz w:val="24"/>
          <w:szCs w:val="24"/>
        </w:rPr>
        <w:t>and West</w:t>
      </w:r>
      <w:r w:rsidRPr="00B80C18">
        <w:rPr>
          <w:sz w:val="24"/>
          <w:szCs w:val="24"/>
        </w:rPr>
        <w:t xml:space="preserve"> 2008, Trentelman et al. 2010.</w:t>
      </w:r>
    </w:p>
  </w:endnote>
  <w:endnote w:id="7">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Figueiredo et al. 2013, Ferretti 201</w:t>
      </w:r>
      <w:r>
        <w:rPr>
          <w:sz w:val="24"/>
          <w:szCs w:val="24"/>
        </w:rPr>
        <w:t>4</w:t>
      </w:r>
      <w:r w:rsidRPr="00B80C18">
        <w:rPr>
          <w:sz w:val="24"/>
          <w:szCs w:val="24"/>
        </w:rPr>
        <w:t xml:space="preserve">, Nicholas </w:t>
      </w:r>
      <w:r>
        <w:rPr>
          <w:sz w:val="24"/>
          <w:szCs w:val="24"/>
        </w:rPr>
        <w:t>and Manti</w:t>
      </w:r>
      <w:r w:rsidRPr="00B80C18">
        <w:rPr>
          <w:sz w:val="24"/>
          <w:szCs w:val="24"/>
        </w:rPr>
        <w:t xml:space="preserve"> 2014.</w:t>
      </w:r>
    </w:p>
  </w:endnote>
  <w:endnote w:id="8">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Ingo et al.</w:t>
      </w:r>
      <w:r>
        <w:rPr>
          <w:sz w:val="24"/>
          <w:szCs w:val="24"/>
        </w:rPr>
        <w:t xml:space="preserve"> </w:t>
      </w:r>
      <w:r w:rsidRPr="00B80C18">
        <w:rPr>
          <w:sz w:val="24"/>
          <w:szCs w:val="24"/>
        </w:rPr>
        <w:t>2004.</w:t>
      </w:r>
    </w:p>
  </w:endnote>
  <w:endnote w:id="9">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w:t>
      </w:r>
      <w:r w:rsidRPr="00B80C18">
        <w:rPr>
          <w:rFonts w:eastAsia="MS Mincho"/>
          <w:color w:val="000000"/>
          <w:sz w:val="24"/>
          <w:szCs w:val="24"/>
          <w:lang w:eastAsia="ja-JP"/>
        </w:rPr>
        <w:t>Ingelbrecht et al. 2001</w:t>
      </w:r>
      <w:r w:rsidRPr="00B80C18">
        <w:rPr>
          <w:sz w:val="24"/>
          <w:szCs w:val="24"/>
        </w:rPr>
        <w:t>.</w:t>
      </w:r>
    </w:p>
  </w:endnote>
  <w:endnote w:id="10">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Robbiola et al. 1998.</w:t>
      </w:r>
    </w:p>
  </w:endnote>
  <w:endnote w:id="11">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Kantarelou et al.2007a, Gianoncelli </w:t>
      </w:r>
      <w:r>
        <w:rPr>
          <w:sz w:val="24"/>
          <w:szCs w:val="24"/>
        </w:rPr>
        <w:t xml:space="preserve">and Kourousias </w:t>
      </w:r>
      <w:r w:rsidRPr="00B80C18">
        <w:rPr>
          <w:sz w:val="24"/>
          <w:szCs w:val="24"/>
        </w:rPr>
        <w:t>2007.</w:t>
      </w:r>
    </w:p>
  </w:endnote>
  <w:endnote w:id="12">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Kantarelou et al. 2015.</w:t>
      </w:r>
    </w:p>
  </w:endnote>
  <w:endnote w:id="13">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Manso </w:t>
      </w:r>
      <w:r w:rsidRPr="00B80C18">
        <w:rPr>
          <w:rFonts w:eastAsia="MS Mincho"/>
          <w:color w:val="000000"/>
          <w:sz w:val="24"/>
          <w:szCs w:val="24"/>
          <w:lang w:eastAsia="ja-JP"/>
        </w:rPr>
        <w:t>et al. 2015</w:t>
      </w:r>
      <w:r w:rsidRPr="00B80C18">
        <w:rPr>
          <w:sz w:val="24"/>
          <w:szCs w:val="24"/>
        </w:rPr>
        <w:t>.</w:t>
      </w:r>
    </w:p>
  </w:endnote>
  <w:endnote w:id="14">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w:t>
      </w:r>
      <w:r w:rsidRPr="00B80C18">
        <w:rPr>
          <w:bCs/>
          <w:sz w:val="24"/>
          <w:szCs w:val="24"/>
        </w:rPr>
        <w:t xml:space="preserve">Kantarelou </w:t>
      </w:r>
      <w:r>
        <w:rPr>
          <w:rFonts w:eastAsia="MS Mincho"/>
          <w:color w:val="000000"/>
          <w:sz w:val="24"/>
          <w:szCs w:val="24"/>
          <w:lang w:eastAsia="ja-JP"/>
        </w:rPr>
        <w:t>and Karydas</w:t>
      </w:r>
      <w:r w:rsidRPr="00B80C18">
        <w:rPr>
          <w:rFonts w:eastAsia="MS Mincho"/>
          <w:color w:val="000000"/>
          <w:sz w:val="24"/>
          <w:szCs w:val="24"/>
          <w:lang w:eastAsia="ja-JP"/>
        </w:rPr>
        <w:t xml:space="preserve"> </w:t>
      </w:r>
      <w:r w:rsidRPr="00B80C18">
        <w:rPr>
          <w:bCs/>
          <w:sz w:val="24"/>
          <w:szCs w:val="24"/>
        </w:rPr>
        <w:t>2016.</w:t>
      </w:r>
    </w:p>
  </w:endnote>
  <w:endnote w:id="15">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w:t>
      </w:r>
      <w:r w:rsidR="004E6D6C">
        <w:rPr>
          <w:rFonts w:eastAsia="MS Mincho"/>
          <w:bCs/>
          <w:sz w:val="24"/>
          <w:szCs w:val="24"/>
          <w:lang w:eastAsia="ja-JP"/>
        </w:rPr>
        <w:t>Aruz, Benzel, and Evans</w:t>
      </w:r>
      <w:r w:rsidRPr="00B80C18">
        <w:rPr>
          <w:rFonts w:eastAsia="MS Mincho"/>
          <w:bCs/>
          <w:iCs/>
          <w:sz w:val="24"/>
          <w:szCs w:val="24"/>
          <w:lang w:eastAsia="ja-JP"/>
        </w:rPr>
        <w:t xml:space="preserve"> 2008.</w:t>
      </w:r>
    </w:p>
  </w:endnote>
  <w:endnote w:id="16">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w:t>
      </w:r>
      <w:r w:rsidRPr="00B80C18">
        <w:rPr>
          <w:iCs/>
          <w:color w:val="000000"/>
          <w:sz w:val="24"/>
          <w:szCs w:val="24"/>
        </w:rPr>
        <w:t xml:space="preserve">Al Moadin </w:t>
      </w:r>
      <w:r>
        <w:rPr>
          <w:iCs/>
          <w:color w:val="000000"/>
          <w:sz w:val="24"/>
          <w:szCs w:val="24"/>
        </w:rPr>
        <w:t>and Diez-Fuentes</w:t>
      </w:r>
      <w:r w:rsidRPr="00B80C18">
        <w:rPr>
          <w:iCs/>
          <w:color w:val="000000"/>
          <w:sz w:val="24"/>
          <w:szCs w:val="24"/>
        </w:rPr>
        <w:t xml:space="preserve"> 2006.</w:t>
      </w:r>
    </w:p>
  </w:endnote>
  <w:endnote w:id="17">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w:t>
      </w:r>
      <w:r w:rsidRPr="00B80C18">
        <w:rPr>
          <w:color w:val="000000"/>
          <w:sz w:val="24"/>
          <w:szCs w:val="24"/>
        </w:rPr>
        <w:t>Kantarelou et al. 2015.</w:t>
      </w:r>
    </w:p>
  </w:endnote>
  <w:endnote w:id="18">
    <w:p w:rsidR="00EA6D32" w:rsidRPr="00B80C18" w:rsidRDefault="00EA6D32" w:rsidP="004E6D6C">
      <w:pPr>
        <w:pStyle w:val="EndnoteText"/>
        <w:rPr>
          <w:sz w:val="24"/>
          <w:szCs w:val="24"/>
        </w:rPr>
      </w:pPr>
      <w:r w:rsidRPr="00B80C18">
        <w:rPr>
          <w:rStyle w:val="EndnoteReference"/>
          <w:sz w:val="24"/>
          <w:szCs w:val="24"/>
        </w:rPr>
        <w:endnoteRef/>
      </w:r>
      <w:r w:rsidR="004E6D6C">
        <w:rPr>
          <w:sz w:val="24"/>
          <w:szCs w:val="24"/>
        </w:rPr>
        <w:t xml:space="preserve"> Karydas, Anglos, and Harith</w:t>
      </w:r>
      <w:r w:rsidRPr="00B80C18">
        <w:rPr>
          <w:sz w:val="24"/>
          <w:szCs w:val="24"/>
        </w:rPr>
        <w:t xml:space="preserve"> 2008.</w:t>
      </w:r>
    </w:p>
  </w:endnote>
  <w:endnote w:id="19">
    <w:p w:rsidR="00EA6D32" w:rsidRPr="00B80C18" w:rsidRDefault="00EA6D32" w:rsidP="004E6D6C">
      <w:pPr>
        <w:pStyle w:val="EndnoteText"/>
        <w:rPr>
          <w:sz w:val="24"/>
          <w:szCs w:val="24"/>
        </w:rPr>
      </w:pPr>
      <w:r w:rsidRPr="00B80C18">
        <w:rPr>
          <w:rStyle w:val="EndnoteReference"/>
          <w:sz w:val="24"/>
          <w:szCs w:val="24"/>
        </w:rPr>
        <w:endnoteRef/>
      </w:r>
      <w:r w:rsidRPr="00B80C18">
        <w:rPr>
          <w:sz w:val="24"/>
          <w:szCs w:val="24"/>
        </w:rPr>
        <w:t xml:space="preserve"> Kantarelou et al. 2015.</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DokChampa">
    <w:panose1 w:val="020B0604020202020204"/>
    <w:charset w:val="00"/>
    <w:family w:val="swiss"/>
    <w:pitch w:val="variable"/>
    <w:sig w:usb0="03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D32" w:rsidRDefault="00EA6D3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760" w:rsidRDefault="00342760">
      <w:r>
        <w:separator/>
      </w:r>
    </w:p>
  </w:footnote>
  <w:footnote w:type="continuationSeparator" w:id="0">
    <w:p w:rsidR="00342760" w:rsidRDefault="00342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D32" w:rsidRDefault="00EA6D3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723"/>
    <w:multiLevelType w:val="hybridMultilevel"/>
    <w:tmpl w:val="065C6EEC"/>
    <w:lvl w:ilvl="0" w:tplc="08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F774FE"/>
    <w:multiLevelType w:val="hybridMultilevel"/>
    <w:tmpl w:val="A1886932"/>
    <w:lvl w:ilvl="0" w:tplc="0809000F">
      <w:start w:val="1"/>
      <w:numFmt w:val="decimal"/>
      <w:lvlText w:val="%1."/>
      <w:lvlJc w:val="left"/>
      <w:pPr>
        <w:tabs>
          <w:tab w:val="num" w:pos="720"/>
        </w:tabs>
        <w:ind w:left="720" w:hanging="360"/>
      </w:pPr>
      <w:rPr>
        <w:rFonts w:cs="Times New Roman"/>
      </w:rPr>
    </w:lvl>
    <w:lvl w:ilvl="1" w:tplc="0408000F">
      <w:start w:val="1"/>
      <w:numFmt w:val="decimal"/>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nsid w:val="15F4643D"/>
    <w:multiLevelType w:val="hybridMultilevel"/>
    <w:tmpl w:val="1A22031E"/>
    <w:lvl w:ilvl="0" w:tplc="04090015">
      <w:start w:val="1"/>
      <w:numFmt w:val="upperLetter"/>
      <w:lvlText w:val="%1."/>
      <w:lvlJc w:val="left"/>
      <w:pPr>
        <w:ind w:left="1530" w:hanging="360"/>
      </w:pPr>
      <w:rPr>
        <w:rFonts w:cs="Times New Roman" w:hint="default"/>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3">
    <w:nsid w:val="1F71649C"/>
    <w:multiLevelType w:val="hybridMultilevel"/>
    <w:tmpl w:val="B2423FA2"/>
    <w:lvl w:ilvl="0" w:tplc="08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A0B1EA3"/>
    <w:multiLevelType w:val="hybridMultilevel"/>
    <w:tmpl w:val="41FCEA64"/>
    <w:lvl w:ilvl="0" w:tplc="0809000F">
      <w:start w:val="1"/>
      <w:numFmt w:val="decimal"/>
      <w:lvlText w:val="%1."/>
      <w:lvlJc w:val="left"/>
      <w:pPr>
        <w:tabs>
          <w:tab w:val="num" w:pos="720"/>
        </w:tabs>
        <w:ind w:left="720" w:hanging="360"/>
      </w:pPr>
      <w:rPr>
        <w:rFonts w:cs="Times New Roman"/>
      </w:rPr>
    </w:lvl>
    <w:lvl w:ilvl="1" w:tplc="0408000F">
      <w:start w:val="1"/>
      <w:numFmt w:val="decimal"/>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nsid w:val="2A595A9F"/>
    <w:multiLevelType w:val="hybridMultilevel"/>
    <w:tmpl w:val="AEB85ACE"/>
    <w:lvl w:ilvl="0" w:tplc="0809000F">
      <w:start w:val="1"/>
      <w:numFmt w:val="decimal"/>
      <w:lvlText w:val="%1."/>
      <w:lvlJc w:val="left"/>
      <w:pPr>
        <w:tabs>
          <w:tab w:val="num" w:pos="720"/>
        </w:tabs>
        <w:ind w:left="720" w:hanging="360"/>
      </w:pPr>
      <w:rPr>
        <w:rFonts w:cs="Times New Roman"/>
      </w:rPr>
    </w:lvl>
    <w:lvl w:ilvl="1" w:tplc="0408000F">
      <w:start w:val="1"/>
      <w:numFmt w:val="decimal"/>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nsid w:val="3E377719"/>
    <w:multiLevelType w:val="hybridMultilevel"/>
    <w:tmpl w:val="A796C034"/>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7">
    <w:nsid w:val="47C51E9D"/>
    <w:multiLevelType w:val="hybridMultilevel"/>
    <w:tmpl w:val="065C6EEC"/>
    <w:lvl w:ilvl="0" w:tplc="08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9852EA2"/>
    <w:multiLevelType w:val="hybridMultilevel"/>
    <w:tmpl w:val="CCBE4E86"/>
    <w:lvl w:ilvl="0" w:tplc="08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18220C6"/>
    <w:multiLevelType w:val="hybridMultilevel"/>
    <w:tmpl w:val="15666E08"/>
    <w:lvl w:ilvl="0" w:tplc="04080015">
      <w:start w:val="1"/>
      <w:numFmt w:val="upperLetter"/>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0">
    <w:nsid w:val="603E770B"/>
    <w:multiLevelType w:val="hybridMultilevel"/>
    <w:tmpl w:val="3D4C0C22"/>
    <w:lvl w:ilvl="0" w:tplc="0809000F">
      <w:start w:val="1"/>
      <w:numFmt w:val="decimal"/>
      <w:lvlText w:val="%1."/>
      <w:lvlJc w:val="left"/>
      <w:pPr>
        <w:tabs>
          <w:tab w:val="num" w:pos="720"/>
        </w:tabs>
        <w:ind w:left="720" w:hanging="360"/>
      </w:pPr>
      <w:rPr>
        <w:rFonts w:cs="Times New Roman"/>
      </w:rPr>
    </w:lvl>
    <w:lvl w:ilvl="1" w:tplc="0408000F">
      <w:start w:val="1"/>
      <w:numFmt w:val="decimal"/>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nsid w:val="61166169"/>
    <w:multiLevelType w:val="hybridMultilevel"/>
    <w:tmpl w:val="CCBE4E86"/>
    <w:lvl w:ilvl="0" w:tplc="08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1D57ED4"/>
    <w:multiLevelType w:val="hybridMultilevel"/>
    <w:tmpl w:val="D4D6AFCA"/>
    <w:lvl w:ilvl="0" w:tplc="08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7A26F22"/>
    <w:multiLevelType w:val="hybridMultilevel"/>
    <w:tmpl w:val="A620CCAE"/>
    <w:lvl w:ilvl="0" w:tplc="04080015">
      <w:start w:val="1"/>
      <w:numFmt w:val="upperLetter"/>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4">
    <w:nsid w:val="67E63355"/>
    <w:multiLevelType w:val="hybridMultilevel"/>
    <w:tmpl w:val="F18C16E4"/>
    <w:lvl w:ilvl="0" w:tplc="04080015">
      <w:start w:val="1"/>
      <w:numFmt w:val="upperLetter"/>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5">
    <w:nsid w:val="6C7A5F75"/>
    <w:multiLevelType w:val="hybridMultilevel"/>
    <w:tmpl w:val="7D5479FC"/>
    <w:lvl w:ilvl="0" w:tplc="08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D4714E9"/>
    <w:multiLevelType w:val="hybridMultilevel"/>
    <w:tmpl w:val="D0165848"/>
    <w:lvl w:ilvl="0" w:tplc="08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D494985"/>
    <w:multiLevelType w:val="hybridMultilevel"/>
    <w:tmpl w:val="AEB85ACE"/>
    <w:lvl w:ilvl="0" w:tplc="0809000F">
      <w:start w:val="1"/>
      <w:numFmt w:val="decimal"/>
      <w:lvlText w:val="%1."/>
      <w:lvlJc w:val="left"/>
      <w:pPr>
        <w:tabs>
          <w:tab w:val="num" w:pos="720"/>
        </w:tabs>
        <w:ind w:left="720" w:hanging="360"/>
      </w:pPr>
      <w:rPr>
        <w:rFonts w:cs="Times New Roman"/>
      </w:rPr>
    </w:lvl>
    <w:lvl w:ilvl="1" w:tplc="0408000F">
      <w:start w:val="1"/>
      <w:numFmt w:val="decimal"/>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nsid w:val="7CCD1BF9"/>
    <w:multiLevelType w:val="hybridMultilevel"/>
    <w:tmpl w:val="A1886932"/>
    <w:lvl w:ilvl="0" w:tplc="0809000F">
      <w:start w:val="1"/>
      <w:numFmt w:val="decimal"/>
      <w:lvlText w:val="%1."/>
      <w:lvlJc w:val="left"/>
      <w:pPr>
        <w:tabs>
          <w:tab w:val="num" w:pos="720"/>
        </w:tabs>
        <w:ind w:left="720" w:hanging="360"/>
      </w:pPr>
      <w:rPr>
        <w:rFonts w:cs="Times New Roman"/>
      </w:rPr>
    </w:lvl>
    <w:lvl w:ilvl="1" w:tplc="0408000F">
      <w:start w:val="1"/>
      <w:numFmt w:val="decimal"/>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9">
    <w:nsid w:val="7EF1390D"/>
    <w:multiLevelType w:val="hybridMultilevel"/>
    <w:tmpl w:val="B2423FA2"/>
    <w:lvl w:ilvl="0" w:tplc="08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6"/>
  </w:num>
  <w:num w:numId="3">
    <w:abstractNumId w:val="13"/>
  </w:num>
  <w:num w:numId="4">
    <w:abstractNumId w:val="9"/>
  </w:num>
  <w:num w:numId="5">
    <w:abstractNumId w:val="14"/>
  </w:num>
  <w:num w:numId="6">
    <w:abstractNumId w:val="5"/>
  </w:num>
  <w:num w:numId="7">
    <w:abstractNumId w:val="17"/>
  </w:num>
  <w:num w:numId="8">
    <w:abstractNumId w:val="10"/>
  </w:num>
  <w:num w:numId="9">
    <w:abstractNumId w:val="4"/>
  </w:num>
  <w:num w:numId="10">
    <w:abstractNumId w:val="18"/>
  </w:num>
  <w:num w:numId="11">
    <w:abstractNumId w:val="11"/>
  </w:num>
  <w:num w:numId="12">
    <w:abstractNumId w:val="16"/>
  </w:num>
  <w:num w:numId="13">
    <w:abstractNumId w:val="8"/>
  </w:num>
  <w:num w:numId="14">
    <w:abstractNumId w:val="0"/>
  </w:num>
  <w:num w:numId="15">
    <w:abstractNumId w:val="3"/>
  </w:num>
  <w:num w:numId="16">
    <w:abstractNumId w:val="19"/>
  </w:num>
  <w:num w:numId="17">
    <w:abstractNumId w:val="15"/>
  </w:num>
  <w:num w:numId="18">
    <w:abstractNumId w:val="7"/>
  </w:num>
  <w:num w:numId="19">
    <w:abstractNumId w:val="1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trackRevisions/>
  <w:defaultTabStop w:val="720"/>
  <w:characterSpacingControl w:val="doNotCompress"/>
  <w:footnotePr>
    <w:footnote w:id="-1"/>
    <w:footnote w:id="0"/>
  </w:footnotePr>
  <w:endnotePr>
    <w:numFmt w:val="decimal"/>
    <w:endnote w:id="-1"/>
    <w:endnote w:id="0"/>
  </w:endnotePr>
  <w:compat/>
  <w:rsids>
    <w:rsidRoot w:val="007350BA"/>
    <w:rsid w:val="00006BEB"/>
    <w:rsid w:val="000110AC"/>
    <w:rsid w:val="000229A6"/>
    <w:rsid w:val="00027DDF"/>
    <w:rsid w:val="00031024"/>
    <w:rsid w:val="000323D6"/>
    <w:rsid w:val="00036AE7"/>
    <w:rsid w:val="00042DB4"/>
    <w:rsid w:val="000470F4"/>
    <w:rsid w:val="000673AC"/>
    <w:rsid w:val="000740E8"/>
    <w:rsid w:val="00083CB8"/>
    <w:rsid w:val="00084629"/>
    <w:rsid w:val="00086A95"/>
    <w:rsid w:val="000926A2"/>
    <w:rsid w:val="00094EC9"/>
    <w:rsid w:val="000A3CFD"/>
    <w:rsid w:val="000A7335"/>
    <w:rsid w:val="000B235C"/>
    <w:rsid w:val="000B7AF4"/>
    <w:rsid w:val="000C1D67"/>
    <w:rsid w:val="000C1ED7"/>
    <w:rsid w:val="000C5E84"/>
    <w:rsid w:val="000C6ECF"/>
    <w:rsid w:val="000D114E"/>
    <w:rsid w:val="000D330E"/>
    <w:rsid w:val="000D7527"/>
    <w:rsid w:val="000E6AA3"/>
    <w:rsid w:val="000F0DEB"/>
    <w:rsid w:val="000F16FF"/>
    <w:rsid w:val="000F3884"/>
    <w:rsid w:val="000F59D2"/>
    <w:rsid w:val="001004B0"/>
    <w:rsid w:val="0010229C"/>
    <w:rsid w:val="00106932"/>
    <w:rsid w:val="00113083"/>
    <w:rsid w:val="00126FD9"/>
    <w:rsid w:val="00131458"/>
    <w:rsid w:val="00136AE2"/>
    <w:rsid w:val="0014052B"/>
    <w:rsid w:val="001464F5"/>
    <w:rsid w:val="00154FE0"/>
    <w:rsid w:val="00157B35"/>
    <w:rsid w:val="001642C1"/>
    <w:rsid w:val="001720D5"/>
    <w:rsid w:val="00180E0A"/>
    <w:rsid w:val="00184872"/>
    <w:rsid w:val="00191422"/>
    <w:rsid w:val="00196E46"/>
    <w:rsid w:val="001A1D6B"/>
    <w:rsid w:val="001A58E1"/>
    <w:rsid w:val="001A6D3E"/>
    <w:rsid w:val="001C0CA7"/>
    <w:rsid w:val="001C39CE"/>
    <w:rsid w:val="001C548B"/>
    <w:rsid w:val="001D108C"/>
    <w:rsid w:val="001D55D7"/>
    <w:rsid w:val="001E0D1D"/>
    <w:rsid w:val="001F57CF"/>
    <w:rsid w:val="00213FC9"/>
    <w:rsid w:val="002254A1"/>
    <w:rsid w:val="002318E3"/>
    <w:rsid w:val="0023365B"/>
    <w:rsid w:val="00235F2B"/>
    <w:rsid w:val="00244B3E"/>
    <w:rsid w:val="002459FF"/>
    <w:rsid w:val="00251E7E"/>
    <w:rsid w:val="00264BD6"/>
    <w:rsid w:val="00265918"/>
    <w:rsid w:val="00266AC9"/>
    <w:rsid w:val="0027033C"/>
    <w:rsid w:val="00282358"/>
    <w:rsid w:val="002949C7"/>
    <w:rsid w:val="00297DD7"/>
    <w:rsid w:val="002A1155"/>
    <w:rsid w:val="002A14C4"/>
    <w:rsid w:val="002B243E"/>
    <w:rsid w:val="002B445B"/>
    <w:rsid w:val="002C39B1"/>
    <w:rsid w:val="002C5941"/>
    <w:rsid w:val="002C73FE"/>
    <w:rsid w:val="002D2705"/>
    <w:rsid w:val="002D4B80"/>
    <w:rsid w:val="002F1D49"/>
    <w:rsid w:val="002F273E"/>
    <w:rsid w:val="002F3838"/>
    <w:rsid w:val="003011BF"/>
    <w:rsid w:val="00301A84"/>
    <w:rsid w:val="003021F0"/>
    <w:rsid w:val="00302539"/>
    <w:rsid w:val="0031474B"/>
    <w:rsid w:val="0031699F"/>
    <w:rsid w:val="0032239F"/>
    <w:rsid w:val="003331AF"/>
    <w:rsid w:val="003372CB"/>
    <w:rsid w:val="003379F1"/>
    <w:rsid w:val="00342760"/>
    <w:rsid w:val="00344AD0"/>
    <w:rsid w:val="00354D78"/>
    <w:rsid w:val="00354F0D"/>
    <w:rsid w:val="00365163"/>
    <w:rsid w:val="00366D97"/>
    <w:rsid w:val="00383909"/>
    <w:rsid w:val="00384945"/>
    <w:rsid w:val="003901E7"/>
    <w:rsid w:val="00396FF5"/>
    <w:rsid w:val="003979D9"/>
    <w:rsid w:val="003A3809"/>
    <w:rsid w:val="003A4FE9"/>
    <w:rsid w:val="003A7F52"/>
    <w:rsid w:val="003B5E27"/>
    <w:rsid w:val="003C0A26"/>
    <w:rsid w:val="003C4488"/>
    <w:rsid w:val="003C466B"/>
    <w:rsid w:val="003C4D7A"/>
    <w:rsid w:val="003D0040"/>
    <w:rsid w:val="003D3B02"/>
    <w:rsid w:val="003D59A0"/>
    <w:rsid w:val="003E16DA"/>
    <w:rsid w:val="003F030B"/>
    <w:rsid w:val="003F2694"/>
    <w:rsid w:val="003F4A20"/>
    <w:rsid w:val="003F508D"/>
    <w:rsid w:val="003F525C"/>
    <w:rsid w:val="003F548C"/>
    <w:rsid w:val="00401A6F"/>
    <w:rsid w:val="00403AC0"/>
    <w:rsid w:val="00413509"/>
    <w:rsid w:val="004144F6"/>
    <w:rsid w:val="00414B29"/>
    <w:rsid w:val="004369CE"/>
    <w:rsid w:val="00443DCB"/>
    <w:rsid w:val="00451B42"/>
    <w:rsid w:val="00453889"/>
    <w:rsid w:val="00455D52"/>
    <w:rsid w:val="00467F08"/>
    <w:rsid w:val="0047147B"/>
    <w:rsid w:val="004816DA"/>
    <w:rsid w:val="00491542"/>
    <w:rsid w:val="00493EDC"/>
    <w:rsid w:val="004A773B"/>
    <w:rsid w:val="004B1951"/>
    <w:rsid w:val="004B3393"/>
    <w:rsid w:val="004B4422"/>
    <w:rsid w:val="004B5C24"/>
    <w:rsid w:val="004B7700"/>
    <w:rsid w:val="004C0D6C"/>
    <w:rsid w:val="004C7D1C"/>
    <w:rsid w:val="004D6381"/>
    <w:rsid w:val="004E12EC"/>
    <w:rsid w:val="004E6D6C"/>
    <w:rsid w:val="004F271F"/>
    <w:rsid w:val="004F4964"/>
    <w:rsid w:val="00502A99"/>
    <w:rsid w:val="00505888"/>
    <w:rsid w:val="0051415A"/>
    <w:rsid w:val="00516756"/>
    <w:rsid w:val="00544D18"/>
    <w:rsid w:val="00552524"/>
    <w:rsid w:val="00556262"/>
    <w:rsid w:val="0056267E"/>
    <w:rsid w:val="00572B6D"/>
    <w:rsid w:val="005733C0"/>
    <w:rsid w:val="00590690"/>
    <w:rsid w:val="005B3E08"/>
    <w:rsid w:val="005B51B1"/>
    <w:rsid w:val="005C0BFA"/>
    <w:rsid w:val="005C7619"/>
    <w:rsid w:val="005D25D0"/>
    <w:rsid w:val="005E7631"/>
    <w:rsid w:val="005F11D0"/>
    <w:rsid w:val="005F1379"/>
    <w:rsid w:val="005F296F"/>
    <w:rsid w:val="005F309F"/>
    <w:rsid w:val="00600EAB"/>
    <w:rsid w:val="00601744"/>
    <w:rsid w:val="00607778"/>
    <w:rsid w:val="00617657"/>
    <w:rsid w:val="00623A3A"/>
    <w:rsid w:val="00623C84"/>
    <w:rsid w:val="006246CB"/>
    <w:rsid w:val="00626EB7"/>
    <w:rsid w:val="006401C9"/>
    <w:rsid w:val="00641456"/>
    <w:rsid w:val="00643A6A"/>
    <w:rsid w:val="006512B6"/>
    <w:rsid w:val="006519C1"/>
    <w:rsid w:val="006668D8"/>
    <w:rsid w:val="00672E64"/>
    <w:rsid w:val="0067347C"/>
    <w:rsid w:val="0069142D"/>
    <w:rsid w:val="00691C9B"/>
    <w:rsid w:val="006A1505"/>
    <w:rsid w:val="006A1A0B"/>
    <w:rsid w:val="006A4039"/>
    <w:rsid w:val="006A4997"/>
    <w:rsid w:val="006A543C"/>
    <w:rsid w:val="006C4E05"/>
    <w:rsid w:val="006C66C6"/>
    <w:rsid w:val="006D1FB0"/>
    <w:rsid w:val="006E2F12"/>
    <w:rsid w:val="006E6E8F"/>
    <w:rsid w:val="006F4071"/>
    <w:rsid w:val="006F4A28"/>
    <w:rsid w:val="006F5464"/>
    <w:rsid w:val="00700B6C"/>
    <w:rsid w:val="00710AF3"/>
    <w:rsid w:val="00724F95"/>
    <w:rsid w:val="00733DAF"/>
    <w:rsid w:val="007350BA"/>
    <w:rsid w:val="00742067"/>
    <w:rsid w:val="00743466"/>
    <w:rsid w:val="007447BC"/>
    <w:rsid w:val="00746979"/>
    <w:rsid w:val="00753BBD"/>
    <w:rsid w:val="007573F0"/>
    <w:rsid w:val="0076753A"/>
    <w:rsid w:val="007702C5"/>
    <w:rsid w:val="0078618B"/>
    <w:rsid w:val="007933F0"/>
    <w:rsid w:val="00796375"/>
    <w:rsid w:val="007A1AA0"/>
    <w:rsid w:val="007A56FC"/>
    <w:rsid w:val="007C7876"/>
    <w:rsid w:val="007D36EF"/>
    <w:rsid w:val="007E61B1"/>
    <w:rsid w:val="007E6E1F"/>
    <w:rsid w:val="008224BF"/>
    <w:rsid w:val="00823843"/>
    <w:rsid w:val="00824FB9"/>
    <w:rsid w:val="0083109F"/>
    <w:rsid w:val="008312E6"/>
    <w:rsid w:val="008336A7"/>
    <w:rsid w:val="00843D73"/>
    <w:rsid w:val="00853381"/>
    <w:rsid w:val="00874BB0"/>
    <w:rsid w:val="00881C17"/>
    <w:rsid w:val="00893162"/>
    <w:rsid w:val="00893DA7"/>
    <w:rsid w:val="00894950"/>
    <w:rsid w:val="008B1A42"/>
    <w:rsid w:val="008C03FC"/>
    <w:rsid w:val="008C5284"/>
    <w:rsid w:val="008E3D65"/>
    <w:rsid w:val="008E586D"/>
    <w:rsid w:val="008F5DFF"/>
    <w:rsid w:val="00910C55"/>
    <w:rsid w:val="00913A25"/>
    <w:rsid w:val="0092423C"/>
    <w:rsid w:val="00925B52"/>
    <w:rsid w:val="00932F9F"/>
    <w:rsid w:val="009331A2"/>
    <w:rsid w:val="00933A09"/>
    <w:rsid w:val="009451A1"/>
    <w:rsid w:val="00947A58"/>
    <w:rsid w:val="00953F1D"/>
    <w:rsid w:val="00963555"/>
    <w:rsid w:val="009705BE"/>
    <w:rsid w:val="009871A4"/>
    <w:rsid w:val="009A45E5"/>
    <w:rsid w:val="009A7FEE"/>
    <w:rsid w:val="009B5388"/>
    <w:rsid w:val="009B7B80"/>
    <w:rsid w:val="009C357A"/>
    <w:rsid w:val="009D3F61"/>
    <w:rsid w:val="009D58FB"/>
    <w:rsid w:val="009D607A"/>
    <w:rsid w:val="009D6E70"/>
    <w:rsid w:val="009E0518"/>
    <w:rsid w:val="009E4BD4"/>
    <w:rsid w:val="009E6715"/>
    <w:rsid w:val="009E7371"/>
    <w:rsid w:val="009F5BBF"/>
    <w:rsid w:val="00A2462E"/>
    <w:rsid w:val="00A25B7B"/>
    <w:rsid w:val="00A276EE"/>
    <w:rsid w:val="00A33DEE"/>
    <w:rsid w:val="00A35E9F"/>
    <w:rsid w:val="00A42C0D"/>
    <w:rsid w:val="00A43BA3"/>
    <w:rsid w:val="00A463B5"/>
    <w:rsid w:val="00A47103"/>
    <w:rsid w:val="00A606A3"/>
    <w:rsid w:val="00A64E53"/>
    <w:rsid w:val="00A66351"/>
    <w:rsid w:val="00A702A3"/>
    <w:rsid w:val="00A73161"/>
    <w:rsid w:val="00A8277F"/>
    <w:rsid w:val="00A87B4C"/>
    <w:rsid w:val="00AB4F9A"/>
    <w:rsid w:val="00AB5DDB"/>
    <w:rsid w:val="00AC129A"/>
    <w:rsid w:val="00AE17B2"/>
    <w:rsid w:val="00AE1D54"/>
    <w:rsid w:val="00AE1F0C"/>
    <w:rsid w:val="00AE7750"/>
    <w:rsid w:val="00AE7793"/>
    <w:rsid w:val="00AF2E6B"/>
    <w:rsid w:val="00B02CC8"/>
    <w:rsid w:val="00B1775B"/>
    <w:rsid w:val="00B17D6E"/>
    <w:rsid w:val="00B23589"/>
    <w:rsid w:val="00B27214"/>
    <w:rsid w:val="00B36E9D"/>
    <w:rsid w:val="00B44BD6"/>
    <w:rsid w:val="00B54B96"/>
    <w:rsid w:val="00B55646"/>
    <w:rsid w:val="00B55E4C"/>
    <w:rsid w:val="00B62049"/>
    <w:rsid w:val="00B66809"/>
    <w:rsid w:val="00B702FA"/>
    <w:rsid w:val="00B7627F"/>
    <w:rsid w:val="00B80C18"/>
    <w:rsid w:val="00B81C9E"/>
    <w:rsid w:val="00B82369"/>
    <w:rsid w:val="00B82482"/>
    <w:rsid w:val="00B84124"/>
    <w:rsid w:val="00B86D95"/>
    <w:rsid w:val="00B87F9F"/>
    <w:rsid w:val="00B96EBB"/>
    <w:rsid w:val="00BA2CAB"/>
    <w:rsid w:val="00BB407E"/>
    <w:rsid w:val="00BD00B6"/>
    <w:rsid w:val="00BE3342"/>
    <w:rsid w:val="00BE3650"/>
    <w:rsid w:val="00BF57E7"/>
    <w:rsid w:val="00BF7DD7"/>
    <w:rsid w:val="00C27557"/>
    <w:rsid w:val="00C31FCF"/>
    <w:rsid w:val="00C341AE"/>
    <w:rsid w:val="00C36C84"/>
    <w:rsid w:val="00C37B00"/>
    <w:rsid w:val="00C4177A"/>
    <w:rsid w:val="00C47C4B"/>
    <w:rsid w:val="00C548F9"/>
    <w:rsid w:val="00C54F03"/>
    <w:rsid w:val="00C61D73"/>
    <w:rsid w:val="00C7254F"/>
    <w:rsid w:val="00C757D3"/>
    <w:rsid w:val="00C90E43"/>
    <w:rsid w:val="00CA3E32"/>
    <w:rsid w:val="00CA69D3"/>
    <w:rsid w:val="00CC0E9F"/>
    <w:rsid w:val="00CC4E90"/>
    <w:rsid w:val="00CD0B67"/>
    <w:rsid w:val="00CD2297"/>
    <w:rsid w:val="00CD6DFD"/>
    <w:rsid w:val="00CE19D1"/>
    <w:rsid w:val="00CE281C"/>
    <w:rsid w:val="00CE764C"/>
    <w:rsid w:val="00CE76E4"/>
    <w:rsid w:val="00CF1EE2"/>
    <w:rsid w:val="00CF264A"/>
    <w:rsid w:val="00CF2FF9"/>
    <w:rsid w:val="00CF3E6A"/>
    <w:rsid w:val="00D06195"/>
    <w:rsid w:val="00D13F1A"/>
    <w:rsid w:val="00D16D9A"/>
    <w:rsid w:val="00D17701"/>
    <w:rsid w:val="00D2492A"/>
    <w:rsid w:val="00D26F7B"/>
    <w:rsid w:val="00D2765F"/>
    <w:rsid w:val="00D348C1"/>
    <w:rsid w:val="00D565F1"/>
    <w:rsid w:val="00D655EF"/>
    <w:rsid w:val="00D67C39"/>
    <w:rsid w:val="00D72B25"/>
    <w:rsid w:val="00D75F3B"/>
    <w:rsid w:val="00D844D1"/>
    <w:rsid w:val="00D86412"/>
    <w:rsid w:val="00D90DB1"/>
    <w:rsid w:val="00D91500"/>
    <w:rsid w:val="00D92253"/>
    <w:rsid w:val="00D95C29"/>
    <w:rsid w:val="00D96CD6"/>
    <w:rsid w:val="00DA4021"/>
    <w:rsid w:val="00DB34DD"/>
    <w:rsid w:val="00DC47F9"/>
    <w:rsid w:val="00DD0EEF"/>
    <w:rsid w:val="00DD35AA"/>
    <w:rsid w:val="00DD58F8"/>
    <w:rsid w:val="00DD5E21"/>
    <w:rsid w:val="00DD7064"/>
    <w:rsid w:val="00DD74CE"/>
    <w:rsid w:val="00DE4086"/>
    <w:rsid w:val="00DF3C9D"/>
    <w:rsid w:val="00DF74F0"/>
    <w:rsid w:val="00DF7C74"/>
    <w:rsid w:val="00E1007F"/>
    <w:rsid w:val="00E103A6"/>
    <w:rsid w:val="00E12795"/>
    <w:rsid w:val="00E24260"/>
    <w:rsid w:val="00E34777"/>
    <w:rsid w:val="00E42941"/>
    <w:rsid w:val="00E47DD5"/>
    <w:rsid w:val="00E5177D"/>
    <w:rsid w:val="00E55BFA"/>
    <w:rsid w:val="00E64283"/>
    <w:rsid w:val="00E807F6"/>
    <w:rsid w:val="00E94C88"/>
    <w:rsid w:val="00E95CC9"/>
    <w:rsid w:val="00EA0277"/>
    <w:rsid w:val="00EA295C"/>
    <w:rsid w:val="00EA3C88"/>
    <w:rsid w:val="00EA6182"/>
    <w:rsid w:val="00EA69CF"/>
    <w:rsid w:val="00EA6D32"/>
    <w:rsid w:val="00ED765E"/>
    <w:rsid w:val="00EF2D39"/>
    <w:rsid w:val="00F203F8"/>
    <w:rsid w:val="00F215D6"/>
    <w:rsid w:val="00F24923"/>
    <w:rsid w:val="00F42ECB"/>
    <w:rsid w:val="00F505A5"/>
    <w:rsid w:val="00F52A12"/>
    <w:rsid w:val="00F53BE4"/>
    <w:rsid w:val="00F621F3"/>
    <w:rsid w:val="00F66228"/>
    <w:rsid w:val="00F80AFF"/>
    <w:rsid w:val="00F922B0"/>
    <w:rsid w:val="00FB175D"/>
    <w:rsid w:val="00FB3EFD"/>
    <w:rsid w:val="00FC4D79"/>
    <w:rsid w:val="00FC5C54"/>
    <w:rsid w:val="00FC5DD1"/>
    <w:rsid w:val="00FE11E6"/>
    <w:rsid w:val="00FF5131"/>
  </w:rsids>
  <m:mathPr>
    <m:mathFont m:val="Cambria Math"/>
    <m:brkBin m:val="before"/>
    <m:brkBinSub m:val="--"/>
    <m:smallFrac m:val="off"/>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0BA"/>
    <w:rPr>
      <w:rFonts w:ascii="Times New Roman" w:eastAsia="Times New Roman" w:hAnsi="Times New Roman"/>
      <w:sz w:val="18"/>
      <w:szCs w:val="20"/>
    </w:rPr>
  </w:style>
  <w:style w:type="paragraph" w:styleId="Heading1">
    <w:name w:val="heading 1"/>
    <w:basedOn w:val="Normal"/>
    <w:next w:val="Normal"/>
    <w:link w:val="Heading1Char"/>
    <w:uiPriority w:val="99"/>
    <w:qFormat/>
    <w:locked/>
    <w:rsid w:val="00932F9F"/>
    <w:pPr>
      <w:keepNext/>
      <w:spacing w:before="240" w:after="60"/>
      <w:outlineLvl w:val="0"/>
    </w:pPr>
    <w:rPr>
      <w:rFonts w:ascii="Cambria" w:eastAsia="PMingLiU" w:hAnsi="Cambria"/>
      <w:b/>
      <w:bCs/>
      <w:kern w:val="32"/>
      <w:sz w:val="32"/>
      <w:szCs w:val="32"/>
    </w:rPr>
  </w:style>
  <w:style w:type="paragraph" w:styleId="Heading2">
    <w:name w:val="heading 2"/>
    <w:basedOn w:val="Normal"/>
    <w:next w:val="Normal"/>
    <w:link w:val="Heading2Char"/>
    <w:uiPriority w:val="99"/>
    <w:qFormat/>
    <w:locked/>
    <w:rsid w:val="000F59D2"/>
    <w:pPr>
      <w:keepNext/>
      <w:keepLines/>
      <w:spacing w:before="40"/>
      <w:outlineLvl w:val="1"/>
    </w:pPr>
    <w:rPr>
      <w:rFonts w:ascii="Cambria" w:eastAsia="PMingLiU" w:hAnsi="Cambria"/>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32F9F"/>
    <w:rPr>
      <w:rFonts w:ascii="Cambria" w:eastAsia="PMingLiU" w:hAnsi="Cambria" w:cs="Times New Roman"/>
      <w:b/>
      <w:bCs/>
      <w:kern w:val="32"/>
      <w:sz w:val="32"/>
      <w:szCs w:val="32"/>
    </w:rPr>
  </w:style>
  <w:style w:type="character" w:customStyle="1" w:styleId="Heading2Char">
    <w:name w:val="Heading 2 Char"/>
    <w:basedOn w:val="DefaultParagraphFont"/>
    <w:link w:val="Heading2"/>
    <w:uiPriority w:val="99"/>
    <w:semiHidden/>
    <w:locked/>
    <w:rsid w:val="000F59D2"/>
    <w:rPr>
      <w:rFonts w:ascii="Cambria" w:eastAsia="PMingLiU" w:hAnsi="Cambria" w:cs="Times New Roman"/>
      <w:color w:val="365F91"/>
      <w:sz w:val="26"/>
      <w:szCs w:val="26"/>
    </w:rPr>
  </w:style>
  <w:style w:type="paragraph" w:styleId="Footer">
    <w:name w:val="footer"/>
    <w:basedOn w:val="Normal"/>
    <w:link w:val="FooterChar"/>
    <w:uiPriority w:val="99"/>
    <w:rsid w:val="007350BA"/>
    <w:pPr>
      <w:tabs>
        <w:tab w:val="center" w:pos="4320"/>
        <w:tab w:val="right" w:pos="8640"/>
      </w:tabs>
    </w:pPr>
    <w:rPr>
      <w:rFonts w:eastAsia="Calibri"/>
      <w:sz w:val="20"/>
      <w:lang w:eastAsia="el-GR"/>
    </w:rPr>
  </w:style>
  <w:style w:type="character" w:customStyle="1" w:styleId="FooterChar">
    <w:name w:val="Footer Char"/>
    <w:basedOn w:val="DefaultParagraphFont"/>
    <w:link w:val="Footer"/>
    <w:uiPriority w:val="99"/>
    <w:locked/>
    <w:rsid w:val="007350BA"/>
    <w:rPr>
      <w:rFonts w:ascii="Times New Roman" w:hAnsi="Times New Roman" w:cs="Times New Roman"/>
      <w:sz w:val="20"/>
      <w:lang w:val="en-US"/>
    </w:rPr>
  </w:style>
  <w:style w:type="paragraph" w:styleId="Header">
    <w:name w:val="header"/>
    <w:basedOn w:val="Normal"/>
    <w:link w:val="HeaderChar"/>
    <w:uiPriority w:val="99"/>
    <w:rsid w:val="007350BA"/>
    <w:pPr>
      <w:tabs>
        <w:tab w:val="center" w:pos="4320"/>
        <w:tab w:val="right" w:pos="8640"/>
      </w:tabs>
    </w:pPr>
    <w:rPr>
      <w:rFonts w:eastAsia="Calibri"/>
      <w:sz w:val="20"/>
      <w:lang w:eastAsia="el-GR"/>
    </w:rPr>
  </w:style>
  <w:style w:type="character" w:customStyle="1" w:styleId="HeaderChar">
    <w:name w:val="Header Char"/>
    <w:basedOn w:val="DefaultParagraphFont"/>
    <w:link w:val="Header"/>
    <w:uiPriority w:val="99"/>
    <w:locked/>
    <w:rsid w:val="007350BA"/>
    <w:rPr>
      <w:rFonts w:ascii="Times New Roman" w:hAnsi="Times New Roman" w:cs="Times New Roman"/>
      <w:sz w:val="20"/>
      <w:lang w:val="en-US"/>
    </w:rPr>
  </w:style>
  <w:style w:type="paragraph" w:styleId="BodyText">
    <w:name w:val="Body Text"/>
    <w:basedOn w:val="Normal"/>
    <w:link w:val="BodyTextChar"/>
    <w:uiPriority w:val="99"/>
    <w:rsid w:val="007350BA"/>
    <w:pPr>
      <w:spacing w:after="120"/>
    </w:pPr>
    <w:rPr>
      <w:rFonts w:eastAsia="Calibri"/>
      <w:sz w:val="24"/>
      <w:lang w:val="en-GB" w:eastAsia="el-GR"/>
    </w:rPr>
  </w:style>
  <w:style w:type="character" w:customStyle="1" w:styleId="BodyTextChar">
    <w:name w:val="Body Text Char"/>
    <w:basedOn w:val="DefaultParagraphFont"/>
    <w:link w:val="BodyText"/>
    <w:uiPriority w:val="99"/>
    <w:locked/>
    <w:rsid w:val="007350BA"/>
    <w:rPr>
      <w:rFonts w:ascii="Times New Roman" w:hAnsi="Times New Roman" w:cs="Times New Roman"/>
      <w:sz w:val="24"/>
      <w:lang w:val="en-GB" w:eastAsia="el-GR"/>
    </w:rPr>
  </w:style>
  <w:style w:type="character" w:styleId="Hyperlink">
    <w:name w:val="Hyperlink"/>
    <w:basedOn w:val="DefaultParagraphFont"/>
    <w:uiPriority w:val="99"/>
    <w:rsid w:val="007350BA"/>
    <w:rPr>
      <w:rFonts w:cs="Times New Roman"/>
      <w:color w:val="4A89BA"/>
      <w:u w:val="single"/>
    </w:rPr>
  </w:style>
  <w:style w:type="character" w:styleId="Emphasis">
    <w:name w:val="Emphasis"/>
    <w:basedOn w:val="DefaultParagraphFont"/>
    <w:uiPriority w:val="99"/>
    <w:qFormat/>
    <w:rsid w:val="00B87F9F"/>
    <w:rPr>
      <w:rFonts w:cs="Times New Roman"/>
      <w:i/>
    </w:rPr>
  </w:style>
  <w:style w:type="paragraph" w:customStyle="1" w:styleId="author">
    <w:name w:val="author"/>
    <w:basedOn w:val="Normal"/>
    <w:next w:val="affiliation"/>
    <w:uiPriority w:val="99"/>
    <w:rsid w:val="00B87F9F"/>
    <w:pPr>
      <w:overflowPunct w:val="0"/>
      <w:autoSpaceDE w:val="0"/>
      <w:autoSpaceDN w:val="0"/>
      <w:adjustRightInd w:val="0"/>
      <w:spacing w:before="120" w:line="360" w:lineRule="auto"/>
      <w:textAlignment w:val="baseline"/>
    </w:pPr>
    <w:rPr>
      <w:sz w:val="24"/>
      <w:lang w:eastAsia="de-DE"/>
    </w:rPr>
  </w:style>
  <w:style w:type="paragraph" w:customStyle="1" w:styleId="affiliation">
    <w:name w:val="affiliation"/>
    <w:basedOn w:val="Normal"/>
    <w:next w:val="phone"/>
    <w:uiPriority w:val="99"/>
    <w:rsid w:val="00B87F9F"/>
    <w:pPr>
      <w:overflowPunct w:val="0"/>
      <w:autoSpaceDE w:val="0"/>
      <w:autoSpaceDN w:val="0"/>
      <w:adjustRightInd w:val="0"/>
      <w:spacing w:before="120"/>
      <w:textAlignment w:val="baseline"/>
    </w:pPr>
    <w:rPr>
      <w:i/>
      <w:sz w:val="24"/>
      <w:lang w:eastAsia="de-DE"/>
    </w:rPr>
  </w:style>
  <w:style w:type="paragraph" w:customStyle="1" w:styleId="email">
    <w:name w:val="email"/>
    <w:basedOn w:val="Normal"/>
    <w:next w:val="Normal"/>
    <w:link w:val="emailChar"/>
    <w:uiPriority w:val="99"/>
    <w:rsid w:val="00B87F9F"/>
    <w:pPr>
      <w:overflowPunct w:val="0"/>
      <w:autoSpaceDE w:val="0"/>
      <w:autoSpaceDN w:val="0"/>
      <w:adjustRightInd w:val="0"/>
      <w:spacing w:before="120"/>
      <w:textAlignment w:val="baseline"/>
    </w:pPr>
    <w:rPr>
      <w:rFonts w:eastAsia="Calibri"/>
      <w:sz w:val="20"/>
      <w:lang w:eastAsia="de-DE"/>
    </w:rPr>
  </w:style>
  <w:style w:type="paragraph" w:customStyle="1" w:styleId="phone">
    <w:name w:val="phone"/>
    <w:basedOn w:val="email"/>
    <w:next w:val="Normal"/>
    <w:uiPriority w:val="99"/>
    <w:rsid w:val="00B87F9F"/>
  </w:style>
  <w:style w:type="character" w:customStyle="1" w:styleId="emailChar">
    <w:name w:val="email Char"/>
    <w:link w:val="email"/>
    <w:uiPriority w:val="99"/>
    <w:locked/>
    <w:rsid w:val="00B87F9F"/>
    <w:rPr>
      <w:rFonts w:ascii="Times New Roman" w:hAnsi="Times New Roman"/>
      <w:sz w:val="20"/>
      <w:lang w:val="en-US" w:eastAsia="de-DE"/>
    </w:rPr>
  </w:style>
  <w:style w:type="paragraph" w:styleId="BalloonText">
    <w:name w:val="Balloon Text"/>
    <w:basedOn w:val="Normal"/>
    <w:link w:val="BalloonTextChar"/>
    <w:uiPriority w:val="99"/>
    <w:semiHidden/>
    <w:rsid w:val="009D3F61"/>
    <w:rPr>
      <w:rFonts w:ascii="Tahoma" w:eastAsia="Calibri" w:hAnsi="Tahoma"/>
      <w:sz w:val="16"/>
      <w:lang w:eastAsia="el-GR"/>
    </w:rPr>
  </w:style>
  <w:style w:type="character" w:customStyle="1" w:styleId="BalloonTextChar">
    <w:name w:val="Balloon Text Char"/>
    <w:basedOn w:val="DefaultParagraphFont"/>
    <w:link w:val="BalloonText"/>
    <w:uiPriority w:val="99"/>
    <w:semiHidden/>
    <w:locked/>
    <w:rsid w:val="009D3F61"/>
    <w:rPr>
      <w:rFonts w:ascii="Tahoma" w:hAnsi="Tahoma" w:cs="Times New Roman"/>
      <w:sz w:val="16"/>
      <w:lang w:val="en-US"/>
    </w:rPr>
  </w:style>
  <w:style w:type="paragraph" w:customStyle="1" w:styleId="Title1">
    <w:name w:val="Title1"/>
    <w:basedOn w:val="Normal"/>
    <w:next w:val="author"/>
    <w:uiPriority w:val="99"/>
    <w:rsid w:val="006519C1"/>
    <w:pPr>
      <w:overflowPunct w:val="0"/>
      <w:autoSpaceDE w:val="0"/>
      <w:autoSpaceDN w:val="0"/>
      <w:adjustRightInd w:val="0"/>
      <w:spacing w:line="360" w:lineRule="auto"/>
      <w:textAlignment w:val="baseline"/>
    </w:pPr>
    <w:rPr>
      <w:rFonts w:ascii="Arial" w:eastAsia="Calibri" w:hAnsi="Arial"/>
      <w:b/>
      <w:sz w:val="36"/>
      <w:lang w:eastAsia="de-DE"/>
    </w:rPr>
  </w:style>
  <w:style w:type="table" w:styleId="TableGrid">
    <w:name w:val="Table Grid"/>
    <w:basedOn w:val="TableNormal"/>
    <w:uiPriority w:val="99"/>
    <w:locked/>
    <w:rsid w:val="007C7876"/>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5F296F"/>
    <w:rPr>
      <w:rFonts w:cs="Times New Roman"/>
      <w:sz w:val="16"/>
    </w:rPr>
  </w:style>
  <w:style w:type="paragraph" w:styleId="CommentText">
    <w:name w:val="annotation text"/>
    <w:basedOn w:val="Normal"/>
    <w:link w:val="CommentTextChar"/>
    <w:uiPriority w:val="99"/>
    <w:semiHidden/>
    <w:rsid w:val="005F296F"/>
    <w:rPr>
      <w:rFonts w:eastAsia="Calibri"/>
      <w:sz w:val="20"/>
      <w:lang w:eastAsia="el-GR"/>
    </w:rPr>
  </w:style>
  <w:style w:type="character" w:customStyle="1" w:styleId="CommentTextChar">
    <w:name w:val="Comment Text Char"/>
    <w:basedOn w:val="DefaultParagraphFont"/>
    <w:link w:val="CommentText"/>
    <w:uiPriority w:val="99"/>
    <w:semiHidden/>
    <w:locked/>
    <w:rsid w:val="005F296F"/>
    <w:rPr>
      <w:rFonts w:ascii="Times New Roman" w:hAnsi="Times New Roman" w:cs="Times New Roman"/>
      <w:sz w:val="20"/>
    </w:rPr>
  </w:style>
  <w:style w:type="paragraph" w:styleId="CommentSubject">
    <w:name w:val="annotation subject"/>
    <w:basedOn w:val="CommentText"/>
    <w:next w:val="CommentText"/>
    <w:link w:val="CommentSubjectChar"/>
    <w:uiPriority w:val="99"/>
    <w:semiHidden/>
    <w:rsid w:val="005F296F"/>
    <w:rPr>
      <w:b/>
    </w:rPr>
  </w:style>
  <w:style w:type="character" w:customStyle="1" w:styleId="CommentSubjectChar">
    <w:name w:val="Comment Subject Char"/>
    <w:basedOn w:val="CommentTextChar"/>
    <w:link w:val="CommentSubject"/>
    <w:uiPriority w:val="99"/>
    <w:semiHidden/>
    <w:locked/>
    <w:rsid w:val="005F296F"/>
    <w:rPr>
      <w:rFonts w:ascii="Times New Roman" w:hAnsi="Times New Roman" w:cs="Times New Roman"/>
      <w:b/>
      <w:sz w:val="20"/>
    </w:rPr>
  </w:style>
  <w:style w:type="character" w:customStyle="1" w:styleId="st">
    <w:name w:val="st"/>
    <w:uiPriority w:val="99"/>
    <w:rsid w:val="009705BE"/>
  </w:style>
  <w:style w:type="character" w:customStyle="1" w:styleId="addmd">
    <w:name w:val="addmd"/>
    <w:uiPriority w:val="99"/>
    <w:rsid w:val="001004B0"/>
  </w:style>
  <w:style w:type="character" w:customStyle="1" w:styleId="bodystyle141">
    <w:name w:val="bodystyle141"/>
    <w:basedOn w:val="DefaultParagraphFont"/>
    <w:uiPriority w:val="99"/>
    <w:rsid w:val="00AE1D54"/>
    <w:rPr>
      <w:rFonts w:ascii="Times New Roman" w:hAnsi="Times New Roman" w:cs="Times New Roman"/>
      <w:sz w:val="21"/>
      <w:szCs w:val="21"/>
    </w:rPr>
  </w:style>
  <w:style w:type="paragraph" w:customStyle="1" w:styleId="Default">
    <w:name w:val="Default"/>
    <w:uiPriority w:val="99"/>
    <w:rsid w:val="00AE1D54"/>
    <w:pPr>
      <w:autoSpaceDE w:val="0"/>
      <w:autoSpaceDN w:val="0"/>
      <w:adjustRightInd w:val="0"/>
    </w:pPr>
    <w:rPr>
      <w:rFonts w:ascii="Arial" w:hAnsi="Arial" w:cs="Arial"/>
      <w:color w:val="000000"/>
      <w:sz w:val="24"/>
      <w:szCs w:val="24"/>
      <w:lang w:val="el-GR" w:eastAsia="el-GR"/>
    </w:rPr>
  </w:style>
  <w:style w:type="paragraph" w:styleId="ListParagraph">
    <w:name w:val="List Paragraph"/>
    <w:basedOn w:val="Normal"/>
    <w:uiPriority w:val="99"/>
    <w:qFormat/>
    <w:rsid w:val="00932F9F"/>
    <w:pPr>
      <w:ind w:left="720"/>
    </w:pPr>
  </w:style>
  <w:style w:type="character" w:customStyle="1" w:styleId="authorname">
    <w:name w:val="author__name"/>
    <w:uiPriority w:val="99"/>
    <w:rsid w:val="008F5DFF"/>
  </w:style>
  <w:style w:type="character" w:customStyle="1" w:styleId="authorsseparator">
    <w:name w:val="authors__separator"/>
    <w:uiPriority w:val="99"/>
    <w:rsid w:val="008F5DFF"/>
  </w:style>
  <w:style w:type="paragraph" w:styleId="Revision">
    <w:name w:val="Revision"/>
    <w:hidden/>
    <w:uiPriority w:val="99"/>
    <w:semiHidden/>
    <w:rsid w:val="00D16D9A"/>
    <w:rPr>
      <w:rFonts w:ascii="Times New Roman" w:eastAsia="Times New Roman" w:hAnsi="Times New Roman"/>
      <w:sz w:val="18"/>
      <w:szCs w:val="20"/>
    </w:rPr>
  </w:style>
  <w:style w:type="paragraph" w:styleId="EndnoteText">
    <w:name w:val="endnote text"/>
    <w:basedOn w:val="Normal"/>
    <w:link w:val="EndnoteTextChar"/>
    <w:uiPriority w:val="99"/>
    <w:unhideWhenUsed/>
    <w:rsid w:val="00F53BE4"/>
    <w:rPr>
      <w:sz w:val="20"/>
    </w:rPr>
  </w:style>
  <w:style w:type="character" w:customStyle="1" w:styleId="EndnoteTextChar">
    <w:name w:val="Endnote Text Char"/>
    <w:basedOn w:val="DefaultParagraphFont"/>
    <w:link w:val="EndnoteText"/>
    <w:uiPriority w:val="99"/>
    <w:rsid w:val="00F53BE4"/>
    <w:rPr>
      <w:rFonts w:ascii="Times New Roman" w:eastAsia="Times New Roman" w:hAnsi="Times New Roman"/>
      <w:sz w:val="20"/>
      <w:szCs w:val="20"/>
    </w:rPr>
  </w:style>
  <w:style w:type="character" w:styleId="EndnoteReference">
    <w:name w:val="endnote reference"/>
    <w:basedOn w:val="DefaultParagraphFont"/>
    <w:uiPriority w:val="99"/>
    <w:semiHidden/>
    <w:unhideWhenUsed/>
    <w:rsid w:val="00F53BE4"/>
    <w:rPr>
      <w:vertAlign w:val="superscript"/>
    </w:rPr>
  </w:style>
</w:styles>
</file>

<file path=word/webSettings.xml><?xml version="1.0" encoding="utf-8"?>
<w:webSettings xmlns:r="http://schemas.openxmlformats.org/officeDocument/2006/relationships" xmlns:w="http://schemas.openxmlformats.org/wordprocessingml/2006/main">
  <w:divs>
    <w:div w:id="480075177">
      <w:marLeft w:val="0"/>
      <w:marRight w:val="0"/>
      <w:marTop w:val="0"/>
      <w:marBottom w:val="0"/>
      <w:divBdr>
        <w:top w:val="none" w:sz="0" w:space="0" w:color="auto"/>
        <w:left w:val="none" w:sz="0" w:space="0" w:color="auto"/>
        <w:bottom w:val="none" w:sz="0" w:space="0" w:color="auto"/>
        <w:right w:val="none" w:sz="0" w:space="0" w:color="auto"/>
      </w:divBdr>
    </w:div>
    <w:div w:id="480075178">
      <w:marLeft w:val="0"/>
      <w:marRight w:val="0"/>
      <w:marTop w:val="0"/>
      <w:marBottom w:val="0"/>
      <w:divBdr>
        <w:top w:val="none" w:sz="0" w:space="0" w:color="auto"/>
        <w:left w:val="none" w:sz="0" w:space="0" w:color="auto"/>
        <w:bottom w:val="none" w:sz="0" w:space="0" w:color="auto"/>
        <w:right w:val="none" w:sz="0" w:space="0" w:color="auto"/>
      </w:divBdr>
    </w:div>
    <w:div w:id="480075179">
      <w:marLeft w:val="0"/>
      <w:marRight w:val="0"/>
      <w:marTop w:val="0"/>
      <w:marBottom w:val="0"/>
      <w:divBdr>
        <w:top w:val="none" w:sz="0" w:space="0" w:color="auto"/>
        <w:left w:val="none" w:sz="0" w:space="0" w:color="auto"/>
        <w:bottom w:val="none" w:sz="0" w:space="0" w:color="auto"/>
        <w:right w:val="none" w:sz="0" w:space="0" w:color="auto"/>
      </w:divBdr>
    </w:div>
    <w:div w:id="480075180">
      <w:marLeft w:val="0"/>
      <w:marRight w:val="0"/>
      <w:marTop w:val="0"/>
      <w:marBottom w:val="0"/>
      <w:divBdr>
        <w:top w:val="none" w:sz="0" w:space="0" w:color="auto"/>
        <w:left w:val="none" w:sz="0" w:space="0" w:color="auto"/>
        <w:bottom w:val="none" w:sz="0" w:space="0" w:color="auto"/>
        <w:right w:val="none" w:sz="0" w:space="0" w:color="auto"/>
      </w:divBdr>
    </w:div>
    <w:div w:id="480075181">
      <w:marLeft w:val="0"/>
      <w:marRight w:val="0"/>
      <w:marTop w:val="0"/>
      <w:marBottom w:val="0"/>
      <w:divBdr>
        <w:top w:val="none" w:sz="0" w:space="0" w:color="auto"/>
        <w:left w:val="none" w:sz="0" w:space="0" w:color="auto"/>
        <w:bottom w:val="none" w:sz="0" w:space="0" w:color="auto"/>
        <w:right w:val="none" w:sz="0" w:space="0" w:color="auto"/>
      </w:divBdr>
    </w:div>
    <w:div w:id="480075182">
      <w:marLeft w:val="0"/>
      <w:marRight w:val="0"/>
      <w:marTop w:val="0"/>
      <w:marBottom w:val="0"/>
      <w:divBdr>
        <w:top w:val="none" w:sz="0" w:space="0" w:color="auto"/>
        <w:left w:val="none" w:sz="0" w:space="0" w:color="auto"/>
        <w:bottom w:val="none" w:sz="0" w:space="0" w:color="auto"/>
        <w:right w:val="none" w:sz="0" w:space="0" w:color="auto"/>
      </w:divBdr>
    </w:div>
    <w:div w:id="480075183">
      <w:marLeft w:val="0"/>
      <w:marRight w:val="0"/>
      <w:marTop w:val="0"/>
      <w:marBottom w:val="0"/>
      <w:divBdr>
        <w:top w:val="none" w:sz="0" w:space="0" w:color="auto"/>
        <w:left w:val="none" w:sz="0" w:space="0" w:color="auto"/>
        <w:bottom w:val="none" w:sz="0" w:space="0" w:color="auto"/>
        <w:right w:val="none" w:sz="0" w:space="0" w:color="auto"/>
      </w:divBdr>
    </w:div>
    <w:div w:id="480075184">
      <w:marLeft w:val="0"/>
      <w:marRight w:val="0"/>
      <w:marTop w:val="0"/>
      <w:marBottom w:val="0"/>
      <w:divBdr>
        <w:top w:val="none" w:sz="0" w:space="0" w:color="auto"/>
        <w:left w:val="none" w:sz="0" w:space="0" w:color="auto"/>
        <w:bottom w:val="none" w:sz="0" w:space="0" w:color="auto"/>
        <w:right w:val="none" w:sz="0" w:space="0" w:color="auto"/>
      </w:divBdr>
    </w:div>
    <w:div w:id="480075185">
      <w:marLeft w:val="0"/>
      <w:marRight w:val="0"/>
      <w:marTop w:val="0"/>
      <w:marBottom w:val="0"/>
      <w:divBdr>
        <w:top w:val="none" w:sz="0" w:space="0" w:color="auto"/>
        <w:left w:val="none" w:sz="0" w:space="0" w:color="auto"/>
        <w:bottom w:val="none" w:sz="0" w:space="0" w:color="auto"/>
        <w:right w:val="none" w:sz="0" w:space="0" w:color="auto"/>
      </w:divBdr>
    </w:div>
    <w:div w:id="480075186">
      <w:marLeft w:val="0"/>
      <w:marRight w:val="0"/>
      <w:marTop w:val="0"/>
      <w:marBottom w:val="0"/>
      <w:divBdr>
        <w:top w:val="none" w:sz="0" w:space="0" w:color="auto"/>
        <w:left w:val="none" w:sz="0" w:space="0" w:color="auto"/>
        <w:bottom w:val="none" w:sz="0" w:space="0" w:color="auto"/>
        <w:right w:val="none" w:sz="0" w:space="0" w:color="auto"/>
      </w:divBdr>
    </w:div>
    <w:div w:id="480075187">
      <w:marLeft w:val="0"/>
      <w:marRight w:val="0"/>
      <w:marTop w:val="0"/>
      <w:marBottom w:val="0"/>
      <w:divBdr>
        <w:top w:val="none" w:sz="0" w:space="0" w:color="auto"/>
        <w:left w:val="none" w:sz="0" w:space="0" w:color="auto"/>
        <w:bottom w:val="none" w:sz="0" w:space="0" w:color="auto"/>
        <w:right w:val="none" w:sz="0" w:space="0" w:color="auto"/>
      </w:divBdr>
    </w:div>
    <w:div w:id="480075188">
      <w:marLeft w:val="0"/>
      <w:marRight w:val="0"/>
      <w:marTop w:val="0"/>
      <w:marBottom w:val="0"/>
      <w:divBdr>
        <w:top w:val="none" w:sz="0" w:space="0" w:color="auto"/>
        <w:left w:val="none" w:sz="0" w:space="0" w:color="auto"/>
        <w:bottom w:val="none" w:sz="0" w:space="0" w:color="auto"/>
        <w:right w:val="none" w:sz="0" w:space="0" w:color="auto"/>
      </w:divBdr>
    </w:div>
    <w:div w:id="480075189">
      <w:marLeft w:val="0"/>
      <w:marRight w:val="0"/>
      <w:marTop w:val="0"/>
      <w:marBottom w:val="0"/>
      <w:divBdr>
        <w:top w:val="none" w:sz="0" w:space="0" w:color="auto"/>
        <w:left w:val="none" w:sz="0" w:space="0" w:color="auto"/>
        <w:bottom w:val="none" w:sz="0" w:space="0" w:color="auto"/>
        <w:right w:val="none" w:sz="0" w:space="0" w:color="auto"/>
      </w:divBdr>
    </w:div>
    <w:div w:id="48007519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ink.springer.com/article/10.1007%2Fs00339-004-2533-1" TargetMode="External"/><Relationship Id="rId18" Type="http://schemas.openxmlformats.org/officeDocument/2006/relationships/hyperlink" Target="http://link.springer.com/article/10.1007%2Fs00339-004-2533-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orldcat.org/search?q=au%3ADi%CC%81ez-Fuentes%2C+Helena&amp;qt=hot_author" TargetMode="External"/><Relationship Id="rId17" Type="http://schemas.openxmlformats.org/officeDocument/2006/relationships/hyperlink" Target="http://link.springer.com/article/10.1007%2Fs00339-004-2533-1" TargetMode="External"/><Relationship Id="rId2" Type="http://schemas.openxmlformats.org/officeDocument/2006/relationships/numbering" Target="numbering.xml"/><Relationship Id="rId16" Type="http://schemas.openxmlformats.org/officeDocument/2006/relationships/hyperlink" Target="http://link.springer.com/article/10.1007%2Fs00339-004-2533-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cat.org/search?q=au%3AMoadin%2C+Mona+Al&amp;qt=hot_author" TargetMode="External"/><Relationship Id="rId5" Type="http://schemas.openxmlformats.org/officeDocument/2006/relationships/webSettings" Target="webSettings.xml"/><Relationship Id="rId15" Type="http://schemas.openxmlformats.org/officeDocument/2006/relationships/hyperlink" Target="http://link.springer.com/article/10.1007%2Fs00339-004-2533-1" TargetMode="External"/><Relationship Id="rId23" Type="http://schemas.microsoft.com/office/2011/relationships/commentsExtended" Target="commentsExtended.xml"/><Relationship Id="rId10" Type="http://schemas.openxmlformats.org/officeDocument/2006/relationships/hyperlink" Target="http://www.worldcat.org/search?q=au%3ADi%CC%81ez-Fuentes%2C+Helena&amp;qt=hot_autho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orldcat.org/search?q=au%3AMoadin%2C+Mona+Al&amp;qt=hot_author" TargetMode="External"/><Relationship Id="rId14" Type="http://schemas.openxmlformats.org/officeDocument/2006/relationships/hyperlink" Target="http://link.springer.com/article/10.1007%2Fs00339-004-2533-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5EA8F8D-6CB7-46B7-AE40-4D853B055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4530</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In-situ micro-XRF analyses of bronze figurines from the National Archaeological Museum of Damascus, Syria</vt:lpstr>
    </vt:vector>
  </TitlesOfParts>
  <Company>IAEA</Company>
  <LinksUpToDate>false</LinksUpToDate>
  <CharactersWithSpaces>31190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In-situ micro-XRF analyses of bronze figurines from the National Archaeological Museum of Damascus, Syria</dc:title>
  <dc:creator>Andreas Karydas</dc:creator>
  <cp:lastModifiedBy>Robin</cp:lastModifiedBy>
  <cp:revision>2</cp:revision>
  <cp:lastPrinted>2016-10-04T11:42:00Z</cp:lastPrinted>
  <dcterms:created xsi:type="dcterms:W3CDTF">2017-02-18T11:29:00Z</dcterms:created>
  <dcterms:modified xsi:type="dcterms:W3CDTF">2017-02-18T11:29:00Z</dcterms:modified>
</cp:coreProperties>
</file>