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0FC9B" w14:textId="77777777" w:rsidR="00C541B1" w:rsidRDefault="00000000">
      <w:r>
        <w:rPr>
          <w:rFonts w:ascii="Calibri" w:hAnsi="Calibri"/>
          <w:b/>
          <w:color w:val="003366"/>
          <w:sz w:val="36"/>
        </w:rPr>
        <w:t>XplainIQ lite: Channel Readiness Scoring Index</w:t>
      </w:r>
    </w:p>
    <w:p w14:paraId="061780FB" w14:textId="77777777" w:rsidR="00C541B1" w:rsidRDefault="00000000">
      <w:r>
        <w:rPr>
          <w:rFonts w:ascii="Calibri" w:hAnsi="Calibri"/>
          <w:color w:val="595959"/>
          <w:sz w:val="20"/>
        </w:rPr>
        <w:t>October 20, 2025</w:t>
      </w:r>
    </w:p>
    <w:p w14:paraId="4EBBD947" w14:textId="77777777" w:rsidR="00C541B1" w:rsidRDefault="00000000">
      <w:r>
        <w:t>________________________________________________________________________________</w:t>
      </w:r>
    </w:p>
    <w:p w14:paraId="178B4632" w14:textId="77777777" w:rsidR="00C541B1" w:rsidRDefault="00000000">
      <w:r>
        <w:rPr>
          <w:rFonts w:ascii="Calibri" w:hAnsi="Calibri"/>
          <w:b/>
          <w:color w:val="000000"/>
          <w:sz w:val="44"/>
        </w:rPr>
        <w:t>Innovative Networx, LLC</w:t>
      </w:r>
    </w:p>
    <w:p w14:paraId="5510B7FE" w14:textId="77777777" w:rsidR="00C541B1" w:rsidRDefault="00000000">
      <w:r>
        <w:rPr>
          <w:rFonts w:ascii="Calibri" w:hAnsi="Calibri"/>
          <w:color w:val="595959"/>
          <w:sz w:val="28"/>
        </w:rPr>
        <w:t>Channel Readiness Assessment</w:t>
      </w:r>
    </w:p>
    <w:p w14:paraId="7D6F5E37" w14:textId="77777777" w:rsidR="00C541B1" w:rsidRDefault="00000000">
      <w:r>
        <w:rPr>
          <w:i/>
          <w:sz w:val="20"/>
        </w:rPr>
        <w:t>Technology Service Distributor: Intelisys</w:t>
      </w:r>
    </w:p>
    <w:p w14:paraId="347E671B" w14:textId="77777777" w:rsidR="00C541B1" w:rsidRDefault="00C541B1"/>
    <w:p w14:paraId="70464BD9" w14:textId="77777777" w:rsidR="00C541B1" w:rsidRDefault="00000000">
      <w:r>
        <w:rPr>
          <w:rFonts w:ascii="Calibri" w:hAnsi="Calibri"/>
          <w:b/>
          <w:color w:val="003366"/>
          <w:sz w:val="24"/>
        </w:rPr>
        <w:t>EXECUTIVE SUMMARY</w:t>
      </w:r>
    </w:p>
    <w:p w14:paraId="53D8CA41" w14:textId="77777777" w:rsidR="00C541B1" w:rsidRDefault="00000000">
      <w:pPr>
        <w:jc w:val="center"/>
      </w:pPr>
      <w:r>
        <w:rPr>
          <w:rFonts w:ascii="Calibri" w:hAnsi="Calibri"/>
          <w:b/>
          <w:color w:val="0066CC"/>
          <w:sz w:val="96"/>
        </w:rPr>
        <w:t>50</w:t>
      </w:r>
    </w:p>
    <w:p w14:paraId="3ED3F45C" w14:textId="77777777" w:rsidR="00C541B1" w:rsidRDefault="00000000">
      <w:pPr>
        <w:jc w:val="center"/>
      </w:pPr>
      <w:r>
        <w:rPr>
          <w:rFonts w:ascii="Calibri" w:hAnsi="Calibri"/>
          <w:color w:val="595959"/>
          <w:sz w:val="28"/>
        </w:rPr>
        <w:t>Channel Readiness Score</w:t>
      </w:r>
      <w:r>
        <w:rPr>
          <w:rFonts w:ascii="Calibri" w:hAnsi="Calibri"/>
          <w:color w:val="595959"/>
          <w:sz w:val="28"/>
        </w:rPr>
        <w:br/>
        <w:t>Developing Maturity</w:t>
      </w:r>
    </w:p>
    <w:p w14:paraId="6452319B" w14:textId="77777777" w:rsidR="00C541B1" w:rsidRDefault="00C541B1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26"/>
        <w:gridCol w:w="5034"/>
      </w:tblGrid>
      <w:tr w:rsidR="00C541B1" w14:paraId="3A876D4F" w14:textId="77777777" w:rsidTr="00C5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45EC63" w14:textId="77777777" w:rsidR="00C541B1" w:rsidRDefault="00000000">
            <w:r>
              <w:rPr>
                <w:sz w:val="20"/>
              </w:rPr>
              <w:t>Contact</w:t>
            </w:r>
          </w:p>
        </w:tc>
        <w:tc>
          <w:tcPr>
            <w:tcW w:w="5040" w:type="dxa"/>
          </w:tcPr>
          <w:p w14:paraId="558A6D14" w14:textId="77777777" w:rsidR="00C541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William Madison</w:t>
            </w:r>
          </w:p>
        </w:tc>
      </w:tr>
      <w:tr w:rsidR="00C541B1" w14:paraId="4924813A" w14:textId="77777777" w:rsidTr="00C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8794FC1" w14:textId="77777777" w:rsidR="00C541B1" w:rsidRDefault="00000000">
            <w:r>
              <w:rPr>
                <w:sz w:val="20"/>
              </w:rPr>
              <w:t>Email</w:t>
            </w:r>
          </w:p>
        </w:tc>
        <w:tc>
          <w:tcPr>
            <w:tcW w:w="5040" w:type="dxa"/>
          </w:tcPr>
          <w:p w14:paraId="60F59A12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wmadison@innovativenetworx.com</w:t>
            </w:r>
          </w:p>
        </w:tc>
      </w:tr>
      <w:tr w:rsidR="00C541B1" w14:paraId="79E66332" w14:textId="77777777" w:rsidTr="00C54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87E5C00" w14:textId="77777777" w:rsidR="00C541B1" w:rsidRDefault="00000000">
            <w:r>
              <w:rPr>
                <w:sz w:val="20"/>
              </w:rPr>
              <w:t>Title</w:t>
            </w:r>
          </w:p>
        </w:tc>
        <w:tc>
          <w:tcPr>
            <w:tcW w:w="5040" w:type="dxa"/>
          </w:tcPr>
          <w:p w14:paraId="429C1BE1" w14:textId="77777777" w:rsidR="00C541B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0"/>
              </w:rPr>
              <w:t>owner</w:t>
            </w:r>
          </w:p>
        </w:tc>
      </w:tr>
      <w:tr w:rsidR="00C541B1" w14:paraId="308E9576" w14:textId="77777777" w:rsidTr="00C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6787AEA" w14:textId="77777777" w:rsidR="00C541B1" w:rsidRDefault="00000000">
            <w:r>
              <w:rPr>
                <w:sz w:val="20"/>
              </w:rPr>
              <w:t>Phone</w:t>
            </w:r>
          </w:p>
        </w:tc>
        <w:tc>
          <w:tcPr>
            <w:tcW w:w="5040" w:type="dxa"/>
          </w:tcPr>
          <w:p w14:paraId="27101F54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2012641578</w:t>
            </w:r>
          </w:p>
        </w:tc>
      </w:tr>
    </w:tbl>
    <w:p w14:paraId="69088F54" w14:textId="77777777" w:rsidR="00C541B1" w:rsidRDefault="00C541B1"/>
    <w:p w14:paraId="086F83F4" w14:textId="77777777" w:rsidR="00C541B1" w:rsidRDefault="00000000">
      <w:r>
        <w:rPr>
          <w:b/>
          <w:color w:val="003366"/>
          <w:sz w:val="24"/>
        </w:rPr>
        <w:t>Capability Assessment Radar</w:t>
      </w:r>
    </w:p>
    <w:p w14:paraId="3925D379" w14:textId="77777777" w:rsidR="00C541B1" w:rsidRDefault="00C541B1">
      <w:pPr>
        <w:jc w:val="center"/>
      </w:pPr>
    </w:p>
    <w:p w14:paraId="7B2EACC2" w14:textId="77777777" w:rsidR="00C541B1" w:rsidRDefault="00000000">
      <w:r>
        <w:rPr>
          <w:noProof/>
        </w:rPr>
        <w:lastRenderedPageBreak/>
        <w:drawing>
          <wp:inline distT="0" distB="0" distL="0" distR="0" wp14:anchorId="77904E49" wp14:editId="76183BDB">
            <wp:extent cx="5486400" cy="4901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8C95" w14:textId="77777777" w:rsidR="00C541B1" w:rsidRDefault="00000000">
      <w:r>
        <w:br w:type="page"/>
      </w:r>
    </w:p>
    <w:p w14:paraId="386BFE94" w14:textId="77777777" w:rsidR="00C541B1" w:rsidRDefault="00000000">
      <w:r>
        <w:rPr>
          <w:b/>
          <w:color w:val="003366"/>
          <w:sz w:val="32"/>
        </w:rPr>
        <w:lastRenderedPageBreak/>
        <w:t>Detailed Assessment Results</w:t>
      </w:r>
    </w:p>
    <w:p w14:paraId="2212546D" w14:textId="77777777" w:rsidR="00C541B1" w:rsidRDefault="00000000">
      <w:r>
        <w:t>________________________________________________________________________________</w:t>
      </w:r>
    </w:p>
    <w:p w14:paraId="343D9936" w14:textId="77777777" w:rsidR="00C541B1" w:rsidRDefault="00C541B1"/>
    <w:p w14:paraId="3A2B8EA0" w14:textId="77777777" w:rsidR="00C541B1" w:rsidRDefault="00000000">
      <w:r>
        <w:rPr>
          <w:b/>
          <w:color w:val="003366"/>
          <w:sz w:val="24"/>
        </w:rPr>
        <w:t>Pillar Performance Summary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54"/>
        <w:gridCol w:w="3352"/>
        <w:gridCol w:w="3354"/>
      </w:tblGrid>
      <w:tr w:rsidR="00C541B1" w14:paraId="7491DA6F" w14:textId="77777777" w:rsidTr="00C5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shd w:val="clear" w:color="auto" w:fill="D9E2F3"/>
          </w:tcPr>
          <w:p w14:paraId="340B5A15" w14:textId="77777777" w:rsidR="00C541B1" w:rsidRDefault="00000000">
            <w:r>
              <w:t>Pillar</w:t>
            </w:r>
          </w:p>
        </w:tc>
        <w:tc>
          <w:tcPr>
            <w:tcW w:w="3360" w:type="dxa"/>
            <w:shd w:val="clear" w:color="auto" w:fill="D9E2F3"/>
          </w:tcPr>
          <w:p w14:paraId="328B95D2" w14:textId="77777777" w:rsidR="00C541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360" w:type="dxa"/>
            <w:shd w:val="clear" w:color="auto" w:fill="D9E2F3"/>
          </w:tcPr>
          <w:p w14:paraId="2FFF69FD" w14:textId="77777777" w:rsidR="00C541B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</w:t>
            </w:r>
          </w:p>
        </w:tc>
      </w:tr>
      <w:tr w:rsidR="00C541B1" w14:paraId="745E4DDC" w14:textId="77777777" w:rsidTr="00C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1A75D820" w14:textId="77777777" w:rsidR="00C541B1" w:rsidRDefault="00000000">
            <w:r>
              <w:t>A. Channel Strategy &amp; Alignment</w:t>
            </w:r>
          </w:p>
        </w:tc>
        <w:tc>
          <w:tcPr>
            <w:tcW w:w="3360" w:type="dxa"/>
          </w:tcPr>
          <w:p w14:paraId="35F10A95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8C00"/>
              </w:rPr>
              <w:t>40</w:t>
            </w:r>
          </w:p>
        </w:tc>
        <w:tc>
          <w:tcPr>
            <w:tcW w:w="3360" w:type="dxa"/>
          </w:tcPr>
          <w:p w14:paraId="7B2FD07D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Emerging</w:t>
            </w:r>
          </w:p>
        </w:tc>
      </w:tr>
      <w:tr w:rsidR="00C541B1" w14:paraId="44482C09" w14:textId="77777777" w:rsidTr="00C54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60DDD3E7" w14:textId="77777777" w:rsidR="00C541B1" w:rsidRDefault="00000000">
            <w:r>
              <w:t>B. Partner Program Design</w:t>
            </w:r>
          </w:p>
        </w:tc>
        <w:tc>
          <w:tcPr>
            <w:tcW w:w="3360" w:type="dxa"/>
          </w:tcPr>
          <w:p w14:paraId="39171CCF" w14:textId="77777777" w:rsidR="00C541B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0066CC"/>
              </w:rPr>
              <w:t>60</w:t>
            </w:r>
          </w:p>
        </w:tc>
        <w:tc>
          <w:tcPr>
            <w:tcW w:w="3360" w:type="dxa"/>
          </w:tcPr>
          <w:p w14:paraId="46B90D83" w14:textId="77777777" w:rsidR="00C541B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0"/>
              </w:rPr>
              <w:t>Solid Foundation</w:t>
            </w:r>
          </w:p>
        </w:tc>
      </w:tr>
      <w:tr w:rsidR="00C541B1" w14:paraId="1AC1252D" w14:textId="77777777" w:rsidTr="00C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1FCE401F" w14:textId="77777777" w:rsidR="00C541B1" w:rsidRDefault="00000000">
            <w:r>
              <w:t>C. Partner Enablement &amp; Engagement</w:t>
            </w:r>
          </w:p>
        </w:tc>
        <w:tc>
          <w:tcPr>
            <w:tcW w:w="3360" w:type="dxa"/>
          </w:tcPr>
          <w:p w14:paraId="467E997D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8C00"/>
              </w:rPr>
              <w:t>40</w:t>
            </w:r>
          </w:p>
        </w:tc>
        <w:tc>
          <w:tcPr>
            <w:tcW w:w="3360" w:type="dxa"/>
          </w:tcPr>
          <w:p w14:paraId="01D31B0B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Emerging</w:t>
            </w:r>
          </w:p>
        </w:tc>
      </w:tr>
      <w:tr w:rsidR="00C541B1" w14:paraId="6DBB00AE" w14:textId="77777777" w:rsidTr="00C54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EBC0151" w14:textId="77777777" w:rsidR="00C541B1" w:rsidRDefault="00000000">
            <w:r>
              <w:t>D. Sales &amp; Operations Integration</w:t>
            </w:r>
          </w:p>
        </w:tc>
        <w:tc>
          <w:tcPr>
            <w:tcW w:w="3360" w:type="dxa"/>
          </w:tcPr>
          <w:p w14:paraId="0D8B8CB2" w14:textId="77777777" w:rsidR="00C541B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8C00"/>
              </w:rPr>
              <w:t>40</w:t>
            </w:r>
          </w:p>
        </w:tc>
        <w:tc>
          <w:tcPr>
            <w:tcW w:w="3360" w:type="dxa"/>
          </w:tcPr>
          <w:p w14:paraId="3DA13D57" w14:textId="77777777" w:rsidR="00C541B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20"/>
              </w:rPr>
              <w:t>Emerging</w:t>
            </w:r>
          </w:p>
        </w:tc>
      </w:tr>
      <w:tr w:rsidR="00C541B1" w14:paraId="4CEDAABA" w14:textId="77777777" w:rsidTr="00C5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3A15F764" w14:textId="77777777" w:rsidR="00C541B1" w:rsidRDefault="00000000">
            <w:r>
              <w:t>E. Growth Readiness</w:t>
            </w:r>
          </w:p>
        </w:tc>
        <w:tc>
          <w:tcPr>
            <w:tcW w:w="3360" w:type="dxa"/>
          </w:tcPr>
          <w:p w14:paraId="77C08B9F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66CC"/>
              </w:rPr>
              <w:t>70</w:t>
            </w:r>
          </w:p>
        </w:tc>
        <w:tc>
          <w:tcPr>
            <w:tcW w:w="3360" w:type="dxa"/>
          </w:tcPr>
          <w:p w14:paraId="30B939DD" w14:textId="77777777" w:rsidR="00C541B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Solid Foundation</w:t>
            </w:r>
          </w:p>
        </w:tc>
      </w:tr>
    </w:tbl>
    <w:p w14:paraId="54BB7A6F" w14:textId="77777777" w:rsidR="00C541B1" w:rsidRDefault="00C541B1"/>
    <w:p w14:paraId="3754DE80" w14:textId="77777777" w:rsidR="00C541B1" w:rsidRDefault="00000000">
      <w:r>
        <w:rPr>
          <w:b/>
          <w:color w:val="003366"/>
          <w:sz w:val="24"/>
        </w:rPr>
        <w:t>Key Findings</w:t>
      </w:r>
    </w:p>
    <w:p w14:paraId="4DE896BC" w14:textId="77777777" w:rsidR="00C541B1" w:rsidRDefault="00000000">
      <w:r>
        <w:rPr>
          <w:b/>
          <w:color w:val="008000"/>
        </w:rPr>
        <w:t>Areas of Strength:</w:t>
      </w:r>
    </w:p>
    <w:p w14:paraId="6EEB9A03" w14:textId="77777777" w:rsidR="00C541B1" w:rsidRDefault="00000000">
      <w:pPr>
        <w:pStyle w:val="ListBullet"/>
      </w:pPr>
      <w:r>
        <w:rPr>
          <w:sz w:val="20"/>
        </w:rPr>
        <w:t>E. Growth Readiness</w:t>
      </w:r>
    </w:p>
    <w:p w14:paraId="5F805E9F" w14:textId="77777777" w:rsidR="00C541B1" w:rsidRDefault="00000000">
      <w:pPr>
        <w:pStyle w:val="ListBullet"/>
      </w:pPr>
      <w:r>
        <w:rPr>
          <w:sz w:val="20"/>
        </w:rPr>
        <w:t>B. Partner Program Design</w:t>
      </w:r>
    </w:p>
    <w:p w14:paraId="5ABAEB94" w14:textId="77777777" w:rsidR="00C541B1" w:rsidRDefault="00C541B1"/>
    <w:p w14:paraId="4FEC633B" w14:textId="77777777" w:rsidR="00C541B1" w:rsidRDefault="00000000">
      <w:r>
        <w:rPr>
          <w:b/>
          <w:color w:val="CC6600"/>
        </w:rPr>
        <w:t>Development Priorities:</w:t>
      </w:r>
    </w:p>
    <w:p w14:paraId="3AA7BFCD" w14:textId="77777777" w:rsidR="00C541B1" w:rsidRDefault="00000000">
      <w:pPr>
        <w:pStyle w:val="ListBullet"/>
      </w:pPr>
      <w:r>
        <w:rPr>
          <w:sz w:val="20"/>
        </w:rPr>
        <w:t>A. Channel Strategy &amp; Alignment</w:t>
      </w:r>
    </w:p>
    <w:p w14:paraId="5075EE7E" w14:textId="77777777" w:rsidR="00C541B1" w:rsidRDefault="00000000">
      <w:pPr>
        <w:pStyle w:val="ListBullet"/>
      </w:pPr>
      <w:r>
        <w:rPr>
          <w:sz w:val="20"/>
        </w:rPr>
        <w:t>C. Partner Enablement &amp; Engagement</w:t>
      </w:r>
    </w:p>
    <w:p w14:paraId="574B3B80" w14:textId="77777777" w:rsidR="00C541B1" w:rsidRDefault="00000000">
      <w:pPr>
        <w:pStyle w:val="ListBullet"/>
      </w:pPr>
      <w:r>
        <w:rPr>
          <w:sz w:val="20"/>
        </w:rPr>
        <w:t>D. Sales &amp; Operations Integration</w:t>
      </w:r>
    </w:p>
    <w:p w14:paraId="7C3694A2" w14:textId="77777777" w:rsidR="00C541B1" w:rsidRDefault="00C541B1"/>
    <w:p w14:paraId="54F103B6" w14:textId="77777777" w:rsidR="00C541B1" w:rsidRDefault="00000000">
      <w:r>
        <w:rPr>
          <w:b/>
          <w:color w:val="003366"/>
          <w:sz w:val="24"/>
        </w:rPr>
        <w:t>Strategic Recommendations (Next 90 Days)</w:t>
      </w:r>
    </w:p>
    <w:p w14:paraId="3D283682" w14:textId="77777777" w:rsidR="00C541B1" w:rsidRDefault="00000000">
      <w:pPr>
        <w:pStyle w:val="ListNumber"/>
      </w:pPr>
      <w:r>
        <w:rPr>
          <w:sz w:val="20"/>
        </w:rPr>
        <w:t>Clarify the partner role by segment and set a 12-month channel thesis with 3 measurable outcomes.</w:t>
      </w:r>
    </w:p>
    <w:p w14:paraId="4ABFE774" w14:textId="77777777" w:rsidR="00C541B1" w:rsidRDefault="00000000">
      <w:pPr>
        <w:pStyle w:val="ListNumber"/>
      </w:pPr>
      <w:r>
        <w:rPr>
          <w:sz w:val="20"/>
        </w:rPr>
        <w:t>Stand up a 30-60-90 enablement cadence: onboarding kit, monthly enablement call, quarterly MDF campaign.</w:t>
      </w:r>
    </w:p>
    <w:p w14:paraId="3F1F18E5" w14:textId="77777777" w:rsidR="00C541B1" w:rsidRDefault="00000000">
      <w:pPr>
        <w:pStyle w:val="ListNumber"/>
      </w:pPr>
      <w:r>
        <w:rPr>
          <w:sz w:val="20"/>
        </w:rPr>
        <w:t>Separate channel pipeline tracking; define lead routing/quoting SLAs; add 'channel' to forecast reviews.</w:t>
      </w:r>
    </w:p>
    <w:p w14:paraId="270AD52C" w14:textId="77777777" w:rsidR="00C541B1" w:rsidRDefault="00C541B1"/>
    <w:p w14:paraId="65A0B380" w14:textId="77777777" w:rsidR="00C541B1" w:rsidRDefault="00C541B1"/>
    <w:p w14:paraId="61133061" w14:textId="77777777" w:rsidR="00C541B1" w:rsidRDefault="00000000">
      <w:pPr>
        <w:jc w:val="center"/>
      </w:pPr>
      <w:r>
        <w:rPr>
          <w:b/>
          <w:color w:val="003366"/>
          <w:sz w:val="24"/>
        </w:rPr>
        <w:t>Ready to achieve a 90+ Channel Readiness Score?</w:t>
      </w:r>
    </w:p>
    <w:p w14:paraId="3833F53F" w14:textId="77777777" w:rsidR="00C541B1" w:rsidRDefault="00000000">
      <w:pPr>
        <w:jc w:val="center"/>
      </w:pPr>
      <w:r>
        <w:rPr>
          <w:color w:val="595959"/>
        </w:rPr>
        <w:t>Schedule a comprehensive XplainIQ GTM Assessment</w:t>
      </w:r>
    </w:p>
    <w:p w14:paraId="3C543CF7" w14:textId="77777777" w:rsidR="00C541B1" w:rsidRDefault="00C541B1"/>
    <w:p w14:paraId="06B3A9B9" w14:textId="77777777" w:rsidR="00C541B1" w:rsidRDefault="00000000">
      <w:r>
        <w:t>________________________________________________________________________________</w:t>
      </w:r>
    </w:p>
    <w:p w14:paraId="3582D774" w14:textId="77777777" w:rsidR="00C541B1" w:rsidRDefault="00000000">
      <w:pPr>
        <w:jc w:val="center"/>
      </w:pPr>
      <w:r>
        <w:rPr>
          <w:color w:val="808080"/>
          <w:sz w:val="16"/>
        </w:rPr>
        <w:lastRenderedPageBreak/>
        <w:t>© Innovative Networx – XplainIQ™ | Confidential &amp; Proprietary</w:t>
      </w:r>
    </w:p>
    <w:sectPr w:rsidR="00C541B1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330874">
    <w:abstractNumId w:val="8"/>
  </w:num>
  <w:num w:numId="2" w16cid:durableId="594939778">
    <w:abstractNumId w:val="6"/>
  </w:num>
  <w:num w:numId="3" w16cid:durableId="217018009">
    <w:abstractNumId w:val="5"/>
  </w:num>
  <w:num w:numId="4" w16cid:durableId="710959284">
    <w:abstractNumId w:val="4"/>
  </w:num>
  <w:num w:numId="5" w16cid:durableId="777338659">
    <w:abstractNumId w:val="7"/>
  </w:num>
  <w:num w:numId="6" w16cid:durableId="105972726">
    <w:abstractNumId w:val="3"/>
  </w:num>
  <w:num w:numId="7" w16cid:durableId="1354070044">
    <w:abstractNumId w:val="2"/>
  </w:num>
  <w:num w:numId="8" w16cid:durableId="532117226">
    <w:abstractNumId w:val="1"/>
  </w:num>
  <w:num w:numId="9" w16cid:durableId="94537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4281"/>
    <w:rsid w:val="0029639D"/>
    <w:rsid w:val="00326F90"/>
    <w:rsid w:val="00AA1D8D"/>
    <w:rsid w:val="00B47730"/>
    <w:rsid w:val="00C541B1"/>
    <w:rsid w:val="00CB0664"/>
    <w:rsid w:val="00EF42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F8887"/>
  <w14:defaultImageDpi w14:val="300"/>
  <w15:docId w15:val="{6A768C15-F34B-499B-8DED-4B337071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Madison</cp:lastModifiedBy>
  <cp:revision>2</cp:revision>
  <dcterms:created xsi:type="dcterms:W3CDTF">2025-10-20T12:52:00Z</dcterms:created>
  <dcterms:modified xsi:type="dcterms:W3CDTF">2025-10-20T12:52:00Z</dcterms:modified>
  <cp:category/>
</cp:coreProperties>
</file>