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55327" w14:textId="77777777" w:rsidR="007E406A"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Journal: </w:t>
      </w:r>
      <w:proofErr w:type="spellStart"/>
      <w:r>
        <w:rPr>
          <w:rFonts w:ascii="Times New Roman" w:eastAsia="Times New Roman" w:hAnsi="Times New Roman" w:cs="Times New Roman"/>
          <w:i/>
          <w:sz w:val="26"/>
          <w:szCs w:val="26"/>
        </w:rPr>
        <w:t>Hydrobiologia</w:t>
      </w:r>
      <w:proofErr w:type="spellEnd"/>
    </w:p>
    <w:p w14:paraId="06B3DF01" w14:textId="77777777" w:rsidR="007E406A"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Type: Article</w:t>
      </w:r>
    </w:p>
    <w:p w14:paraId="3D7EE90E" w14:textId="77777777" w:rsidR="007E406A" w:rsidRDefault="007E406A">
      <w:pPr>
        <w:spacing w:before="240" w:after="240"/>
        <w:rPr>
          <w:rFonts w:ascii="Times New Roman" w:eastAsia="Times New Roman" w:hAnsi="Times New Roman" w:cs="Times New Roman"/>
          <w:sz w:val="24"/>
          <w:szCs w:val="24"/>
        </w:rPr>
      </w:pPr>
    </w:p>
    <w:p w14:paraId="48BF80B2" w14:textId="77777777" w:rsidR="007E406A" w:rsidRDefault="00000000">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Assessing a standardized method to identify optimal baselines for trophic position estimation in stable isotope studies of stream ecosystems </w:t>
      </w:r>
    </w:p>
    <w:p w14:paraId="75B918DC" w14:textId="77777777" w:rsidR="007E406A" w:rsidRDefault="00000000">
      <w:pPr>
        <w:spacing w:before="240" w:after="24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Nathan T. Barrus</w:t>
      </w:r>
      <w:r>
        <w:rPr>
          <w:rFonts w:ascii="Arial Unicode MS" w:eastAsia="Arial Unicode MS" w:hAnsi="Arial Unicode MS" w:cs="Arial Unicode MS"/>
          <w:sz w:val="24"/>
          <w:szCs w:val="24"/>
          <w:vertAlign w:val="superscript"/>
        </w:rPr>
        <w:t>*❖</w:t>
      </w:r>
      <w:r>
        <w:rPr>
          <w:rFonts w:ascii="Times New Roman" w:eastAsia="Times New Roman" w:hAnsi="Times New Roman" w:cs="Times New Roman"/>
          <w:sz w:val="24"/>
          <w:szCs w:val="24"/>
        </w:rPr>
        <w:t>, Bryan M. Maitland</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xml:space="preserve">, Frank J. </w:t>
      </w:r>
      <w:proofErr w:type="spellStart"/>
      <w:r>
        <w:rPr>
          <w:rFonts w:ascii="Times New Roman" w:eastAsia="Times New Roman" w:hAnsi="Times New Roman" w:cs="Times New Roman"/>
          <w:sz w:val="24"/>
          <w:szCs w:val="24"/>
        </w:rPr>
        <w:t>Rahel</w:t>
      </w:r>
      <w:proofErr w:type="spellEnd"/>
    </w:p>
    <w:p w14:paraId="58FB94D9" w14:textId="77777777" w:rsidR="007E406A" w:rsidRDefault="007E406A">
      <w:pPr>
        <w:rPr>
          <w:rFonts w:ascii="Times New Roman" w:eastAsia="Times New Roman" w:hAnsi="Times New Roman" w:cs="Times New Roman"/>
          <w:sz w:val="24"/>
          <w:szCs w:val="24"/>
        </w:rPr>
      </w:pPr>
    </w:p>
    <w:p w14:paraId="468A3C72"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NTB: Department of Zoology &amp; Physiology and Program in Ecology, University of Wyoming, Laramie, WY, USA, nbarrus1@gmail.com, </w:t>
      </w:r>
      <w:proofErr w:type="spellStart"/>
      <w:r>
        <w:rPr>
          <w:rFonts w:ascii="Times New Roman" w:eastAsia="Times New Roman" w:hAnsi="Times New Roman" w:cs="Times New Roman"/>
          <w:sz w:val="24"/>
          <w:szCs w:val="24"/>
        </w:rPr>
        <w:t>ORCiD</w:t>
      </w:r>
      <w:proofErr w:type="spellEnd"/>
      <w:r>
        <w:rPr>
          <w:rFonts w:ascii="Times New Roman" w:eastAsia="Times New Roman" w:hAnsi="Times New Roman" w:cs="Times New Roman"/>
          <w:sz w:val="24"/>
          <w:szCs w:val="24"/>
        </w:rPr>
        <w:t xml:space="preserve"> = 0000-0001-7503-3120</w:t>
      </w:r>
    </w:p>
    <w:p w14:paraId="403DC5AB"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BMM: Department of Zoology &amp; Physiology and Program in Ecology, University of Wyoming, Laramie, WY, USA, bmaitland101@gmail.com, </w:t>
      </w:r>
      <w:proofErr w:type="spellStart"/>
      <w:r>
        <w:rPr>
          <w:rFonts w:ascii="Times New Roman" w:eastAsia="Times New Roman" w:hAnsi="Times New Roman" w:cs="Times New Roman"/>
          <w:sz w:val="24"/>
          <w:szCs w:val="24"/>
        </w:rPr>
        <w:t>ORCiD</w:t>
      </w:r>
      <w:proofErr w:type="spellEnd"/>
      <w:r>
        <w:rPr>
          <w:rFonts w:ascii="Times New Roman" w:eastAsia="Times New Roman" w:hAnsi="Times New Roman" w:cs="Times New Roman"/>
          <w:sz w:val="24"/>
          <w:szCs w:val="24"/>
        </w:rPr>
        <w:t xml:space="preserve"> = 0000-0002-4491-5064</w:t>
      </w:r>
    </w:p>
    <w:p w14:paraId="1CD50C50"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FJR: Department of Zoology &amp; Physiology and Program in Ecology, University of Wyoming, Laramie, WY, USA, frahel@uwyo.edu, </w:t>
      </w:r>
      <w:proofErr w:type="spellStart"/>
      <w:r>
        <w:rPr>
          <w:rFonts w:ascii="Times New Roman" w:eastAsia="Times New Roman" w:hAnsi="Times New Roman" w:cs="Times New Roman"/>
          <w:sz w:val="24"/>
          <w:szCs w:val="24"/>
        </w:rPr>
        <w:t>ORCiD</w:t>
      </w:r>
      <w:proofErr w:type="spellEnd"/>
      <w:r>
        <w:rPr>
          <w:rFonts w:ascii="Times New Roman" w:eastAsia="Times New Roman" w:hAnsi="Times New Roman" w:cs="Times New Roman"/>
          <w:sz w:val="24"/>
          <w:szCs w:val="24"/>
        </w:rPr>
        <w:t xml:space="preserve"> = 0000-0002-0932-3485</w:t>
      </w:r>
    </w:p>
    <w:p w14:paraId="34460EB6"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author: nbarrus1@gmail.com, (307) 431-0859</w:t>
      </w:r>
    </w:p>
    <w:p w14:paraId="7EAF380D" w14:textId="77777777" w:rsidR="007E406A" w:rsidRDefault="00000000">
      <w:pPr>
        <w:spacing w:before="240" w:after="240"/>
        <w:rPr>
          <w:rFonts w:ascii="Times New Roman" w:eastAsia="Times New Roman" w:hAnsi="Times New Roman" w:cs="Times New Roman"/>
          <w:sz w:val="24"/>
          <w:szCs w:val="24"/>
        </w:rPr>
      </w:pPr>
      <w:r>
        <w:rPr>
          <w:rFonts w:ascii="Arial Unicode MS" w:eastAsia="Arial Unicode MS" w:hAnsi="Arial Unicode MS" w:cs="Arial Unicode MS"/>
          <w:sz w:val="24"/>
          <w:szCs w:val="24"/>
          <w:vertAlign w:val="superscript"/>
        </w:rPr>
        <w:t>❖</w:t>
      </w:r>
      <w:r>
        <w:rPr>
          <w:rFonts w:ascii="Times New Roman" w:eastAsia="Times New Roman" w:hAnsi="Times New Roman" w:cs="Times New Roman"/>
          <w:sz w:val="24"/>
          <w:szCs w:val="24"/>
        </w:rPr>
        <w:t>Current affiliation: Florida International University, Department of Biological Sciences, Miami FL, USA</w:t>
      </w:r>
    </w:p>
    <w:p w14:paraId="2306460F"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Current affiliation: University of Wisconsin-Madison, Aquatic Science Center for Limnology, Madison, WI, USA</w:t>
      </w:r>
    </w:p>
    <w:p w14:paraId="42BA6053"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Statement of authorship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Conceptualisation</w:t>
      </w:r>
      <w:proofErr w:type="spellEnd"/>
      <w:r>
        <w:rPr>
          <w:rFonts w:ascii="Times New Roman" w:eastAsia="Times New Roman" w:hAnsi="Times New Roman" w:cs="Times New Roman"/>
          <w:sz w:val="24"/>
          <w:szCs w:val="24"/>
        </w:rPr>
        <w:t>: NTB, BMM. Developing methods: NTB, BMM. Data analysis: NTB, BMM. Preparation of figures and tables: NTB. Conducting the research, data interpretation, writing: NTB, BMM, FJR. All authors contributed critically to the drafts and gave final approval for publication.</w:t>
      </w:r>
    </w:p>
    <w:p w14:paraId="030E36CF" w14:textId="77777777" w:rsidR="007E406A"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accessibility statement</w:t>
      </w:r>
      <w:r>
        <w:rPr>
          <w:rFonts w:ascii="Times New Roman" w:eastAsia="Times New Roman" w:hAnsi="Times New Roman" w:cs="Times New Roman"/>
          <w:sz w:val="24"/>
          <w:szCs w:val="24"/>
        </w:rPr>
        <w:t xml:space="preserve">: The data and code supporting the results will be archived on GitHub and in the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public repository.</w:t>
      </w:r>
    </w:p>
    <w:p w14:paraId="535950D4" w14:textId="77777777" w:rsidR="007E406A"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Interests</w:t>
      </w:r>
      <w:r>
        <w:rPr>
          <w:rFonts w:ascii="Times New Roman" w:eastAsia="Times New Roman" w:hAnsi="Times New Roman" w:cs="Times New Roman"/>
          <w:sz w:val="24"/>
          <w:szCs w:val="24"/>
        </w:rPr>
        <w:t>: None to declare.</w:t>
      </w:r>
      <w:r>
        <w:br w:type="page"/>
      </w:r>
    </w:p>
    <w:p w14:paraId="247EC69C" w14:textId="77777777" w:rsidR="007E406A"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2E96273D"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Nitrogen stable isotope ratios (15N:14N, δ15N) are widely used to quantify vertical trophic structure in aquatic ecosystems. However, comparing trophic structure across different geographical locations requires identifying suitable isotopic baselines due to large variation in isotope values at the base of food webs. Here, we evaluate the effectiveness of a standardized method for identifying optimal isotopic baselines developed for lowland temperate streams by applying it to stream systems spanning the Rocky Mountains–Great Plains ecotone. We assessed different taxonomic groups and functional feeding groups as optimal baselines following four criteria: 1) ease of collection and wide distribution, 2) low within-site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variation, 3)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values are correlated with background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variability, and 4) no systematic change in calculated consumer trophic positions across space (i.e., independent of system-specific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variability).  We found that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(obligate filter feeders) met all four criteria and had the lowest within-site variation, likely because of similar feeding ecologies. Trophic position estimates based on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baselines of three fish species, each with similar diets across the Rocky Mountains–Great Plains gradient, were independent of systematic δ15N variability. Further, two species that exhibited shifting diets across the ecotone were correctly adjusted. Our results suggest that the proposed screening procedure is adequate, and we recommend the use of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or filter feeders in general as baseline organisms for stable isotope studies in temperate stream ecosystems. Given variability in δ15N values across the landscape, our identification of a regionally-derived baseline indicator organisms should aid in quantifying fish trophic position in stable isotope studies in lotic systems. </w:t>
      </w:r>
    </w:p>
    <w:p w14:paraId="516C1D76" w14:textId="77777777" w:rsidR="007E406A" w:rsidRDefault="007E406A">
      <w:pPr>
        <w:spacing w:before="240" w:after="240" w:line="360" w:lineRule="auto"/>
        <w:rPr>
          <w:rFonts w:ascii="Times New Roman" w:eastAsia="Times New Roman" w:hAnsi="Times New Roman" w:cs="Times New Roman"/>
          <w:b/>
          <w:sz w:val="24"/>
          <w:szCs w:val="24"/>
        </w:rPr>
      </w:pPr>
    </w:p>
    <w:p w14:paraId="3BB30A97" w14:textId="77777777" w:rsidR="007E406A"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stable isotope analysis, trophic level, isotopic baselines, </w:t>
      </w:r>
    </w:p>
    <w:p w14:paraId="5EAA0AB6" w14:textId="77777777" w:rsidR="007E406A" w:rsidRDefault="00000000">
      <w:pPr>
        <w:spacing w:before="240" w:after="240" w:line="360" w:lineRule="auto"/>
        <w:rPr>
          <w:rFonts w:ascii="Times New Roman" w:eastAsia="Times New Roman" w:hAnsi="Times New Roman" w:cs="Times New Roman"/>
          <w:b/>
          <w:sz w:val="24"/>
          <w:szCs w:val="24"/>
        </w:rPr>
      </w:pPr>
      <w:r>
        <w:br w:type="page"/>
      </w:r>
    </w:p>
    <w:p w14:paraId="3C69C960" w14:textId="77777777" w:rsidR="007E406A"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15F38DF" w14:textId="3D1AF6F8"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Food webs depict trophic relationships among species that determine energy and material fluxes within and between ecosystems (Paine 1980, Thompson et al. 2012). One major goal in ecology is to understand how trophic relationships vary over space and time, which is often done by quantifying an organism’s trophic position on a continuous scale. Stable isotope analysis is now widely used to assess trophic position (Fry 1983, Cabana and Rasmussen 1996, Reid et al. 2008). In particular, the ratio of stable isotopes of nitrogen (15N:14N,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is used to estimate trophic position (TP) of organisms because of changes in the proportion of light to heavy nitrogen isotopes during trophic transfers from one trophic level to the next (DeNiro and Epstein 1981, Minagawa and Wada 1984, Fry 1988, Martinez del Rio and Wolf 2005), resulting in consumers having tissues enriched with the heavy isotope relative to their food resources. Such an approach can be used to quantify shifts in food web structure from species invasions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et al. 1999, </w:t>
      </w:r>
      <w:proofErr w:type="spellStart"/>
      <w:r>
        <w:rPr>
          <w:rFonts w:ascii="Times New Roman" w:eastAsia="Times New Roman" w:hAnsi="Times New Roman" w:cs="Times New Roman"/>
          <w:sz w:val="24"/>
          <w:szCs w:val="24"/>
        </w:rPr>
        <w:t>Rogosch</w:t>
      </w:r>
      <w:proofErr w:type="spellEnd"/>
      <w:r>
        <w:rPr>
          <w:rFonts w:ascii="Times New Roman" w:eastAsia="Times New Roman" w:hAnsi="Times New Roman" w:cs="Times New Roman"/>
          <w:sz w:val="24"/>
          <w:szCs w:val="24"/>
        </w:rPr>
        <w:t xml:space="preserve"> and Olden 2020, Kirk, Maitland et al. 2021) or to understand contaminant biomagnification (</w:t>
      </w:r>
      <w:proofErr w:type="spellStart"/>
      <w:r>
        <w:rPr>
          <w:rFonts w:ascii="Times New Roman" w:eastAsia="Times New Roman" w:hAnsi="Times New Roman" w:cs="Times New Roman"/>
          <w:sz w:val="24"/>
          <w:szCs w:val="24"/>
        </w:rPr>
        <w:t>Lepak</w:t>
      </w:r>
      <w:proofErr w:type="spellEnd"/>
      <w:r>
        <w:rPr>
          <w:rFonts w:ascii="Times New Roman" w:eastAsia="Times New Roman" w:hAnsi="Times New Roman" w:cs="Times New Roman"/>
          <w:sz w:val="24"/>
          <w:szCs w:val="24"/>
        </w:rPr>
        <w:t xml:space="preserve"> et al. 2019). However, in aquatic ecosystems, large spatial variability in nitrogen isotope ratios at the base of local food webs can make the comparison of TP among sites or along environmental gradients problematic (Anderson &amp; Cabana, 2005; Barnes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2008). </w:t>
      </w:r>
    </w:p>
    <w:p w14:paraId="7D15AA69"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Variability in δ15N values arises from natural processes including in situ denitrification and nitrogen fixation, as well as from land use changes (</w:t>
      </w:r>
      <w:proofErr w:type="spellStart"/>
      <w:r>
        <w:rPr>
          <w:rFonts w:ascii="Times New Roman" w:eastAsia="Times New Roman" w:hAnsi="Times New Roman" w:cs="Times New Roman"/>
          <w:sz w:val="24"/>
          <w:szCs w:val="24"/>
        </w:rPr>
        <w:t>Chappuis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For example, anthropogenic sources of nitrogen (i.e. agriculture, sewage treatment, livestock manure) can increase the number of denitrified components of nitrogen in the system (i.e. ammonium and POM) through bacterial decomposition. Because bacteria preferentially use </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N over </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when breaking down organic materials, the remaining nitrogen that enters aquatic ecosystems have elevated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(Di </w:t>
      </w:r>
      <w:proofErr w:type="spellStart"/>
      <w:r>
        <w:rPr>
          <w:rFonts w:ascii="Times New Roman" w:eastAsia="Times New Roman" w:hAnsi="Times New Roman" w:cs="Times New Roman"/>
          <w:sz w:val="24"/>
          <w:szCs w:val="24"/>
        </w:rPr>
        <w:t>Lascio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which can propagate up through food webs. In the Saint Lawrence lowlands in Quebec, Canada, primary consumer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increased up to 15 per mil with regional nitrogen loading from synthetic fertilizers and manure from pig, chicken and cattle operations (Anderson &amp; Cabana, 2005). In contrast, watersheds in the northeastern United States dominated by natural forest cover exhibit variability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on the order of 2 per </w:t>
      </w:r>
      <w:proofErr w:type="spellStart"/>
      <w:r>
        <w:rPr>
          <w:rFonts w:ascii="Times New Roman" w:eastAsia="Times New Roman" w:hAnsi="Times New Roman" w:cs="Times New Roman"/>
          <w:sz w:val="24"/>
          <w:szCs w:val="24"/>
        </w:rPr>
        <w:t>mille</w:t>
      </w:r>
      <w:proofErr w:type="spellEnd"/>
      <w:r>
        <w:rPr>
          <w:rFonts w:ascii="Times New Roman" w:eastAsia="Times New Roman" w:hAnsi="Times New Roman" w:cs="Times New Roman"/>
          <w:sz w:val="24"/>
          <w:szCs w:val="24"/>
        </w:rPr>
        <w:t xml:space="preserve"> (Mayer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2002). In streams in northeastern Spain,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of basal resources are </w:t>
      </w:r>
      <w:r>
        <w:rPr>
          <w:rFonts w:ascii="Times New Roman" w:eastAsia="Times New Roman" w:hAnsi="Times New Roman" w:cs="Times New Roman"/>
          <w:sz w:val="24"/>
          <w:szCs w:val="24"/>
        </w:rPr>
        <w:lastRenderedPageBreak/>
        <w:t xml:space="preserve">highest in human-impacted mainstem locations (Pastor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2013), and anthropogenic land-use practices have been shown to increase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in lacustrine systems in Rhode Island (Lake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2001) and boreal streams in south-central Sweden (</w:t>
      </w:r>
      <w:proofErr w:type="spellStart"/>
      <w:r>
        <w:rPr>
          <w:rFonts w:ascii="Times New Roman" w:eastAsia="Times New Roman" w:hAnsi="Times New Roman" w:cs="Times New Roman"/>
          <w:sz w:val="24"/>
          <w:szCs w:val="24"/>
        </w:rPr>
        <w:t>Bergfur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2009). Accordingly, comparing TP estimates from different locations can lead to erroneous inferences of food webs structure and trophic relationships.</w:t>
      </w:r>
    </w:p>
    <w:p w14:paraId="43377176"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account for the effects of geographic variation in isotope levels, TP is typically estimated relative to an isotope “baseline” (i.e., material representing geographic variation) using simple formula transformations or statistical analysis (</w:t>
      </w:r>
      <w:proofErr w:type="spellStart"/>
      <w:r>
        <w:rPr>
          <w:rFonts w:ascii="Times New Roman" w:eastAsia="Times New Roman" w:hAnsi="Times New Roman" w:cs="Times New Roman"/>
          <w:sz w:val="24"/>
          <w:szCs w:val="24"/>
        </w:rPr>
        <w:t>Kjeldgaard</w:t>
      </w:r>
      <w:proofErr w:type="spellEnd"/>
      <w:r>
        <w:rPr>
          <w:rFonts w:ascii="Times New Roman" w:eastAsia="Times New Roman" w:hAnsi="Times New Roman" w:cs="Times New Roman"/>
          <w:sz w:val="24"/>
          <w:szCs w:val="24"/>
        </w:rPr>
        <w:t xml:space="preserve"> et al 2021). These approaches generally use a proxy organism as a baseline to correct for background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variation across space (Cabana and Rasmussen 1996, Post 2002, Jardine et al. 2012, Kristensen et al. 2016). While this proxy organism approach has been applied in food web studies, it has limitations which require careful consideration before a proxy baseline is selected. Primary consumers have short life cycles and high tissue turnover rates which prohibits useful interpretation of higher trophic levels due to differing temporal resolutions. So researchers have tended to collect all potential basal primary resources at a site (i.e., suspended and benthic organic matter, biofilms, filamentous algae, macrophytes, and riparian vegetation) in replicate multiple times during a given time interval (e.g., three times over growing period) and use the average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of the primary producers as the baseline (</w:t>
      </w:r>
      <w:proofErr w:type="spellStart"/>
      <w:r>
        <w:rPr>
          <w:rFonts w:ascii="Times New Roman" w:eastAsia="Times New Roman" w:hAnsi="Times New Roman" w:cs="Times New Roman"/>
          <w:sz w:val="24"/>
          <w:szCs w:val="24"/>
        </w:rPr>
        <w:t>Vinagre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2008; Govender, Smit &amp; </w:t>
      </w:r>
      <w:proofErr w:type="spellStart"/>
      <w:r>
        <w:rPr>
          <w:rFonts w:ascii="Times New Roman" w:eastAsia="Times New Roman" w:hAnsi="Times New Roman" w:cs="Times New Roman"/>
          <w:sz w:val="24"/>
          <w:szCs w:val="24"/>
        </w:rPr>
        <w:t>Perissinotto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Caravalho</w:t>
      </w:r>
      <w:proofErr w:type="spellEnd"/>
      <w:r>
        <w:rPr>
          <w:rFonts w:ascii="Times New Roman" w:eastAsia="Times New Roman" w:hAnsi="Times New Roman" w:cs="Times New Roman"/>
          <w:sz w:val="24"/>
          <w:szCs w:val="24"/>
        </w:rPr>
        <w:t xml:space="preserve"> et al., 2015). But collecting primary producers in streams is arduous and expensive because it requires many samples over many dates to adequately characterize baseline variation.  Therefore, long-lived primary consumers, particularly bivalves, with tissue turnover rates closer to higher level consumers are more appropriate than primary producers (Vander-</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&amp; Rasmussen, 2001; Jardine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2014). Bivalves also exhibit a uniform, specialized filter feeding strategy which can reduce additional variation from omnivorous feeding habits. However, bivalves and similar long-lived primary consumers can be sparsely distributed in many temperate stream ecosystems, rendering them impractical as baseline proxies. </w:t>
      </w:r>
    </w:p>
    <w:p w14:paraId="41088453" w14:textId="77777777" w:rsidR="007E406A"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Suitable primary consumer taxa to use as baseline indicators in temperate streams have been identified for Danish lowlands and for an eastern Canadian watershed (Anderson &amp; Cabana, 2007; Kristensen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However, few detailed comparative tests exist, and a consensus </w:t>
      </w:r>
      <w:r>
        <w:rPr>
          <w:rFonts w:ascii="Times New Roman" w:eastAsia="Times New Roman" w:hAnsi="Times New Roman" w:cs="Times New Roman"/>
          <w:sz w:val="24"/>
          <w:szCs w:val="24"/>
        </w:rPr>
        <w:lastRenderedPageBreak/>
        <w:t>has yet to be reached for baseline proxies across regions. Our objective was to compare aquatic macroinvertebrate taxa and groups of taxa (i.e., functional feeding group; FFGs) as baseline indicators that reflect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at the base of food webs in streams that span the Rocky Mountain—Great Plains ecotone in western North America. These streams vary in land-use characteristics moving from upstream headwaters to downstream reaches, making them good systems to identify a widely usable and reliable baseline indicator. We used four criteria to identify an optimal invertebrate baseline (Kristensen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2016). The baseline taxon must: (1) have a wide geographic distribution, (2) have low with-in site variation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(3) have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that are correlated with background spatial variability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and (4) give TP estimates of organisms higher in the food web that are free of environment influences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As urbanization and agricultural land-use practices can influence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in aquatic ecosystems (Mayer et al., 2002; Anderson &amp; Cabana, 2005), the identification of regionally-derived baseline indicator organisms should aid in quantifying fish trophic position in stable isotope studies in lotic systems.</w:t>
      </w:r>
    </w:p>
    <w:p w14:paraId="7EC9306D" w14:textId="77777777" w:rsidR="007E406A"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753C25B"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Study system and site selection</w:t>
      </w:r>
    </w:p>
    <w:p w14:paraId="3353E12B"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sampled sixteen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order stream sites distributed along the Rocky Mountain—Great Plains ecotone. Sites were selected to represent an environmental gradient based on elevation and land-use that resulted in a wide variation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at the base of local food webs. Sites spanned the longitudinal (i.e., upstream-downstream) gradient of the three primary tributaries to the North Platte River in Wyoming, USA (Figure 1). The Sweetwater, Medicine Bow and Laramie rivers are snowmelt dominated with peak flows occurring in the spring and base flows occurring in mid-summer. Their watersheds transition from forested land at high elevations to agriculturally dominated land with some urbanization at low elevations. </w:t>
      </w:r>
    </w:p>
    <w:p w14:paraId="33F20CBB" w14:textId="77777777" w:rsidR="007E406A" w:rsidRDefault="00000000">
      <w:pPr>
        <w:shd w:val="clear" w:color="auto" w:fill="FFFFFF"/>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Longitudinal gradient and land use index variable </w:t>
      </w:r>
    </w:p>
    <w:p w14:paraId="67DF412A" w14:textId="77777777" w:rsidR="007E406A" w:rsidRDefault="00000000">
      <w:pPr>
        <w:shd w:val="clear" w:color="auto" w:fill="FFFFFF"/>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Instead of using percent natural land cover as a variable to compare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among potential baselines (Kristensen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2016), we used a proxy variable for a site’s location along the </w:t>
      </w:r>
      <w:r>
        <w:rPr>
          <w:rFonts w:ascii="Times New Roman" w:eastAsia="Times New Roman" w:hAnsi="Times New Roman" w:cs="Times New Roman"/>
          <w:sz w:val="24"/>
          <w:szCs w:val="24"/>
        </w:rPr>
        <w:lastRenderedPageBreak/>
        <w:t xml:space="preserve">longitudinal stream gradient developed by Maitland (2020). The proxy variable combines seven metrics of environmental conditions at a study site into an index of longitudinal stream position using the Axis 1 site score from a principal component analysis (PCA). Input variables to the PCA were elevation (m </w:t>
      </w:r>
      <w:proofErr w:type="spellStart"/>
      <w:r>
        <w:rPr>
          <w:rFonts w:ascii="Times New Roman" w:eastAsia="Times New Roman" w:hAnsi="Times New Roman" w:cs="Times New Roman"/>
          <w:sz w:val="24"/>
          <w:szCs w:val="24"/>
        </w:rPr>
        <w:t>a.s.l</w:t>
      </w:r>
      <w:proofErr w:type="spellEnd"/>
      <w:r>
        <w:rPr>
          <w:rFonts w:ascii="Times New Roman" w:eastAsia="Times New Roman" w:hAnsi="Times New Roman" w:cs="Times New Roman"/>
          <w:sz w:val="24"/>
          <w:szCs w:val="24"/>
        </w:rPr>
        <w:t>.), stream slope (km/km), distance to North Platte River (km), Strahler stream order, mean August water temperature (℃), upstream drainage area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and stream width (m). This longitudinal gradient index (PC1) explained 78% of site-level variation among the 16 study sites and described changes in environmental conditions from upstream, high-elevation, cold-water streams to downstream, low-elevation, warm-water streams. Upstream sites were more likely to be surrounded by natural land cover (e.g. forest, grassland, shrubland, and wetland land types; NLCD Database 2011), as evidenced by a strong negative correlation between PC1 and percent natural land cover at a site (Maitland, 2020). Maitland (2020) also found that PC1 (and thus the degree of natural land cover) was positively correlated with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of basal resources and primary consumers, consistent with previous research (Cabana and Rasmussen 1996, Lake et al. 2001, Kristensen et al. 2016). Thus, we used synthetic gradient variable (PC1) as a measure of local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for all future analyses.</w:t>
      </w:r>
    </w:p>
    <w:p w14:paraId="7AD3E349"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Sample collection and preparation</w:t>
      </w:r>
    </w:p>
    <w:p w14:paraId="2DC37177"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Samples were collected during summer 2016. Basal resources (i.e., primary uptake compartments) were sampled once in June, July, and August to account for fine-scale temporal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(Jardine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2014).  Seston was collected by filtering three replicates of up to 10 L of water onto pre-combusted (550 °C, 4 hours) filters (Whatman GF/F, 47 mm O) in the field using a modified portable drill pump (Kelso &amp; Baker, 2016). Biofilm was collected by scraping five cobble-sized rocks within the reach.  Nine replicates of fine benthic organic matter (FBOM) were collected using a food baster by sucking material off the stream bed from randomly selected pools at each site. Filamentous algae was collected by hand.  Macroinvertebrates were collected during the same sampling events during the summer of 2016. A D-framed kick net was used in a variety of habitats (i.e. riffle, pools, macrophytes, and river margins) to collect a representative sample of the macroinvertebrate assemblage.  Macroinvertebrates were kept in filtered stream water for 24 hours to allow for gut clearance, then frozen. Muscle tissue samples were obtained from fish collected during the August </w:t>
      </w:r>
      <w:r>
        <w:rPr>
          <w:rFonts w:ascii="Times New Roman" w:eastAsia="Times New Roman" w:hAnsi="Times New Roman" w:cs="Times New Roman"/>
          <w:sz w:val="24"/>
          <w:szCs w:val="24"/>
        </w:rPr>
        <w:lastRenderedPageBreak/>
        <w:t xml:space="preserve">sampling event using a backpack electrofishing unit (Smith-Root, Vancouver, WA).  Brown Trout </w:t>
      </w:r>
      <w:r>
        <w:rPr>
          <w:rFonts w:ascii="Times New Roman" w:eastAsia="Times New Roman" w:hAnsi="Times New Roman" w:cs="Times New Roman"/>
          <w:i/>
          <w:sz w:val="24"/>
          <w:szCs w:val="24"/>
        </w:rPr>
        <w:t>Salmo trutta</w:t>
      </w:r>
      <w:r>
        <w:rPr>
          <w:rFonts w:ascii="Times New Roman" w:eastAsia="Times New Roman" w:hAnsi="Times New Roman" w:cs="Times New Roman"/>
          <w:sz w:val="24"/>
          <w:szCs w:val="24"/>
        </w:rPr>
        <w:t xml:space="preserve"> (Linnaeus, 1758), Creek Chub </w:t>
      </w:r>
      <w:proofErr w:type="spellStart"/>
      <w:r>
        <w:rPr>
          <w:rFonts w:ascii="Times New Roman" w:eastAsia="Times New Roman" w:hAnsi="Times New Roman" w:cs="Times New Roman"/>
          <w:i/>
          <w:sz w:val="24"/>
          <w:szCs w:val="24"/>
        </w:rPr>
        <w:t>Semotilus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atromaculatus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Mitchill</w:t>
      </w:r>
      <w:proofErr w:type="spellEnd"/>
      <w:r>
        <w:rPr>
          <w:rFonts w:ascii="Times New Roman" w:eastAsia="Times New Roman" w:hAnsi="Times New Roman" w:cs="Times New Roman"/>
          <w:sz w:val="24"/>
          <w:szCs w:val="24"/>
        </w:rPr>
        <w:t xml:space="preserve">, 1818), Longnose Dace </w:t>
      </w:r>
      <w:proofErr w:type="spellStart"/>
      <w:r>
        <w:rPr>
          <w:rFonts w:ascii="Times New Roman" w:eastAsia="Times New Roman" w:hAnsi="Times New Roman" w:cs="Times New Roman"/>
          <w:i/>
          <w:sz w:val="24"/>
          <w:szCs w:val="24"/>
        </w:rPr>
        <w:t>Rhinichthys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cataractae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(Valenciennes, 1842), Longnose Sucker </w:t>
      </w:r>
      <w:r>
        <w:rPr>
          <w:rFonts w:ascii="Times New Roman" w:eastAsia="Times New Roman" w:hAnsi="Times New Roman" w:cs="Times New Roman"/>
          <w:i/>
          <w:sz w:val="24"/>
          <w:szCs w:val="24"/>
        </w:rPr>
        <w:t xml:space="preserve">Catostomus </w:t>
      </w:r>
      <w:proofErr w:type="spellStart"/>
      <w:r>
        <w:rPr>
          <w:rFonts w:ascii="Times New Roman" w:eastAsia="Times New Roman" w:hAnsi="Times New Roman" w:cs="Times New Roman"/>
          <w:i/>
          <w:sz w:val="24"/>
          <w:szCs w:val="24"/>
        </w:rPr>
        <w:t>catostomus</w:t>
      </w:r>
      <w:proofErr w:type="spellEnd"/>
      <w:r>
        <w:rPr>
          <w:rFonts w:ascii="Times New Roman" w:eastAsia="Times New Roman" w:hAnsi="Times New Roman" w:cs="Times New Roman"/>
          <w:sz w:val="24"/>
          <w:szCs w:val="24"/>
        </w:rPr>
        <w:t xml:space="preserve"> (Forster, 1773) and White Sucker </w:t>
      </w:r>
      <w:r>
        <w:rPr>
          <w:rFonts w:ascii="Times New Roman" w:eastAsia="Times New Roman" w:hAnsi="Times New Roman" w:cs="Times New Roman"/>
          <w:i/>
          <w:sz w:val="24"/>
          <w:szCs w:val="24"/>
        </w:rPr>
        <w:t xml:space="preserve">Catostomus </w:t>
      </w:r>
      <w:proofErr w:type="spellStart"/>
      <w:r>
        <w:rPr>
          <w:rFonts w:ascii="Times New Roman" w:eastAsia="Times New Roman" w:hAnsi="Times New Roman" w:cs="Times New Roman"/>
          <w:i/>
          <w:sz w:val="24"/>
          <w:szCs w:val="24"/>
        </w:rPr>
        <w:t>commersonii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Lacépède</w:t>
      </w:r>
      <w:proofErr w:type="spellEnd"/>
      <w:r>
        <w:rPr>
          <w:rFonts w:ascii="Times New Roman" w:eastAsia="Times New Roman" w:hAnsi="Times New Roman" w:cs="Times New Roman"/>
          <w:sz w:val="24"/>
          <w:szCs w:val="24"/>
        </w:rPr>
        <w:t>, 1803) were used because these species were found at greater than 50% of the sites.  To minimize the number of fish euthanized, a muscle plug using a 5-mm biopsy punch was taken from fish greater than 300 mm in length. The remaining fish used for SIA or stomach content analysis were euthanized with a lethal dose of MS-222, placed on ice and then frozen upon returning to the lab. Those fish not retained were returned to the stream.</w:t>
      </w:r>
    </w:p>
    <w:p w14:paraId="3DE4A524"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Macroinvertebrates were identified to family level using an invertebrate guide (Merritt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2008). We classified macroinvertebrates into FFGs using a trait-based method. We obtained invertebrate trophic trait data from the USA Freshwater Biological Traits Database (Vieira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2006), and then assigned trait affinity scores from 0 (absent) to 3 (strong affinity) using “fuzzy-coding” (</w:t>
      </w:r>
      <w:proofErr w:type="spellStart"/>
      <w:r>
        <w:rPr>
          <w:rFonts w:ascii="Times New Roman" w:eastAsia="Times New Roman" w:hAnsi="Times New Roman" w:cs="Times New Roman"/>
          <w:sz w:val="24"/>
          <w:szCs w:val="24"/>
        </w:rPr>
        <w:t>Chevene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1994, Maitland 2020). Because larvae and adults have different feeding behaviors,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 were separated by life stage during identification.</w:t>
      </w:r>
    </w:p>
    <w:p w14:paraId="07A037CA"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possible, we used individual macroinvertebrates for SIA but for small taxa we pooled individuals to ensure enough material for SIA. Muscle filets were removed from the anterior dorsal portion of each fish. Samples were oven dried (60 °C, 48 hours), ground into a homogenous powder, and weighed to the nearest 0.001 mg. Animal samples (~1.0 mg) and basal resources (~2.0 mg) were weighed into 8 x 5-mm tin capsules and analyzed for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%C, %N and C:N ratio at the University of Wyoming Stable Isotope Facility using a Delta Plus XP Continuous Flow Stable Isotope Ratio Mass Spectrometer (</w:t>
      </w:r>
      <w:proofErr w:type="spellStart"/>
      <w:r>
        <w:rPr>
          <w:rFonts w:ascii="Times New Roman" w:eastAsia="Times New Roman" w:hAnsi="Times New Roman" w:cs="Times New Roman"/>
          <w:sz w:val="24"/>
          <w:szCs w:val="24"/>
        </w:rPr>
        <w:t>Thermo</w:t>
      </w:r>
      <w:proofErr w:type="spellEnd"/>
      <w:r>
        <w:rPr>
          <w:rFonts w:ascii="Times New Roman" w:eastAsia="Times New Roman" w:hAnsi="Times New Roman" w:cs="Times New Roman"/>
          <w:sz w:val="24"/>
          <w:szCs w:val="24"/>
        </w:rPr>
        <w:t xml:space="preserve"> Finnigan, Bremen, Germany) coupled to a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Analytical 4010 elemental analyzer. Carbon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C) and nitrogen (</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N) isotope ratios (R) were estimated relative to their respective International Atomic Energy Agency standards (Pee Dee Belemnite limestone and atmospheric nitrogen). Working internal standards were run as controls throughout analysis to ensure accurate measurements. Isotopic values are reported in per mill delta notation (Eq. 1):</w:t>
      </w:r>
    </w:p>
    <w:p w14:paraId="2888EE77" w14:textId="77777777" w:rsidR="007E406A" w:rsidRDefault="00000000">
      <w:pPr>
        <w:spacing w:before="240" w:after="240" w:line="360" w:lineRule="auto"/>
        <w:jc w:val="center"/>
        <w:rPr>
          <w:rFonts w:ascii="Times New Roman" w:eastAsia="Times New Roman" w:hAnsi="Times New Roman" w:cs="Times New Roman"/>
          <w:sz w:val="24"/>
          <w:szCs w:val="24"/>
        </w:rPr>
      </w:pPr>
      <m:oMathPara>
        <m:oMath>
          <m:sSup>
            <m:sSupPr>
              <m:ctrlPr>
                <w:rPr>
                  <w:rFonts w:ascii="Times New Roman" w:eastAsia="Times New Roman" w:hAnsi="Times New Roman" w:cs="Times New Roman"/>
                  <w:sz w:val="24"/>
                  <w:szCs w:val="24"/>
                </w:rPr>
              </m:ctrlPr>
            </m:sSupPr>
            <m:e>
              <m:r>
                <w:rPr>
                  <w:rFonts w:ascii="Cambria Math" w:hAnsi="Cambria Math"/>
                </w:rPr>
                <m:t>δ</m:t>
              </m:r>
            </m:e>
            <m:sup>
              <m:r>
                <w:rPr>
                  <w:rFonts w:ascii="Times New Roman" w:eastAsia="Times New Roman" w:hAnsi="Times New Roman" w:cs="Times New Roman"/>
                  <w:sz w:val="24"/>
                  <w:szCs w:val="24"/>
                </w:rPr>
                <m:t>1</m:t>
              </m:r>
            </m:sup>
          </m:sSup>
          <m:r>
            <w:rPr>
              <w:rFonts w:ascii="Times New Roman" w:eastAsia="Times New Roman" w:hAnsi="Times New Roman" w:cs="Times New Roman"/>
              <w:sz w:val="24"/>
              <w:szCs w:val="24"/>
            </w:rPr>
            <m:t xml:space="preserve"> = </m:t>
          </m:r>
          <m:d>
            <m:dPr>
              <m:begChr m:val="["/>
              <m:endChr m:val="]"/>
              <m:ctrlPr>
                <w:rPr>
                  <w:rFonts w:ascii="Times New Roman" w:eastAsia="Times New Roman" w:hAnsi="Times New Roman" w:cs="Times New Roman"/>
                  <w:sz w:val="24"/>
                  <w:szCs w:val="24"/>
                </w:rPr>
              </m:ctrlPr>
            </m:dPr>
            <m:e>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sample</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standard</m:t>
                      </m:r>
                    </m:sub>
                  </m:sSub>
                </m:den>
              </m:f>
              <m:r>
                <w:rPr>
                  <w:rFonts w:ascii="Times New Roman" w:eastAsia="Times New Roman" w:hAnsi="Times New Roman" w:cs="Times New Roman"/>
                  <w:sz w:val="24"/>
                  <w:szCs w:val="24"/>
                </w:rPr>
                <m:t>+1</m:t>
              </m:r>
            </m:e>
          </m:d>
          <m:r>
            <w:rPr>
              <w:rFonts w:ascii="Times New Roman" w:eastAsia="Times New Roman" w:hAnsi="Times New Roman" w:cs="Times New Roman"/>
              <w:sz w:val="24"/>
              <w:szCs w:val="24"/>
            </w:rPr>
            <m:t xml:space="preserve"> × 1000</m:t>
          </m:r>
        </m:oMath>
      </m:oMathPara>
    </w:p>
    <w:p w14:paraId="283119E8"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δ</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is either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or </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and R is the ratio of the heavy to lighter isotope. Analytical error (i.e., 1 SD of lab standard) of sample runs was estimated at 0.07‰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0.18‰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for the invertebrates, and 0.04‰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0.1‰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for the fish.</w:t>
      </w:r>
    </w:p>
    <w:p w14:paraId="7EBBA87A"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Baseline selection</w:t>
      </w:r>
    </w:p>
    <w:p w14:paraId="003B504D"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Suitability of various macroinvertebrate taxa as baselines were based on the four criteria proposed by Kristensen et al. (2016).  The baseline taxon must: (1) have a wide geographic distribution, (2) have low with-in site variation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(3) have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correlated with environmental influences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(4) give trophic positions estimates of other consumers free of environment influences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Although all analyses were performed for all macroinvertebrate taxa and FFGs, selection occurred progressively from each criterion. For example, if a macroinvertebrate taxon met the first criterion it would stay in the list of potential baselines and be evaluated for the second criterion, but if it did not meet the first criterion then it would be removed from the list.</w:t>
      </w:r>
    </w:p>
    <w:p w14:paraId="7E8456BC"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1: Geographic Distribution</w:t>
      </w:r>
    </w:p>
    <w:p w14:paraId="3600766A"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geographic distribution was expressed as the percentage of the 16 sites that contained a given macroinvertebrate taxon. We used a cut off of 75% of sites in the selection process as a reasonable value for identifying a widely distributed taxon.  Although 75% was chosen arbitrarily, </w:t>
      </w:r>
      <w:proofErr w:type="spellStart"/>
      <w:r>
        <w:rPr>
          <w:rFonts w:ascii="Times New Roman" w:eastAsia="Times New Roman" w:hAnsi="Times New Roman" w:cs="Times New Roman"/>
          <w:sz w:val="24"/>
          <w:szCs w:val="24"/>
        </w:rPr>
        <w:t>Kristenson</w:t>
      </w:r>
      <w:proofErr w:type="spellEnd"/>
      <w:r>
        <w:rPr>
          <w:rFonts w:ascii="Times New Roman" w:eastAsia="Times New Roman" w:hAnsi="Times New Roman" w:cs="Times New Roman"/>
          <w:sz w:val="24"/>
          <w:szCs w:val="24"/>
        </w:rPr>
        <w:t xml:space="preserve"> et al. (2016) included two taxa that would fall below this mark, and the baseline identified by </w:t>
      </w:r>
      <w:proofErr w:type="spellStart"/>
      <w:r>
        <w:rPr>
          <w:rFonts w:ascii="Times New Roman" w:eastAsia="Times New Roman" w:hAnsi="Times New Roman" w:cs="Times New Roman"/>
          <w:sz w:val="24"/>
          <w:szCs w:val="24"/>
        </w:rPr>
        <w:t>Kristenson</w:t>
      </w:r>
      <w:proofErr w:type="spellEnd"/>
      <w:r>
        <w:rPr>
          <w:rFonts w:ascii="Times New Roman" w:eastAsia="Times New Roman" w:hAnsi="Times New Roman" w:cs="Times New Roman"/>
          <w:sz w:val="24"/>
          <w:szCs w:val="24"/>
        </w:rPr>
        <w:t xml:space="preserve"> et al. (2016) was found at 78.9% of sites. This makes our cutoff a more conservative measure of distribution while retaining the distribution levels of the best baselines in other studies.</w:t>
      </w:r>
    </w:p>
    <w:p w14:paraId="4ACB9BFF"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2: Low Coefficient of Variation</w:t>
      </w:r>
    </w:p>
    <w:p w14:paraId="002C572A"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calculated the coefficient of variation (CV)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for all macroinvertebrate taxa and FFGs. A low coefficient of variation for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indicates that a baseline candidate has a non-</w:t>
      </w:r>
      <w:r>
        <w:rPr>
          <w:rFonts w:ascii="Times New Roman" w:eastAsia="Times New Roman" w:hAnsi="Times New Roman" w:cs="Times New Roman"/>
          <w:sz w:val="24"/>
          <w:szCs w:val="24"/>
        </w:rPr>
        <w:lastRenderedPageBreak/>
        <w:t>omnivorous diet. To calculate CV, we divided the standard deviation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by the mean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 of each baseline candidate at each site.  We then found the mean and 95% confidence intervals for each baseline candidate across sites.</w:t>
      </w:r>
    </w:p>
    <w:p w14:paraId="40188B59"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use one-way analysis of variance (ANOVA) to test for differences in CV values among baselines. Separate analyses were done on individual taxa and FFGs.  The CV values were square root or log transformed to ensure normality.  We used the Tukey HSD post hoc tests for pairwise-comparison using an alpha of 0.05.</w:t>
      </w:r>
    </w:p>
    <w:p w14:paraId="08A6ABCE"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3: Correlation with Longitudinal Gradient</w:t>
      </w:r>
    </w:p>
    <w:p w14:paraId="7D19B0DC"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macroinvertebrate taxa and FFGs, we used least squares linear regression to assess relationships between the baseline’s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position at sites along the longitudinal stream gradient.  We wished to compare our baselines’ relationships to the longitudinal gradient with those of the basal resources. So, we did separate least squares linear regressions for four of the basal resources at our sites.   Baselines with significant (</w:t>
      </w:r>
      <w:r>
        <w:rPr>
          <w:rFonts w:ascii="Times New Roman" w:eastAsia="Times New Roman" w:hAnsi="Times New Roman" w:cs="Times New Roman"/>
          <w:i/>
          <w:sz w:val="24"/>
          <w:szCs w:val="24"/>
        </w:rPr>
        <w:t>P</w:t>
      </w:r>
      <w:r>
        <w:rPr>
          <w:rFonts w:ascii="Gungsuh" w:eastAsia="Gungsuh" w:hAnsi="Gungsuh" w:cs="Gungsuh"/>
          <w:sz w:val="24"/>
          <w:szCs w:val="24"/>
        </w:rPr>
        <w:t xml:space="preserve"> ≤ 0.05) relationships with the longitudinal gradient were considered suitable baselines.</w:t>
      </w:r>
    </w:p>
    <w:p w14:paraId="5DA2DC82"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4: Trophic Position Estimates Independent of Longitudinal Gradient</w:t>
      </w:r>
    </w:p>
    <w:p w14:paraId="4BF25958"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calculated trophic positions for Brown Trout, Creek Chub, Longnose Dace, Longnose Sucker, and White Sucker using each macroinvertebrate taxa and FFG as a baseline following (Post, 2002):</w:t>
      </w:r>
    </w:p>
    <w:p w14:paraId="2B5A50F3" w14:textId="77777777" w:rsidR="007E406A" w:rsidRDefault="00000000">
      <w:pPr>
        <w:spacing w:before="240" w:after="240" w:line="360" w:lineRule="auto"/>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TP</m:t>
              </m:r>
            </m:e>
            <m:sub>
              <m:r>
                <w:rPr>
                  <w:rFonts w:ascii="Times New Roman" w:eastAsia="Times New Roman" w:hAnsi="Times New Roman" w:cs="Times New Roman"/>
                  <w:sz w:val="24"/>
                  <w:szCs w:val="24"/>
                </w:rPr>
                <m:t xml:space="preserve">corrected </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δ</m:t>
                  </m:r>
                </m:e>
                <m:sup>
                  <m:r>
                    <w:rPr>
                      <w:rFonts w:ascii="Times New Roman" w:eastAsia="Times New Roman" w:hAnsi="Times New Roman" w:cs="Times New Roman"/>
                      <w:sz w:val="24"/>
                      <w:szCs w:val="24"/>
                    </w:rPr>
                    <m:t>15</m:t>
                  </m:r>
                </m:sup>
              </m:sSup>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consumer</m:t>
                  </m:r>
                </m:sub>
              </m:sSub>
              <m: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δ</m:t>
                  </m:r>
                </m:e>
                <m:sup>
                  <m:r>
                    <w:rPr>
                      <w:rFonts w:ascii="Times New Roman" w:eastAsia="Times New Roman" w:hAnsi="Times New Roman" w:cs="Times New Roman"/>
                      <w:sz w:val="24"/>
                      <w:szCs w:val="24"/>
                    </w:rPr>
                    <m:t>15</m:t>
                  </m:r>
                </m:sup>
              </m:sSup>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baseline</m:t>
                  </m:r>
                </m:sub>
              </m:sSub>
              <m:r>
                <w:rPr>
                  <w:rFonts w:ascii="Times New Roman" w:eastAsia="Times New Roman" w:hAnsi="Times New Roman" w:cs="Times New Roman"/>
                  <w:sz w:val="24"/>
                  <w:szCs w:val="24"/>
                </w:rPr>
                <m:t xml:space="preserve"> </m:t>
              </m:r>
            </m:num>
            <m:den>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Δ</m:t>
                  </m:r>
                </m:e>
                <m:sup>
                  <m:r>
                    <w:rPr>
                      <w:rFonts w:ascii="Times New Roman" w:eastAsia="Times New Roman" w:hAnsi="Times New Roman" w:cs="Times New Roman"/>
                      <w:sz w:val="24"/>
                      <w:szCs w:val="24"/>
                    </w:rPr>
                    <m:t>15</m:t>
                  </m:r>
                </m:sup>
              </m:sSup>
              <m:r>
                <w:rPr>
                  <w:rFonts w:ascii="Times New Roman" w:eastAsia="Times New Roman" w:hAnsi="Times New Roman" w:cs="Times New Roman"/>
                  <w:sz w:val="24"/>
                  <w:szCs w:val="24"/>
                </w:rPr>
                <m:t>N</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TL</m:t>
              </m:r>
            </m:e>
            <m:sub>
              <m:r>
                <w:rPr>
                  <w:rFonts w:ascii="Times New Roman" w:eastAsia="Times New Roman" w:hAnsi="Times New Roman" w:cs="Times New Roman"/>
                  <w:sz w:val="24"/>
                  <w:szCs w:val="24"/>
                </w:rPr>
                <m:t>baseline</m:t>
              </m:r>
            </m:sub>
          </m:sSub>
        </m:oMath>
      </m:oMathPara>
    </w:p>
    <w:p w14:paraId="42E034CC"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TP</w:t>
      </w:r>
      <w:r>
        <w:rPr>
          <w:rFonts w:ascii="Times New Roman" w:eastAsia="Times New Roman" w:hAnsi="Times New Roman" w:cs="Times New Roman"/>
          <w:sz w:val="24"/>
          <w:szCs w:val="24"/>
          <w:vertAlign w:val="subscript"/>
        </w:rPr>
        <w:t>consumer</w:t>
      </w:r>
      <w:proofErr w:type="spellEnd"/>
      <w:r>
        <w:rPr>
          <w:rFonts w:ascii="Times New Roman" w:eastAsia="Times New Roman" w:hAnsi="Times New Roman" w:cs="Times New Roman"/>
          <w:sz w:val="24"/>
          <w:szCs w:val="24"/>
        </w:rPr>
        <w:t xml:space="preserve"> is the trophic position of each individual fish at a site,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consumer</w:t>
      </w:r>
      <w:r>
        <w:rPr>
          <w:rFonts w:ascii="Times New Roman" w:eastAsia="Times New Roman" w:hAnsi="Times New Roman" w:cs="Times New Roman"/>
          <w:sz w:val="24"/>
          <w:szCs w:val="24"/>
        </w:rPr>
        <w:t xml:space="preserve"> is the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 of each individual fish,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Pr>
          <w:rFonts w:ascii="Times New Roman" w:eastAsia="Times New Roman" w:hAnsi="Times New Roman" w:cs="Times New Roman"/>
          <w:sz w:val="24"/>
          <w:szCs w:val="24"/>
          <w:vertAlign w:val="subscript"/>
        </w:rPr>
        <w:t>baseline</w:t>
      </w:r>
      <w:r>
        <w:rPr>
          <w:rFonts w:ascii="Times New Roman" w:eastAsia="Times New Roman" w:hAnsi="Times New Roman" w:cs="Times New Roman"/>
          <w:sz w:val="24"/>
          <w:szCs w:val="24"/>
        </w:rPr>
        <w:t xml:space="preserve"> is the mean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 of the baseline at each site,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is the discrimination factor for each trophic transfer, and </w:t>
      </w:r>
      <w:proofErr w:type="spellStart"/>
      <w:r>
        <w:rPr>
          <w:rFonts w:ascii="Times New Roman" w:eastAsia="Times New Roman" w:hAnsi="Times New Roman" w:cs="Times New Roman"/>
          <w:sz w:val="24"/>
          <w:szCs w:val="24"/>
        </w:rPr>
        <w:t>TL</w:t>
      </w:r>
      <w:r>
        <w:rPr>
          <w:rFonts w:ascii="Times New Roman" w:eastAsia="Times New Roman" w:hAnsi="Times New Roman" w:cs="Times New Roman"/>
          <w:sz w:val="24"/>
          <w:szCs w:val="24"/>
          <w:vertAlign w:val="subscript"/>
        </w:rPr>
        <w:t>baseline</w:t>
      </w:r>
      <w:proofErr w:type="spellEnd"/>
      <w:r>
        <w:rPr>
          <w:rFonts w:ascii="Times New Roman" w:eastAsia="Times New Roman" w:hAnsi="Times New Roman" w:cs="Times New Roman"/>
          <w:sz w:val="24"/>
          <w:szCs w:val="24"/>
        </w:rPr>
        <w:t xml:space="preserve"> is the expected trophic level of the baseline. Discrimination factors were estimated using the methods of </w:t>
      </w:r>
      <w:proofErr w:type="spellStart"/>
      <w:r>
        <w:rPr>
          <w:rFonts w:ascii="Times New Roman" w:eastAsia="Times New Roman" w:hAnsi="Times New Roman" w:cs="Times New Roman"/>
          <w:sz w:val="24"/>
          <w:szCs w:val="24"/>
        </w:rPr>
        <w:t>Caut</w:t>
      </w:r>
      <w:proofErr w:type="spellEnd"/>
      <w:r>
        <w:rPr>
          <w:rFonts w:ascii="Times New Roman" w:eastAsia="Times New Roman" w:hAnsi="Times New Roman" w:cs="Times New Roman"/>
          <w:sz w:val="24"/>
          <w:szCs w:val="24"/>
        </w:rPr>
        <w:t xml:space="preserve"> et al. (2009). </w:t>
      </w:r>
    </w:p>
    <w:p w14:paraId="2E564AA1"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To assess the difference between corrected TP estimates and uncorrected TP estimates of Brown Trout, Creek Chub, Longnose Dace, Longnose Sucker and White Sucker, we modified the above equation by removing the baseline correction. The resulting formula is:</w:t>
      </w:r>
    </w:p>
    <w:p w14:paraId="3F79D822" w14:textId="77777777" w:rsidR="007E406A" w:rsidRDefault="00000000">
      <w:pPr>
        <w:spacing w:before="240" w:after="240" w:line="360" w:lineRule="auto"/>
        <w:jc w:val="center"/>
        <w:rPr>
          <w:rFonts w:ascii="Times New Roman" w:eastAsia="Times New Roman" w:hAnsi="Times New Roman" w:cs="Times New Roman"/>
          <w:b/>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TP</m:t>
              </m:r>
            </m:e>
            <m:sub>
              <m:r>
                <w:rPr>
                  <w:rFonts w:ascii="Times New Roman" w:eastAsia="Times New Roman" w:hAnsi="Times New Roman" w:cs="Times New Roman"/>
                  <w:sz w:val="24"/>
                  <w:szCs w:val="24"/>
                </w:rPr>
                <m:t xml:space="preserve">uncorrected </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δ</m:t>
                  </m:r>
                </m:e>
                <m:sup>
                  <m:r>
                    <w:rPr>
                      <w:rFonts w:ascii="Times New Roman" w:eastAsia="Times New Roman" w:hAnsi="Times New Roman" w:cs="Times New Roman"/>
                      <w:sz w:val="24"/>
                      <w:szCs w:val="24"/>
                    </w:rPr>
                    <m:t>15</m:t>
                  </m:r>
                </m:sup>
              </m:sSup>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consumer</m:t>
                  </m:r>
                </m:sub>
              </m:sSub>
              <m:r>
                <w:rPr>
                  <w:rFonts w:ascii="Times New Roman" w:eastAsia="Times New Roman" w:hAnsi="Times New Roman" w:cs="Times New Roman"/>
                  <w:sz w:val="24"/>
                  <w:szCs w:val="24"/>
                </w:rPr>
                <m:t xml:space="preserve"> </m:t>
              </m:r>
            </m:num>
            <m:den>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Δ</m:t>
                  </m:r>
                </m:e>
                <m:sup>
                  <m:r>
                    <w:rPr>
                      <w:rFonts w:ascii="Times New Roman" w:eastAsia="Times New Roman" w:hAnsi="Times New Roman" w:cs="Times New Roman"/>
                      <w:sz w:val="24"/>
                      <w:szCs w:val="24"/>
                    </w:rPr>
                    <m:t>15</m:t>
                  </m:r>
                </m:sup>
              </m:sSup>
              <m:r>
                <w:rPr>
                  <w:rFonts w:ascii="Times New Roman" w:eastAsia="Times New Roman" w:hAnsi="Times New Roman" w:cs="Times New Roman"/>
                  <w:sz w:val="24"/>
                  <w:szCs w:val="24"/>
                </w:rPr>
                <m:t>N</m:t>
              </m:r>
            </m:den>
          </m:f>
        </m:oMath>
      </m:oMathPara>
    </w:p>
    <w:p w14:paraId="40655B6E"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Stomach content analysis</w:t>
      </w:r>
    </w:p>
    <w:p w14:paraId="0B7164F4"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Short-term diet was characterized by using the stomach content analysis. The diet items from each stomach sample were identified into groups, counted, and weighed. To assess the relative importance of the diet items in the stomachs, we used an index of relative importance (%IRI). The index of relative importance takes into account the proportional number of diet items, the proportional weight of the items, and the frequency of occurrence of the items in diets (Cortés 1997). The items were grouped into one of seven categories: algae, amphibians, aquatic invertebrates, terrestrial invertebrates, fish, crayfish, and debris.</w:t>
      </w:r>
    </w:p>
    <w:p w14:paraId="183A9DE3" w14:textId="77777777" w:rsidR="007E406A" w:rsidRDefault="007E406A">
      <w:pPr>
        <w:spacing w:before="240" w:after="240" w:line="360" w:lineRule="auto"/>
        <w:rPr>
          <w:rFonts w:ascii="Times New Roman" w:eastAsia="Times New Roman" w:hAnsi="Times New Roman" w:cs="Times New Roman"/>
          <w:b/>
          <w:sz w:val="24"/>
          <w:szCs w:val="24"/>
        </w:rPr>
      </w:pPr>
    </w:p>
    <w:p w14:paraId="1BC7DE9D" w14:textId="77777777" w:rsidR="007E406A"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DB3FC02"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1: Geographic Distribution</w:t>
      </w:r>
    </w:p>
    <w:p w14:paraId="5CD7C3CC"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21 taxonomic groups and 6 feeding groups, 8 taxonomic groups and 5 feeding groups were found at greater than 75% of sites (Criterion 1; Figure 2). Chironomidae,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-larvae,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-adult, </w:t>
      </w:r>
      <w:proofErr w:type="spellStart"/>
      <w:r>
        <w:rPr>
          <w:rFonts w:ascii="Times New Roman" w:eastAsia="Times New Roman" w:hAnsi="Times New Roman" w:cs="Times New Roman"/>
          <w:sz w:val="24"/>
          <w:szCs w:val="24"/>
        </w:rPr>
        <w:t>Heptaganeidae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Hydropyschidae</w:t>
      </w:r>
      <w:proofErr w:type="spellEnd"/>
      <w:r>
        <w:rPr>
          <w:rFonts w:ascii="Times New Roman" w:eastAsia="Times New Roman" w:hAnsi="Times New Roman" w:cs="Times New Roman"/>
          <w:sz w:val="24"/>
          <w:szCs w:val="24"/>
        </w:rPr>
        <w:t xml:space="preserve"> were the most common taxa and were found at all sites (Figure 2). </w:t>
      </w:r>
      <w:proofErr w:type="spellStart"/>
      <w:r>
        <w:rPr>
          <w:rFonts w:ascii="Times New Roman" w:eastAsia="Times New Roman" w:hAnsi="Times New Roman" w:cs="Times New Roman"/>
          <w:sz w:val="24"/>
          <w:szCs w:val="24"/>
        </w:rPr>
        <w:t>Perlidae</w:t>
      </w:r>
      <w:proofErr w:type="spellEnd"/>
      <w:r>
        <w:rPr>
          <w:rFonts w:ascii="Times New Roman" w:eastAsia="Times New Roman" w:hAnsi="Times New Roman" w:cs="Times New Roman"/>
          <w:sz w:val="24"/>
          <w:szCs w:val="24"/>
        </w:rPr>
        <w:t xml:space="preserve"> was the least common taxon and was found at six sites. Collectors, Grazers, Filterers, Omnivores and Predators were the most common feeding groups and were found at all sites. Shredders were only found at 63% of sites. Thirteen baselines (8 taxonomic groups, 5 feeding groups) were considered sufficiently distributed and used in further analysis.</w:t>
      </w:r>
    </w:p>
    <w:p w14:paraId="5C7F589A"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Criteria 2: Low Coefficient of Variation</w:t>
      </w:r>
    </w:p>
    <w:p w14:paraId="1C76F094"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calculated the coefficient of variation (CV) for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at each site for the 12 sufficiently distributed baselines groups (8 taxonomic groups, 5 feeding groups). CV varied by taxonomic group (ANOVA; F</w:t>
      </w:r>
      <w:r>
        <w:rPr>
          <w:rFonts w:ascii="Times New Roman" w:eastAsia="Times New Roman" w:hAnsi="Times New Roman" w:cs="Times New Roman"/>
          <w:sz w:val="24"/>
          <w:szCs w:val="24"/>
          <w:vertAlign w:val="subscript"/>
        </w:rPr>
        <w:t xml:space="preserve">7,103 </w:t>
      </w:r>
      <w:r>
        <w:rPr>
          <w:rFonts w:ascii="Times New Roman" w:eastAsia="Times New Roman" w:hAnsi="Times New Roman" w:cs="Times New Roman"/>
          <w:sz w:val="24"/>
          <w:szCs w:val="24"/>
        </w:rPr>
        <w:t xml:space="preserve">= 6.748,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0.001; Figure 2).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had the smallest CV across sites and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-adult had the largest (Figure 2).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were 1.57 CV units lower than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-adult, 1.59 CV units lower than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-larvae, 1.47 CV units lower than </w:t>
      </w:r>
      <w:proofErr w:type="spellStart"/>
      <w:r>
        <w:rPr>
          <w:rFonts w:ascii="Times New Roman" w:eastAsia="Times New Roman" w:hAnsi="Times New Roman" w:cs="Times New Roman"/>
          <w:sz w:val="24"/>
          <w:szCs w:val="24"/>
        </w:rPr>
        <w:t>Chironimidae</w:t>
      </w:r>
      <w:proofErr w:type="spellEnd"/>
      <w:r>
        <w:rPr>
          <w:rFonts w:ascii="Times New Roman" w:eastAsia="Times New Roman" w:hAnsi="Times New Roman" w:cs="Times New Roman"/>
          <w:sz w:val="24"/>
          <w:szCs w:val="24"/>
        </w:rPr>
        <w:t xml:space="preserve">, 1.27 CV units lower than </w:t>
      </w:r>
      <w:proofErr w:type="spellStart"/>
      <w:r>
        <w:rPr>
          <w:rFonts w:ascii="Times New Roman" w:eastAsia="Times New Roman" w:hAnsi="Times New Roman" w:cs="Times New Roman"/>
          <w:sz w:val="24"/>
          <w:szCs w:val="24"/>
        </w:rPr>
        <w:t>Dytiscidae</w:t>
      </w:r>
      <w:proofErr w:type="spellEnd"/>
      <w:r>
        <w:rPr>
          <w:rFonts w:ascii="Times New Roman" w:eastAsia="Times New Roman" w:hAnsi="Times New Roman" w:cs="Times New Roman"/>
          <w:sz w:val="24"/>
          <w:szCs w:val="24"/>
        </w:rPr>
        <w:t xml:space="preserve">, 1.20 CV units lower than </w:t>
      </w:r>
      <w:proofErr w:type="spellStart"/>
      <w:r>
        <w:rPr>
          <w:rFonts w:ascii="Times New Roman" w:eastAsia="Times New Roman" w:hAnsi="Times New Roman" w:cs="Times New Roman"/>
          <w:sz w:val="24"/>
          <w:szCs w:val="24"/>
        </w:rPr>
        <w:t>Baetidae</w:t>
      </w:r>
      <w:proofErr w:type="spellEnd"/>
      <w:r>
        <w:rPr>
          <w:rFonts w:ascii="Times New Roman" w:eastAsia="Times New Roman" w:hAnsi="Times New Roman" w:cs="Times New Roman"/>
          <w:sz w:val="24"/>
          <w:szCs w:val="24"/>
        </w:rPr>
        <w:t xml:space="preserve">, and, although marginally significant, 1.01 CV units lower than </w:t>
      </w:r>
      <w:proofErr w:type="spellStart"/>
      <w:r>
        <w:rPr>
          <w:rFonts w:ascii="Times New Roman" w:eastAsia="Times New Roman" w:hAnsi="Times New Roman" w:cs="Times New Roman"/>
          <w:sz w:val="24"/>
          <w:szCs w:val="24"/>
        </w:rPr>
        <w:t>Hydropsychidae</w:t>
      </w:r>
      <w:proofErr w:type="spellEnd"/>
      <w:r>
        <w:rPr>
          <w:rFonts w:ascii="Times New Roman" w:eastAsia="Times New Roman" w:hAnsi="Times New Roman" w:cs="Times New Roman"/>
          <w:sz w:val="24"/>
          <w:szCs w:val="24"/>
        </w:rPr>
        <w:t xml:space="preserve"> (Tukey HSD test compared to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CV;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0.001 for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-adult;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0.001 for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-larvae,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0.001 for Chironomidae;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0.007 for </w:t>
      </w:r>
      <w:proofErr w:type="spellStart"/>
      <w:r>
        <w:rPr>
          <w:rFonts w:ascii="Times New Roman" w:eastAsia="Times New Roman" w:hAnsi="Times New Roman" w:cs="Times New Roman"/>
          <w:sz w:val="24"/>
          <w:szCs w:val="24"/>
        </w:rPr>
        <w:t>Dytiscidae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0.013 for </w:t>
      </w:r>
      <w:proofErr w:type="spellStart"/>
      <w:r>
        <w:rPr>
          <w:rFonts w:ascii="Times New Roman" w:eastAsia="Times New Roman" w:hAnsi="Times New Roman" w:cs="Times New Roman"/>
          <w:sz w:val="24"/>
          <w:szCs w:val="24"/>
        </w:rPr>
        <w:t>Baetidae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0.070 for </w:t>
      </w:r>
      <w:proofErr w:type="spellStart"/>
      <w:r>
        <w:rPr>
          <w:rFonts w:ascii="Times New Roman" w:eastAsia="Times New Roman" w:hAnsi="Times New Roman" w:cs="Times New Roman"/>
          <w:sz w:val="24"/>
          <w:szCs w:val="24"/>
        </w:rPr>
        <w:t>Hydropsychidae</w:t>
      </w:r>
      <w:proofErr w:type="spellEnd"/>
      <w:r>
        <w:rPr>
          <w:rFonts w:ascii="Times New Roman" w:eastAsia="Times New Roman" w:hAnsi="Times New Roman" w:cs="Times New Roman"/>
          <w:sz w:val="24"/>
          <w:szCs w:val="24"/>
        </w:rPr>
        <w:t xml:space="preserve">; Figure 2).  The CV for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was not different from </w:t>
      </w:r>
      <w:proofErr w:type="spellStart"/>
      <w:r>
        <w:rPr>
          <w:rFonts w:ascii="Times New Roman" w:eastAsia="Times New Roman" w:hAnsi="Times New Roman" w:cs="Times New Roman"/>
          <w:sz w:val="24"/>
          <w:szCs w:val="24"/>
        </w:rPr>
        <w:t>Heptageniidae</w:t>
      </w:r>
      <w:proofErr w:type="spellEnd"/>
      <w:r>
        <w:rPr>
          <w:rFonts w:ascii="Times New Roman" w:eastAsia="Times New Roman" w:hAnsi="Times New Roman" w:cs="Times New Roman"/>
          <w:sz w:val="24"/>
          <w:szCs w:val="24"/>
        </w:rPr>
        <w:t xml:space="preserve"> (Tukey HSD test,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 0.999).</w:t>
      </w:r>
    </w:p>
    <w:p w14:paraId="19F80F12"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 of variation also varied by FFG, (ANOVA; F</w:t>
      </w:r>
      <w:r>
        <w:rPr>
          <w:rFonts w:ascii="Times New Roman" w:eastAsia="Times New Roman" w:hAnsi="Times New Roman" w:cs="Times New Roman"/>
          <w:sz w:val="24"/>
          <w:szCs w:val="24"/>
          <w:vertAlign w:val="subscript"/>
        </w:rPr>
        <w:t>4,71</w:t>
      </w:r>
      <w:r>
        <w:rPr>
          <w:rFonts w:ascii="Times New Roman" w:eastAsia="Times New Roman" w:hAnsi="Times New Roman" w:cs="Times New Roman"/>
          <w:sz w:val="24"/>
          <w:szCs w:val="24"/>
        </w:rPr>
        <w:t xml:space="preserve"> = 21.52, </w:t>
      </w:r>
      <w:r>
        <w:rPr>
          <w:rFonts w:ascii="Times New Roman" w:eastAsia="Times New Roman" w:hAnsi="Times New Roman" w:cs="Times New Roman"/>
          <w:i/>
          <w:sz w:val="24"/>
          <w:szCs w:val="24"/>
        </w:rPr>
        <w:t>P</w:t>
      </w:r>
      <w:r>
        <w:rPr>
          <w:rFonts w:ascii="Cardo" w:eastAsia="Cardo" w:hAnsi="Cardo" w:cs="Cardo"/>
          <w:sz w:val="24"/>
          <w:szCs w:val="24"/>
        </w:rPr>
        <w:t xml:space="preserve"> &lt; 0.001; Figure 2). Filterers had the smallest CV across sites and Collectors had the largest. The CV for Filterers was lower than all other FFGs (ΔCV units ≥ 1.16; Tukey HSD tests; P &lt; 0.001; Figure 2).</w:t>
      </w:r>
    </w:p>
    <w:p w14:paraId="5C66ECF2"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3: Correlation with Environmental δ</w:t>
      </w:r>
      <w:r>
        <w:rPr>
          <w:rFonts w:ascii="Times New Roman" w:eastAsia="Times New Roman" w:hAnsi="Times New Roman" w:cs="Times New Roman"/>
          <w:i/>
          <w:sz w:val="24"/>
          <w:szCs w:val="24"/>
          <w:vertAlign w:val="superscript"/>
        </w:rPr>
        <w:t>15</w:t>
      </w:r>
      <w:r>
        <w:rPr>
          <w:rFonts w:ascii="Times New Roman" w:eastAsia="Times New Roman" w:hAnsi="Times New Roman" w:cs="Times New Roman"/>
          <w:i/>
          <w:sz w:val="24"/>
          <w:szCs w:val="24"/>
        </w:rPr>
        <w:t>N</w:t>
      </w:r>
    </w:p>
    <w:p w14:paraId="739CDDB9"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basal resources (i.e., biofilm, FBOM, filamentous algae, seston) had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that increased with the longitudinal stream gradient (PC1), though the increase was only marginally significant for filamentous algae (R</w:t>
      </w:r>
      <w:r>
        <w:rPr>
          <w:rFonts w:ascii="Times New Roman" w:eastAsia="Times New Roman" w:hAnsi="Times New Roman" w:cs="Times New Roman"/>
          <w:sz w:val="24"/>
          <w:szCs w:val="24"/>
          <w:vertAlign w:val="superscript"/>
        </w:rPr>
        <w:t>2</w:t>
      </w:r>
      <w:r>
        <w:rPr>
          <w:rFonts w:ascii="Gungsuh" w:eastAsia="Gungsuh" w:hAnsi="Gungsuh" w:cs="Gungsuh"/>
          <w:sz w:val="24"/>
          <w:szCs w:val="24"/>
        </w:rPr>
        <w:t xml:space="preserve"> ≥ 0.105, </w:t>
      </w:r>
      <w:r>
        <w:rPr>
          <w:rFonts w:ascii="Times New Roman" w:eastAsia="Times New Roman" w:hAnsi="Times New Roman" w:cs="Times New Roman"/>
          <w:i/>
          <w:sz w:val="24"/>
          <w:szCs w:val="24"/>
        </w:rPr>
        <w:t>P</w:t>
      </w:r>
      <w:r>
        <w:rPr>
          <w:rFonts w:ascii="Gungsuh" w:eastAsia="Gungsuh" w:hAnsi="Gungsuh" w:cs="Gungsuh"/>
          <w:sz w:val="24"/>
          <w:szCs w:val="24"/>
        </w:rPr>
        <w:t xml:space="preserve"> ≤</w:t>
      </w:r>
      <w:r>
        <w:rPr>
          <w:rFonts w:ascii="Times New Roman" w:eastAsia="Times New Roman" w:hAnsi="Times New Roman" w:cs="Times New Roman"/>
          <w:sz w:val="24"/>
          <w:szCs w:val="24"/>
        </w:rPr>
        <w:t xml:space="preserve">  0.068; Figure 3). All eight of the well distributed taxa and all five FFG’s had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that increased with PC1 (R</w:t>
      </w:r>
      <w:r>
        <w:rPr>
          <w:rFonts w:ascii="Times New Roman" w:eastAsia="Times New Roman" w:hAnsi="Times New Roman" w:cs="Times New Roman"/>
          <w:sz w:val="24"/>
          <w:szCs w:val="24"/>
          <w:vertAlign w:val="superscript"/>
        </w:rPr>
        <w:t>2</w:t>
      </w:r>
      <w:r>
        <w:rPr>
          <w:rFonts w:ascii="Gungsuh" w:eastAsia="Gungsuh" w:hAnsi="Gungsuh" w:cs="Gungsuh"/>
          <w:sz w:val="24"/>
          <w:szCs w:val="24"/>
        </w:rPr>
        <w:t xml:space="preserve"> ≥ 0.476;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0.001 Figure 3).  All fish species had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that increased with PC1 (OLS regression,  R</w:t>
      </w:r>
      <w:r>
        <w:rPr>
          <w:rFonts w:ascii="Times New Roman" w:eastAsia="Times New Roman" w:hAnsi="Times New Roman" w:cs="Times New Roman"/>
          <w:sz w:val="24"/>
          <w:szCs w:val="24"/>
          <w:vertAlign w:val="superscript"/>
        </w:rPr>
        <w:t>2</w:t>
      </w:r>
      <w:r>
        <w:rPr>
          <w:rFonts w:ascii="Gungsuh" w:eastAsia="Gungsuh" w:hAnsi="Gungsuh" w:cs="Gungsuh"/>
          <w:sz w:val="24"/>
          <w:szCs w:val="24"/>
        </w:rPr>
        <w:t xml:space="preserve"> ≥ 0.092;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0.001 Figure 3).</w:t>
      </w:r>
    </w:p>
    <w:p w14:paraId="63F2EBEE"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Criteria 4: Trophic Position Estimates Independent of Environmental δ</w:t>
      </w:r>
      <w:r>
        <w:rPr>
          <w:rFonts w:ascii="Times New Roman" w:eastAsia="Times New Roman" w:hAnsi="Times New Roman" w:cs="Times New Roman"/>
          <w:i/>
          <w:sz w:val="24"/>
          <w:szCs w:val="24"/>
          <w:vertAlign w:val="superscript"/>
        </w:rPr>
        <w:t>15</w:t>
      </w:r>
      <w:r>
        <w:rPr>
          <w:rFonts w:ascii="Times New Roman" w:eastAsia="Times New Roman" w:hAnsi="Times New Roman" w:cs="Times New Roman"/>
          <w:i/>
          <w:sz w:val="24"/>
          <w:szCs w:val="24"/>
        </w:rPr>
        <w:t>N</w:t>
      </w:r>
    </w:p>
    <w:p w14:paraId="7951EEB0" w14:textId="77777777" w:rsidR="007E406A"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Stomach samples were collected from 98 brown trout, 77 creek chub, 77 longnose dace, 63 longnose sucker, and 84 white sucker, yielding a total of 399 diet samples. Brown Trout and Creek Chub mostly relied on aquatic  invertebrates as a prey resource (%IRI), but occasionally consumed vertebrates(Figure 4). Brown Trout increased their reliance on crayfish further down the longitudinal gradient (i.e., higher PC1, Figure 4). Longnose Dace mostly relied on benthic </w:t>
      </w:r>
      <w:r>
        <w:rPr>
          <w:rFonts w:ascii="Times New Roman" w:eastAsia="Times New Roman" w:hAnsi="Times New Roman" w:cs="Times New Roman"/>
          <w:sz w:val="24"/>
          <w:szCs w:val="24"/>
        </w:rPr>
        <w:lastRenderedPageBreak/>
        <w:t xml:space="preserve">invertebrates and rarely consumed other diet groups (Figure 4).   White Sucker and Longnose Sucker mostly relied on benthic invertebrates, algae, and debris across the gradient (Figure 4).Uncorrected TP estimates for all five fish species were positively correlated with the longitudinal gradient (Figure 5; Figure 6).  Correction of Brown Trout TP using the baselines significantly reduced the strength that the longitudinal gradient had on TP estimates (i.e., reduced the slope, Figure 5; Figure 6). Generally, an increase in TP along the longitudinal gradient remained even after correction by taxonomic groups, feeding groups, basal resource compartments, or bulk basal resources (Figure 5A,B; Figure 6 A,B).  However, the relationship of TP and PC1 was removed and even reversed when correcting by the taxonomic groups </w:t>
      </w:r>
      <w:proofErr w:type="spellStart"/>
      <w:r>
        <w:rPr>
          <w:rFonts w:ascii="Times New Roman" w:eastAsia="Times New Roman" w:hAnsi="Times New Roman" w:cs="Times New Roman"/>
          <w:sz w:val="24"/>
          <w:szCs w:val="24"/>
        </w:rPr>
        <w:t>Heptaganeidae</w:t>
      </w:r>
      <w:proofErr w:type="spellEnd"/>
      <w:r>
        <w:rPr>
          <w:rFonts w:ascii="Times New Roman" w:eastAsia="Times New Roman" w:hAnsi="Times New Roman" w:cs="Times New Roman"/>
          <w:sz w:val="24"/>
          <w:szCs w:val="24"/>
        </w:rPr>
        <w:t xml:space="preserve"> and Chironomidae, respectively (Figure 5A,B). </w:t>
      </w:r>
    </w:p>
    <w:p w14:paraId="573EBEFC" w14:textId="77777777" w:rsidR="007E406A"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Correction of Creek Chub TP using the baselines significantly reduced the strength that the longitudinal gradient had on TP estimates (i.e., reduced the slope, Figure 5). Generally, the correlation between TP and the longitudinal gradient was removed after correction by taxonomic groups, feeding groups, basal resource compartments, or bulk basal resources (Figure 5C,D, Figure 6 C,D).  However, the positive correlation between TP and PC1 remained when correcting by the taxonomic groups </w:t>
      </w:r>
      <w:proofErr w:type="spellStart"/>
      <w:r>
        <w:rPr>
          <w:rFonts w:ascii="Times New Roman" w:eastAsia="Times New Roman" w:hAnsi="Times New Roman" w:cs="Times New Roman"/>
          <w:sz w:val="24"/>
          <w:szCs w:val="24"/>
        </w:rPr>
        <w:t>Baetidae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Heptaganeidae</w:t>
      </w:r>
      <w:proofErr w:type="spellEnd"/>
      <w:r>
        <w:rPr>
          <w:rFonts w:ascii="Times New Roman" w:eastAsia="Times New Roman" w:hAnsi="Times New Roman" w:cs="Times New Roman"/>
          <w:sz w:val="24"/>
          <w:szCs w:val="24"/>
        </w:rPr>
        <w:t xml:space="preserve"> and Chironomidae, but was reversed when correcting by the taxonomic group </w:t>
      </w:r>
      <w:proofErr w:type="spellStart"/>
      <w:r>
        <w:rPr>
          <w:rFonts w:ascii="Times New Roman" w:eastAsia="Times New Roman" w:hAnsi="Times New Roman" w:cs="Times New Roman"/>
          <w:sz w:val="24"/>
          <w:szCs w:val="24"/>
        </w:rPr>
        <w:t>Dytiscidae</w:t>
      </w:r>
      <w:proofErr w:type="spellEnd"/>
      <w:r>
        <w:rPr>
          <w:rFonts w:ascii="Times New Roman" w:eastAsia="Times New Roman" w:hAnsi="Times New Roman" w:cs="Times New Roman"/>
          <w:sz w:val="24"/>
          <w:szCs w:val="24"/>
        </w:rPr>
        <w:t xml:space="preserve"> (Figure 5C,D).   Also, the positive correlation between TP and PC1 remained when correcting by the feeding group Grazers, but was reversed when correcting by the feeding group Predators (Figure C,D). When correcting by basal resources, positive correlations between TP and PC1 remained when correcting by the basal resources compartments biofilm, filamentous, FBOM and bulk basal resources (Figure 5C,D; Figure 6C,D).</w:t>
      </w:r>
    </w:p>
    <w:p w14:paraId="1D31BCDD" w14:textId="77777777" w:rsidR="007E406A"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Correction of Longnose Dace TP using the baselines significantly reduced the strength that the longitudinal gradient had on TP estimates (i.e., reduced the slope, Figure 5: Figure 6).  Generally, the correlation between TP and the longitudinal gradient was removed after correction by taxonomic groups and feeding groups (Figure 5 E,F, Figure 6 E,F).  The correlation between TP and PC1 was reversed when correcting by the taxonomic Chironomidae.  When correcting by basal resources, the correlation between TP and PC1 remained after correcting by the basal resource compartments filamentous and FBOM (Figure 5 E,F, Figure 6 E,F).</w:t>
      </w:r>
    </w:p>
    <w:p w14:paraId="182732AB" w14:textId="77777777" w:rsidR="007E406A" w:rsidRDefault="00000000">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Correction of Longnose Sucker TP using the baselines significantly reduced the strength that the longitudinal gradient had on TP estimates (i.e., reduced the slope, Figure 5; Figure 6). Generally, the correlation between TP and the longitudinal gradient was removed after correction by taxonomic groups and feeding groups (Figure 5 G,H, Figure 6 G,H).  However, the positive correlation between TP and PC1 remained when correcting by the taxonomic groups </w:t>
      </w:r>
      <w:proofErr w:type="spellStart"/>
      <w:r>
        <w:rPr>
          <w:rFonts w:ascii="Times New Roman" w:eastAsia="Times New Roman" w:hAnsi="Times New Roman" w:cs="Times New Roman"/>
          <w:sz w:val="24"/>
          <w:szCs w:val="24"/>
        </w:rPr>
        <w:t>Dytiscidae</w:t>
      </w:r>
      <w:proofErr w:type="spellEnd"/>
      <w:r>
        <w:rPr>
          <w:rFonts w:ascii="Times New Roman" w:eastAsia="Times New Roman" w:hAnsi="Times New Roman" w:cs="Times New Roman"/>
          <w:sz w:val="24"/>
          <w:szCs w:val="24"/>
        </w:rPr>
        <w:t xml:space="preserve"> (Figure 5G,H).  When correcting by basal resources, the correlation between TP and PC1 remained for all basal resource compartments and for bulk basal resources (Figure 5 G,H, Figure 6 G,H).</w:t>
      </w:r>
    </w:p>
    <w:p w14:paraId="32CF8F6E" w14:textId="77777777" w:rsidR="007E406A" w:rsidRDefault="00000000">
      <w:pPr>
        <w:spacing w:before="240" w:after="240" w:line="360" w:lineRule="auto"/>
        <w:ind w:firstLine="720"/>
      </w:pPr>
      <w:r>
        <w:rPr>
          <w:rFonts w:ascii="Times New Roman" w:eastAsia="Times New Roman" w:hAnsi="Times New Roman" w:cs="Times New Roman"/>
          <w:sz w:val="24"/>
          <w:szCs w:val="24"/>
        </w:rPr>
        <w:t xml:space="preserve">Correction of White Sucker TP using the baselines significantly reduced the strength that the longitudinal gradient had on TP estimates (i.e., reduced the slope, Figure 5: Figure 6). Generally, the correlation between TP and the longitudinal gradient was removed after correction by taxonomic groups and feeding groups (Figure 5 I,J; Figure 6 I,J).  However, the positive correlation between TP and PC1 was reversed when correcting by the taxonomic groups </w:t>
      </w:r>
      <w:proofErr w:type="spellStart"/>
      <w:r>
        <w:rPr>
          <w:rFonts w:ascii="Times New Roman" w:eastAsia="Times New Roman" w:hAnsi="Times New Roman" w:cs="Times New Roman"/>
          <w:sz w:val="24"/>
          <w:szCs w:val="24"/>
        </w:rPr>
        <w:t>Elmidae</w:t>
      </w:r>
      <w:proofErr w:type="spellEnd"/>
      <w:r>
        <w:rPr>
          <w:rFonts w:ascii="Times New Roman" w:eastAsia="Times New Roman" w:hAnsi="Times New Roman" w:cs="Times New Roman"/>
          <w:sz w:val="24"/>
          <w:szCs w:val="24"/>
        </w:rPr>
        <w:t xml:space="preserve">-larvae and </w:t>
      </w:r>
      <w:proofErr w:type="spellStart"/>
      <w:r>
        <w:rPr>
          <w:rFonts w:ascii="Times New Roman" w:eastAsia="Times New Roman" w:hAnsi="Times New Roman" w:cs="Times New Roman"/>
          <w:sz w:val="24"/>
          <w:szCs w:val="24"/>
        </w:rPr>
        <w:t>Dytiscidae</w:t>
      </w:r>
      <w:proofErr w:type="spellEnd"/>
      <w:r>
        <w:rPr>
          <w:rFonts w:ascii="Times New Roman" w:eastAsia="Times New Roman" w:hAnsi="Times New Roman" w:cs="Times New Roman"/>
          <w:sz w:val="24"/>
          <w:szCs w:val="24"/>
        </w:rPr>
        <w:t xml:space="preserve"> (Figures I,J).  Also, the positive correlation between TP and PC1 was reversed when correcting by the feeding groups Omnivores, Collectors and Predators (Figure 6I,J).  When correcting by basal resources, the correlations between TP and PC1 remained for the basal resource compartments filamentous, FBOM, and bulk basal resources (Figure 5 I,J; Figure 6 I,J).</w:t>
      </w:r>
    </w:p>
    <w:p w14:paraId="5FBE4979" w14:textId="77777777" w:rsidR="007E406A" w:rsidRDefault="007E406A">
      <w:pPr>
        <w:spacing w:before="240" w:after="240" w:line="360" w:lineRule="auto"/>
        <w:rPr>
          <w:rFonts w:ascii="Times New Roman" w:eastAsia="Times New Roman" w:hAnsi="Times New Roman" w:cs="Times New Roman"/>
          <w:b/>
          <w:sz w:val="24"/>
          <w:szCs w:val="24"/>
        </w:rPr>
      </w:pPr>
    </w:p>
    <w:p w14:paraId="221590FC"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067C7D9"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Obtaining consensus about suitable baseline indicators that account for geographic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is a key step toward the improved use of stable isotope studies in aquatic ecosystems. Here, we evaluated the effectiveness of a standardized method for identifying optimal isotopic baselines developed for lowland temperate streams (Kristensen et al. 2016) by applying it to stream systems spanning the Rocky Mountains–Great Plains ecotone. The four criteria proposed by Kristensen et al., (2016) are important to meet when selecting a suitable baseline for estimating trophic positions of consumer organisms.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emerged as the taxonomic group that met all four of the criteria in our system and in Danish lowland streams </w:t>
      </w:r>
      <w:r>
        <w:rPr>
          <w:rFonts w:ascii="Times New Roman" w:eastAsia="Times New Roman" w:hAnsi="Times New Roman" w:cs="Times New Roman"/>
          <w:sz w:val="24"/>
          <w:szCs w:val="24"/>
        </w:rPr>
        <w:lastRenderedPageBreak/>
        <w:t>(Kristensen et al., 2016).  Contrary to the majority of studies in the literature that use aquatic herbivores as baselines (</w:t>
      </w:r>
      <w:proofErr w:type="spellStart"/>
      <w:r>
        <w:rPr>
          <w:rFonts w:ascii="Times New Roman" w:eastAsia="Times New Roman" w:hAnsi="Times New Roman" w:cs="Times New Roman"/>
          <w:sz w:val="24"/>
          <w:szCs w:val="24"/>
        </w:rPr>
        <w:t>Kjeldgaard</w:t>
      </w:r>
      <w:proofErr w:type="spellEnd"/>
      <w:r>
        <w:rPr>
          <w:rFonts w:ascii="Times New Roman" w:eastAsia="Times New Roman" w:hAnsi="Times New Roman" w:cs="Times New Roman"/>
          <w:sz w:val="24"/>
          <w:szCs w:val="24"/>
        </w:rPr>
        <w:t xml:space="preserve"> et al., 2021), this standardized method indicates that taxonomic groups that are </w:t>
      </w:r>
      <w:proofErr w:type="spellStart"/>
      <w:r>
        <w:rPr>
          <w:rFonts w:ascii="Times New Roman" w:eastAsia="Times New Roman" w:hAnsi="Times New Roman" w:cs="Times New Roman"/>
          <w:sz w:val="24"/>
          <w:szCs w:val="24"/>
        </w:rPr>
        <w:t>sestonic</w:t>
      </w:r>
      <w:proofErr w:type="spellEnd"/>
      <w:r>
        <w:rPr>
          <w:rFonts w:ascii="Times New Roman" w:eastAsia="Times New Roman" w:hAnsi="Times New Roman" w:cs="Times New Roman"/>
          <w:sz w:val="24"/>
          <w:szCs w:val="24"/>
        </w:rPr>
        <w:t xml:space="preserve"> filter feeders (Filterers) may serve as the most reliable baselines when sufficiently distributed in stream ecosystems. </w:t>
      </w:r>
    </w:p>
    <w:p w14:paraId="186AA16F"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Assessment of Criteria</w:t>
      </w:r>
    </w:p>
    <w:p w14:paraId="4DBFCB62"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aquatic macroinvertebrates poses a severe limitation when selecting suitable baselines. Sixty two percent of the taxonomic groups found within our region were not present at 75% of sites, and 87% of taxonomic groups in Danish Lowland streams were not sufficiently distributed (Kristensen et al., 2016). Using feeding groups rather than taxonomic groups may present an enticing alternative because using multiple taxonomic groups with similar feeding ecologies can increase the spatial coverage of a suitable baseline.  But the classic River Continuum Concept (RCC) indicates that feeding ecologies change predictably along the longitudinal gradient based upon the relative amount and type of autochthonous or allochthonous resources (Citation).  Indeed, we found that Shredders were insufficiently distributed because they were primarily located in the upper reaches of our region where riparian cover was highest.  In the St. Lawrence watershed the feeding groups Filterers and Shredders were also removed from consideration as baselines for TP estimation because of low spatial distribution (Anderson &amp; Cabana, 2007).  To increase spatial coverage, others have used bulk primary consumers or bulk basal resources as baselines, but bulked groups do not reliably remove background variability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on TP estimates (Table 1).  Without grouping methods that do not affect TP estimation, distribution will remain a major limitation when selecting suitable baselines. But large distributions alone are insufficient indicators of a suitable baseline.</w:t>
      </w:r>
    </w:p>
    <w:p w14:paraId="51EA40F2"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suitable baselines to track background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taxonomic groups should exhibit low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which can be estimated by measuring within site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Mean within site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is a metric that has been used in the past to measure low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(Anderson &amp; Cabana, 2007), but mean within site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is likely poor metric of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because there is a large range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within basal resource compartments (Citation).  Taxonomic groups that selectively use a single high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resource will still have high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thus within </w:t>
      </w:r>
      <w:r>
        <w:rPr>
          <w:rFonts w:ascii="Times New Roman" w:eastAsia="Times New Roman" w:hAnsi="Times New Roman" w:cs="Times New Roman"/>
          <w:sz w:val="24"/>
          <w:szCs w:val="24"/>
        </w:rPr>
        <w:lastRenderedPageBreak/>
        <w:t>site variability (CV)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is likely a better metric of low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Strictly looking at the lowest within site variability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relative to other taxonomic groups would remove all taxonomic groups other than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Simulliidae</w:t>
      </w:r>
      <w:proofErr w:type="spellEnd"/>
      <w:r>
        <w:rPr>
          <w:rFonts w:ascii="Times New Roman" w:eastAsia="Times New Roman" w:hAnsi="Times New Roman" w:cs="Times New Roman"/>
          <w:sz w:val="24"/>
          <w:szCs w:val="24"/>
        </w:rPr>
        <w:t xml:space="preserve"> were also the only taxonomic group classified as Filterers which removed the other feeding groups from consideration as suitable baselines.  Exploring low CV relative to other taxonomic or feeding groups appears to be an effective criteria when identifying suitable baselines of background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w:t>
      </w:r>
    </w:p>
    <w:p w14:paraId="22CA75A8"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high distribution and low within site CV, macroinvertebrate group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were all correlated with the environmental gradient which is consistent with the results found by Danish Lowland streams (Kristensen et al., 2016).  This criterion was not used when selecting suitable baselines of background variation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in the St. Lawrence watershed (Anderson &amp; Cabana, 2007).  Correlations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signatures with the environmental gradient affirm that the taxonomic or feeding groups are tracking background variation in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but appear to be relatively common even among basal resource compartments and fishes (Table 1, Figure 3; Kristensen et al., 2016).  </w:t>
      </w:r>
    </w:p>
    <w:p w14:paraId="4C107D88"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assessing if suitable baselines give TP estimates independent of environmental influence of higher order consumers (i.e., fishes) serves as a crucial check that the baseline is working how it is intended.  But interpretation of “independence of the environmental gradient” is subjective to how TP is (or is not) expected to change with the environmental gradient.  We echo the call by </w:t>
      </w:r>
      <w:proofErr w:type="spellStart"/>
      <w:r>
        <w:rPr>
          <w:rFonts w:ascii="Times New Roman" w:eastAsia="Times New Roman" w:hAnsi="Times New Roman" w:cs="Times New Roman"/>
          <w:sz w:val="24"/>
          <w:szCs w:val="24"/>
        </w:rPr>
        <w:t>Kjeldgard</w:t>
      </w:r>
      <w:proofErr w:type="spellEnd"/>
      <w:r>
        <w:rPr>
          <w:rFonts w:ascii="Times New Roman" w:eastAsia="Times New Roman" w:hAnsi="Times New Roman" w:cs="Times New Roman"/>
          <w:sz w:val="24"/>
          <w:szCs w:val="24"/>
        </w:rPr>
        <w:t xml:space="preserve"> et al., (2021) for the need of independent sources to inform these expectations.  Previous methods for selecting suitable baselines have either not used this criterion (Anderson &amp; Cabana, 2007) or have used mixing models to assess if diets changed along the environmental gradient which are still dependent on stable isotopes (Kristensen et al., 2016). Here we used Stomach Content Analysis which is independent of stable isotopes to show that Brown Trout exhibited a substantial shift in resource use along the environmental gradient.  The shift informed our expectation that Brown Trout should increase TP moving down the longitudinal gradient. </w:t>
      </w:r>
    </w:p>
    <w:p w14:paraId="2FAC9988" w14:textId="77777777" w:rsidR="007E406A" w:rsidRDefault="00000000">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Identified Baselines</w:t>
      </w:r>
    </w:p>
    <w:p w14:paraId="0B8AC90E"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recent review found that the majority of studies in aquatic systems that calculate TP using stable isotopes use herbivores (e.g., Grazers) as baselines (</w:t>
      </w:r>
      <w:proofErr w:type="spellStart"/>
      <w:r>
        <w:rPr>
          <w:rFonts w:ascii="Times New Roman" w:eastAsia="Times New Roman" w:hAnsi="Times New Roman" w:cs="Times New Roman"/>
          <w:sz w:val="24"/>
          <w:szCs w:val="24"/>
        </w:rPr>
        <w:t>Kjeldgrad</w:t>
      </w:r>
      <w:proofErr w:type="spellEnd"/>
      <w:r>
        <w:rPr>
          <w:rFonts w:ascii="Times New Roman" w:eastAsia="Times New Roman" w:hAnsi="Times New Roman" w:cs="Times New Roman"/>
          <w:sz w:val="24"/>
          <w:szCs w:val="24"/>
        </w:rPr>
        <w:t xml:space="preserve"> et al., 2021), but results in </w:t>
      </w:r>
      <w:r>
        <w:rPr>
          <w:rFonts w:ascii="Times New Roman" w:eastAsia="Times New Roman" w:hAnsi="Times New Roman" w:cs="Times New Roman"/>
          <w:sz w:val="24"/>
          <w:szCs w:val="24"/>
        </w:rPr>
        <w:lastRenderedPageBreak/>
        <w:t xml:space="preserve">our system and in Danish Lowland streams found that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(detritivores- </w:t>
      </w:r>
      <w:proofErr w:type="spellStart"/>
      <w:r>
        <w:rPr>
          <w:rFonts w:ascii="Times New Roman" w:eastAsia="Times New Roman" w:hAnsi="Times New Roman" w:cs="Times New Roman"/>
          <w:sz w:val="24"/>
          <w:szCs w:val="24"/>
        </w:rPr>
        <w:t>sestonic</w:t>
      </w:r>
      <w:proofErr w:type="spellEnd"/>
      <w:r>
        <w:rPr>
          <w:rFonts w:ascii="Times New Roman" w:eastAsia="Times New Roman" w:hAnsi="Times New Roman" w:cs="Times New Roman"/>
          <w:sz w:val="24"/>
          <w:szCs w:val="24"/>
        </w:rPr>
        <w:t xml:space="preserve"> filter feeders) fit all four criteria for optimal baselines (Table 1; Kristensen et al., 2016).   The prevalence of using herbivores in the literature may be a result of previous work that selected </w:t>
      </w:r>
      <w:proofErr w:type="spellStart"/>
      <w:r>
        <w:rPr>
          <w:rFonts w:ascii="Times New Roman" w:eastAsia="Times New Roman" w:hAnsi="Times New Roman" w:cs="Times New Roman"/>
          <w:sz w:val="24"/>
          <w:szCs w:val="24"/>
        </w:rPr>
        <w:t>Phesonid</w:t>
      </w:r>
      <w:proofErr w:type="spellEnd"/>
      <w:r>
        <w:rPr>
          <w:rFonts w:ascii="Times New Roman" w:eastAsia="Times New Roman" w:hAnsi="Times New Roman" w:cs="Times New Roman"/>
          <w:sz w:val="24"/>
          <w:szCs w:val="24"/>
        </w:rPr>
        <w:t xml:space="preserve"> grazing snails as optimal because they exhibited the lowest within site mean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as an indicator of low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(Anderson &amp; Cabana, 2007). But, as previously discussed, low within site mean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may not be the best indicator of low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and Filterers were not well distributed in this study system (Anderson &amp; Cabana, 2007).   Our results coupled with those in Danish Lowland streams indicate that taxonomic groups that exhibit filter feeding may be particularly good baseline indicators (Table 1, Kristensen et al., 2016). Further, long-lived bivalves with longer tissue turnover rates that are thought to be the pinnacle of baselines corroborate this conclusion because they are </w:t>
      </w:r>
      <w:proofErr w:type="spellStart"/>
      <w:r>
        <w:rPr>
          <w:rFonts w:ascii="Times New Roman" w:eastAsia="Times New Roman" w:hAnsi="Times New Roman" w:cs="Times New Roman"/>
          <w:sz w:val="24"/>
          <w:szCs w:val="24"/>
        </w:rPr>
        <w:t>sestonic</w:t>
      </w:r>
      <w:proofErr w:type="spellEnd"/>
      <w:r>
        <w:rPr>
          <w:rFonts w:ascii="Times New Roman" w:eastAsia="Times New Roman" w:hAnsi="Times New Roman" w:cs="Times New Roman"/>
          <w:sz w:val="24"/>
          <w:szCs w:val="24"/>
        </w:rPr>
        <w:t xml:space="preserve"> filter feeders (Jardine et al., 2014). Additionally, </w:t>
      </w:r>
      <w:proofErr w:type="spellStart"/>
      <w:r>
        <w:rPr>
          <w:rFonts w:ascii="Times New Roman" w:eastAsia="Times New Roman" w:hAnsi="Times New Roman" w:cs="Times New Roman"/>
          <w:sz w:val="24"/>
          <w:szCs w:val="24"/>
        </w:rPr>
        <w:t>sestonic</w:t>
      </w:r>
      <w:proofErr w:type="spellEnd"/>
      <w:r>
        <w:rPr>
          <w:rFonts w:ascii="Times New Roman" w:eastAsia="Times New Roman" w:hAnsi="Times New Roman" w:cs="Times New Roman"/>
          <w:sz w:val="24"/>
          <w:szCs w:val="24"/>
        </w:rPr>
        <w:t xml:space="preserve"> filter feeders may serve as good baselines because seston was the best basal resource compartment that removed the influence of the environmental gradient on TP of fishes (Table 1). </w:t>
      </w:r>
    </w:p>
    <w:p w14:paraId="664FDEF9" w14:textId="77777777" w:rsidR="007E406A"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Although </w:t>
      </w:r>
      <w:proofErr w:type="spellStart"/>
      <w:r>
        <w:rPr>
          <w:rFonts w:ascii="Times New Roman" w:eastAsia="Times New Roman" w:hAnsi="Times New Roman" w:cs="Times New Roman"/>
          <w:sz w:val="24"/>
          <w:szCs w:val="24"/>
        </w:rPr>
        <w:t>Simulidae</w:t>
      </w:r>
      <w:proofErr w:type="spellEnd"/>
      <w:r>
        <w:rPr>
          <w:rFonts w:ascii="Times New Roman" w:eastAsia="Times New Roman" w:hAnsi="Times New Roman" w:cs="Times New Roman"/>
          <w:sz w:val="24"/>
          <w:szCs w:val="24"/>
        </w:rPr>
        <w:t xml:space="preserve"> fit all four criteria, </w:t>
      </w:r>
      <w:proofErr w:type="spellStart"/>
      <w:r>
        <w:rPr>
          <w:rFonts w:ascii="Times New Roman" w:eastAsia="Times New Roman" w:hAnsi="Times New Roman" w:cs="Times New Roman"/>
          <w:sz w:val="24"/>
          <w:szCs w:val="24"/>
        </w:rPr>
        <w:t>Hydropyschidae</w:t>
      </w:r>
      <w:proofErr w:type="spellEnd"/>
      <w:r>
        <w:rPr>
          <w:rFonts w:ascii="Times New Roman" w:eastAsia="Times New Roman" w:hAnsi="Times New Roman" w:cs="Times New Roman"/>
          <w:sz w:val="24"/>
          <w:szCs w:val="24"/>
        </w:rPr>
        <w:t xml:space="preserve">, the third taxonomic group with the lowest CV, effectively removed the influence of the longitudinal gradient on the TP of the five fishes in our study (Table 1).  Successful removal of the influence of the longitudinal gradient on TP suggests that </w:t>
      </w:r>
      <w:proofErr w:type="spellStart"/>
      <w:r>
        <w:rPr>
          <w:rFonts w:ascii="Times New Roman" w:eastAsia="Times New Roman" w:hAnsi="Times New Roman" w:cs="Times New Roman"/>
          <w:sz w:val="24"/>
          <w:szCs w:val="24"/>
        </w:rPr>
        <w:t>Hydropsychidae</w:t>
      </w:r>
      <w:proofErr w:type="spellEnd"/>
      <w:r>
        <w:rPr>
          <w:rFonts w:ascii="Times New Roman" w:eastAsia="Times New Roman" w:hAnsi="Times New Roman" w:cs="Times New Roman"/>
          <w:sz w:val="24"/>
          <w:szCs w:val="24"/>
        </w:rPr>
        <w:t xml:space="preserve"> could be an effective baseline indicator even though it had higher within site CV values than </w:t>
      </w:r>
      <w:proofErr w:type="spellStart"/>
      <w:r>
        <w:rPr>
          <w:rFonts w:ascii="Times New Roman" w:eastAsia="Times New Roman" w:hAnsi="Times New Roman" w:cs="Times New Roman"/>
          <w:sz w:val="24"/>
          <w:szCs w:val="24"/>
        </w:rPr>
        <w:t>Simuliidae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Hydropsychidae</w:t>
      </w:r>
      <w:proofErr w:type="spellEnd"/>
      <w:r>
        <w:rPr>
          <w:rFonts w:ascii="Times New Roman" w:eastAsia="Times New Roman" w:hAnsi="Times New Roman" w:cs="Times New Roman"/>
          <w:sz w:val="24"/>
          <w:szCs w:val="24"/>
        </w:rPr>
        <w:t xml:space="preserve"> were categorized as omnivores in our study, but some species exhibit filter feeding strategies (Citation). It is possible that the most prevalent species of </w:t>
      </w:r>
      <w:proofErr w:type="spellStart"/>
      <w:r>
        <w:rPr>
          <w:rFonts w:ascii="Times New Roman" w:eastAsia="Times New Roman" w:hAnsi="Times New Roman" w:cs="Times New Roman"/>
          <w:sz w:val="24"/>
          <w:szCs w:val="24"/>
        </w:rPr>
        <w:t>Hydropsychidae</w:t>
      </w:r>
      <w:proofErr w:type="spellEnd"/>
      <w:r>
        <w:rPr>
          <w:rFonts w:ascii="Times New Roman" w:eastAsia="Times New Roman" w:hAnsi="Times New Roman" w:cs="Times New Roman"/>
          <w:sz w:val="24"/>
          <w:szCs w:val="24"/>
        </w:rPr>
        <w:t xml:space="preserve"> within our system exhibit filter feeding rather than </w:t>
      </w:r>
      <w:proofErr w:type="spellStart"/>
      <w:r>
        <w:rPr>
          <w:rFonts w:ascii="Times New Roman" w:eastAsia="Times New Roman" w:hAnsi="Times New Roman" w:cs="Times New Roman"/>
          <w:sz w:val="24"/>
          <w:szCs w:val="24"/>
        </w:rPr>
        <w:t>omnivory</w:t>
      </w:r>
      <w:proofErr w:type="spellEnd"/>
      <w:r>
        <w:rPr>
          <w:rFonts w:ascii="Times New Roman" w:eastAsia="Times New Roman" w:hAnsi="Times New Roman" w:cs="Times New Roman"/>
          <w:sz w:val="24"/>
          <w:szCs w:val="24"/>
        </w:rPr>
        <w:t xml:space="preserve">. </w:t>
      </w:r>
    </w:p>
    <w:p w14:paraId="2129DBD6" w14:textId="77777777" w:rsidR="007E406A"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Conclusions</w:t>
      </w:r>
      <w:r>
        <w:rPr>
          <w:rFonts w:ascii="Times New Roman" w:eastAsia="Times New Roman" w:hAnsi="Times New Roman" w:cs="Times New Roman"/>
          <w:sz w:val="24"/>
          <w:szCs w:val="24"/>
        </w:rPr>
        <w:tab/>
      </w:r>
    </w:p>
    <w:p w14:paraId="5DE3715D" w14:textId="77777777" w:rsidR="007E406A"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highlight w:val="white"/>
        </w:rPr>
        <w:t>Studies calculating TP using stable isotopes have used major 10 groups of baselines and 8 different methods (</w:t>
      </w:r>
      <w:proofErr w:type="spellStart"/>
      <w:r>
        <w:rPr>
          <w:rFonts w:ascii="Times New Roman" w:eastAsia="Times New Roman" w:hAnsi="Times New Roman" w:cs="Times New Roman"/>
          <w:sz w:val="24"/>
          <w:szCs w:val="24"/>
          <w:highlight w:val="white"/>
        </w:rPr>
        <w:t>Kjeldgaard</w:t>
      </w:r>
      <w:proofErr w:type="spellEnd"/>
      <w:r>
        <w:rPr>
          <w:rFonts w:ascii="Times New Roman" w:eastAsia="Times New Roman" w:hAnsi="Times New Roman" w:cs="Times New Roman"/>
          <w:sz w:val="24"/>
          <w:szCs w:val="24"/>
          <w:highlight w:val="white"/>
        </w:rPr>
        <w:t xml:space="preserve"> et al., 2021)</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More work on standardizing procedures will combat variation in choices of baselines and methodology that complicates across-system syntheses of TP.  </w:t>
      </w:r>
      <w:proofErr w:type="spellStart"/>
      <w:r>
        <w:rPr>
          <w:rFonts w:ascii="Times New Roman" w:eastAsia="Times New Roman" w:hAnsi="Times New Roman" w:cs="Times New Roman"/>
          <w:sz w:val="24"/>
          <w:szCs w:val="24"/>
          <w:highlight w:val="white"/>
        </w:rPr>
        <w:t>Kjeldgaard</w:t>
      </w:r>
      <w:proofErr w:type="spellEnd"/>
      <w:r>
        <w:rPr>
          <w:rFonts w:ascii="Times New Roman" w:eastAsia="Times New Roman" w:hAnsi="Times New Roman" w:cs="Times New Roman"/>
          <w:sz w:val="24"/>
          <w:szCs w:val="24"/>
          <w:highlight w:val="white"/>
        </w:rPr>
        <w:t xml:space="preserve"> et al., (2021) recommended that the first decision when calculating TP should be the selection of an appropriate baseline.  The 4 criteria proposed by Kristensen et al., (2016) </w:t>
      </w:r>
      <w:r>
        <w:rPr>
          <w:rFonts w:ascii="Times New Roman" w:eastAsia="Times New Roman" w:hAnsi="Times New Roman" w:cs="Times New Roman"/>
          <w:sz w:val="24"/>
          <w:szCs w:val="24"/>
          <w:highlight w:val="white"/>
        </w:rPr>
        <w:lastRenderedPageBreak/>
        <w:t xml:space="preserve">combined with our adjustment to criterion 4 present a promising standardized method for identifying adequate baselines for stream ecosystems.  Using this approach, we found some concordance that the taxonomic group </w:t>
      </w:r>
      <w:proofErr w:type="spellStart"/>
      <w:r>
        <w:rPr>
          <w:rFonts w:ascii="Times New Roman" w:eastAsia="Times New Roman" w:hAnsi="Times New Roman" w:cs="Times New Roman"/>
          <w:sz w:val="24"/>
          <w:szCs w:val="24"/>
          <w:highlight w:val="white"/>
        </w:rPr>
        <w:t>Simuliidae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Sestonic</w:t>
      </w:r>
      <w:proofErr w:type="spellEnd"/>
      <w:r>
        <w:rPr>
          <w:rFonts w:ascii="Times New Roman" w:eastAsia="Times New Roman" w:hAnsi="Times New Roman" w:cs="Times New Roman"/>
          <w:sz w:val="24"/>
          <w:szCs w:val="24"/>
          <w:highlight w:val="white"/>
        </w:rPr>
        <w:t xml:space="preserve"> Filter Feeders) may be an adequate baseline for temperate streams where sufficiently distributed and long-lived macroinvertebrates are absent. Additional studies in other regions may further validate the use of this approach.</w:t>
      </w:r>
    </w:p>
    <w:p w14:paraId="7980E7B4" w14:textId="77777777" w:rsidR="007E406A" w:rsidRDefault="00000000">
      <w:pPr>
        <w:spacing w:before="240" w:after="240"/>
        <w:rPr>
          <w:rFonts w:ascii="Times New Roman" w:eastAsia="Times New Roman" w:hAnsi="Times New Roman" w:cs="Times New Roman"/>
          <w:b/>
          <w:sz w:val="24"/>
          <w:szCs w:val="24"/>
        </w:rPr>
      </w:pPr>
      <w:r>
        <w:br w:type="page"/>
      </w:r>
    </w:p>
    <w:p w14:paraId="6145EC4F" w14:textId="77777777" w:rsidR="007E406A"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Acknowledgements </w:t>
      </w:r>
    </w:p>
    <w:p w14:paraId="52877FB8"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University of Wyoming Biodiversity Institute provided funding for this research. </w:t>
      </w:r>
      <w:r>
        <w:rPr>
          <w:rFonts w:ascii="Calibri" w:eastAsia="Calibri" w:hAnsi="Calibri" w:cs="Calibri"/>
          <w:sz w:val="24"/>
          <w:szCs w:val="24"/>
        </w:rPr>
        <w:t>﻿</w:t>
      </w:r>
      <w:r>
        <w:rPr>
          <w:rFonts w:ascii="Times New Roman" w:eastAsia="Times New Roman" w:hAnsi="Times New Roman" w:cs="Times New Roman"/>
          <w:sz w:val="24"/>
          <w:szCs w:val="24"/>
        </w:rPr>
        <w:t xml:space="preserve">Fish were collected under University of Wyoming IACUC Protocol #20160630FR00245-01, and in accordance with Wyoming Game and Fish Department Chapter 33 permit #1077. NTB was supported by a Wyoming Undergraduate Research Scholars Fellowship. BMM was supported by a George </w:t>
      </w:r>
      <w:proofErr w:type="spellStart"/>
      <w:r>
        <w:rPr>
          <w:rFonts w:ascii="Times New Roman" w:eastAsia="Times New Roman" w:hAnsi="Times New Roman" w:cs="Times New Roman"/>
          <w:sz w:val="24"/>
          <w:szCs w:val="24"/>
        </w:rPr>
        <w:t>Menkens</w:t>
      </w:r>
      <w:proofErr w:type="spellEnd"/>
      <w:r>
        <w:rPr>
          <w:rFonts w:ascii="Times New Roman" w:eastAsia="Times New Roman" w:hAnsi="Times New Roman" w:cs="Times New Roman"/>
          <w:sz w:val="24"/>
          <w:szCs w:val="24"/>
        </w:rPr>
        <w:t xml:space="preserve"> Scholarship from the University of Wyoming.</w:t>
      </w:r>
    </w:p>
    <w:p w14:paraId="333B9AB3" w14:textId="77777777" w:rsidR="007E406A" w:rsidRDefault="007E406A">
      <w:pPr>
        <w:spacing w:before="240" w:after="240"/>
        <w:rPr>
          <w:rFonts w:ascii="Times New Roman" w:eastAsia="Times New Roman" w:hAnsi="Times New Roman" w:cs="Times New Roman"/>
          <w:b/>
          <w:sz w:val="24"/>
          <w:szCs w:val="24"/>
        </w:rPr>
      </w:pPr>
    </w:p>
    <w:p w14:paraId="10AA8B3D" w14:textId="77777777" w:rsidR="007E406A"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00113250" w14:textId="77777777" w:rsidR="00DF23F6" w:rsidRDefault="00DF23F6">
      <w:pPr>
        <w:spacing w:before="240" w:after="240"/>
        <w:rPr>
          <w:rFonts w:ascii="Times New Roman" w:eastAsia="Times New Roman" w:hAnsi="Times New Roman" w:cs="Times New Roman"/>
          <w:b/>
          <w:sz w:val="24"/>
          <w:szCs w:val="24"/>
        </w:rPr>
      </w:pPr>
    </w:p>
    <w:p w14:paraId="471BF792" w14:textId="649363F8"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Table 1: synthesis of taxonomic, feeding, basal compartments, and bulk groups used to correct trophic position of higher order consumers (i.e., fish) from Kristensen et al., (2016) and the present study. The groups presented in this table are only those that met criteria 1 (i.e., sufficiently distributed). For criteria 4, the percentage was calculated by dividing the number of fish species that had TP estimates free of the environmental influence from both studies divided by the total number of fish species that were examined in both studies. Both studies examined Brown Trout, so the analysis of Brown Trout in Kristensen et al. (2016) and the present analysis  of Brown Trout in the current study were treated as separate species for the percentage.</w:t>
      </w:r>
    </w:p>
    <w:p w14:paraId="333AC44D" w14:textId="77777777" w:rsidR="00E66AF0" w:rsidRDefault="00E66AF0">
      <w:pPr>
        <w:spacing w:before="240" w:after="240"/>
        <w:rPr>
          <w:rFonts w:ascii="Times New Roman" w:eastAsia="Times New Roman" w:hAnsi="Times New Roman" w:cs="Times New Roman"/>
          <w:sz w:val="24"/>
          <w:szCs w:val="24"/>
        </w:rPr>
      </w:pPr>
    </w:p>
    <w:p w14:paraId="66617CF6" w14:textId="77777777" w:rsidR="00E66AF0" w:rsidRDefault="00E66AF0">
      <w:pPr>
        <w:spacing w:before="240" w:after="240"/>
        <w:rPr>
          <w:rFonts w:ascii="Times New Roman" w:eastAsia="Times New Roman" w:hAnsi="Times New Roman" w:cs="Times New Roman"/>
          <w:sz w:val="24"/>
          <w:szCs w:val="24"/>
        </w:rPr>
      </w:pPr>
    </w:p>
    <w:p w14:paraId="3F4478D2" w14:textId="77777777" w:rsidR="00E66AF0" w:rsidRDefault="00E66AF0">
      <w:pPr>
        <w:spacing w:before="240" w:after="240"/>
        <w:rPr>
          <w:rFonts w:ascii="Times New Roman" w:eastAsia="Times New Roman" w:hAnsi="Times New Roman" w:cs="Times New Roman"/>
          <w:sz w:val="24"/>
          <w:szCs w:val="24"/>
        </w:rPr>
      </w:pPr>
    </w:p>
    <w:p w14:paraId="4CC0A78B" w14:textId="77777777" w:rsidR="00E66AF0" w:rsidRDefault="00E66AF0">
      <w:pPr>
        <w:spacing w:before="240" w:after="240"/>
        <w:rPr>
          <w:rFonts w:ascii="Times New Roman" w:eastAsia="Times New Roman" w:hAnsi="Times New Roman" w:cs="Times New Roman"/>
          <w:sz w:val="24"/>
          <w:szCs w:val="24"/>
        </w:rPr>
      </w:pPr>
    </w:p>
    <w:p w14:paraId="0E7B8120" w14:textId="77777777" w:rsidR="00E66AF0" w:rsidRDefault="00E66AF0">
      <w:pPr>
        <w:spacing w:before="240" w:after="240"/>
        <w:rPr>
          <w:rFonts w:ascii="Times New Roman" w:eastAsia="Times New Roman" w:hAnsi="Times New Roman" w:cs="Times New Roman"/>
          <w:sz w:val="24"/>
          <w:szCs w:val="24"/>
        </w:rPr>
      </w:pPr>
    </w:p>
    <w:p w14:paraId="53A97811" w14:textId="77777777" w:rsidR="00E66AF0" w:rsidRDefault="00E66AF0">
      <w:pPr>
        <w:spacing w:before="240" w:after="240"/>
        <w:rPr>
          <w:rFonts w:ascii="Times New Roman" w:eastAsia="Times New Roman" w:hAnsi="Times New Roman" w:cs="Times New Roman"/>
          <w:sz w:val="24"/>
          <w:szCs w:val="24"/>
        </w:rPr>
      </w:pPr>
    </w:p>
    <w:p w14:paraId="10AF9743" w14:textId="77777777" w:rsidR="00E66AF0" w:rsidRDefault="00E66AF0">
      <w:pPr>
        <w:spacing w:before="240" w:after="240"/>
        <w:rPr>
          <w:rFonts w:ascii="Times New Roman" w:eastAsia="Times New Roman" w:hAnsi="Times New Roman" w:cs="Times New Roman"/>
          <w:sz w:val="24"/>
          <w:szCs w:val="24"/>
        </w:rPr>
      </w:pPr>
    </w:p>
    <w:p w14:paraId="3ABAFA3B" w14:textId="77777777" w:rsidR="00E66AF0" w:rsidRDefault="00E66AF0">
      <w:pPr>
        <w:spacing w:before="240" w:after="240"/>
        <w:rPr>
          <w:rFonts w:ascii="Times New Roman" w:eastAsia="Times New Roman" w:hAnsi="Times New Roman" w:cs="Times New Roman"/>
          <w:sz w:val="24"/>
          <w:szCs w:val="24"/>
        </w:rPr>
      </w:pPr>
    </w:p>
    <w:p w14:paraId="593153FF" w14:textId="77777777" w:rsidR="00E66AF0" w:rsidRDefault="00E66AF0">
      <w:pPr>
        <w:spacing w:before="240" w:after="240"/>
        <w:rPr>
          <w:rFonts w:ascii="Times New Roman" w:eastAsia="Times New Roman" w:hAnsi="Times New Roman" w:cs="Times New Roman"/>
          <w:sz w:val="24"/>
          <w:szCs w:val="24"/>
        </w:rPr>
      </w:pPr>
    </w:p>
    <w:p w14:paraId="6FC2585A" w14:textId="77777777" w:rsidR="00E66AF0" w:rsidRDefault="00E66AF0">
      <w:pPr>
        <w:spacing w:before="240" w:after="240"/>
        <w:rPr>
          <w:rFonts w:ascii="Times New Roman" w:eastAsia="Times New Roman" w:hAnsi="Times New Roman" w:cs="Times New Roman"/>
          <w:sz w:val="24"/>
          <w:szCs w:val="24"/>
        </w:rPr>
      </w:pPr>
    </w:p>
    <w:p w14:paraId="43837BC9" w14:textId="77777777" w:rsidR="00E66AF0" w:rsidRDefault="00E66AF0">
      <w:pPr>
        <w:spacing w:before="240" w:after="240"/>
        <w:rPr>
          <w:rFonts w:ascii="Times New Roman" w:eastAsia="Times New Roman" w:hAnsi="Times New Roman" w:cs="Times New Roman"/>
          <w:sz w:val="24"/>
          <w:szCs w:val="24"/>
        </w:rPr>
      </w:pPr>
    </w:p>
    <w:p w14:paraId="34CC8746" w14:textId="77777777" w:rsidR="00E66AF0" w:rsidRDefault="00E66AF0">
      <w:pPr>
        <w:spacing w:before="240" w:after="240"/>
        <w:rPr>
          <w:rFonts w:ascii="Times New Roman" w:eastAsia="Times New Roman" w:hAnsi="Times New Roman" w:cs="Times New Roman"/>
          <w:sz w:val="24"/>
          <w:szCs w:val="24"/>
        </w:rPr>
      </w:pPr>
    </w:p>
    <w:p w14:paraId="164CA7C9" w14:textId="77777777" w:rsidR="00E66AF0" w:rsidRDefault="00E66AF0">
      <w:pPr>
        <w:spacing w:before="240" w:after="240"/>
        <w:rPr>
          <w:rFonts w:ascii="Times New Roman" w:eastAsia="Times New Roman" w:hAnsi="Times New Roman" w:cs="Times New Roman"/>
          <w:sz w:val="24"/>
          <w:szCs w:val="24"/>
        </w:rPr>
      </w:pPr>
    </w:p>
    <w:p w14:paraId="0859D70B" w14:textId="77777777" w:rsidR="00E66AF0" w:rsidRDefault="00E66AF0">
      <w:pPr>
        <w:spacing w:before="240" w:after="240"/>
        <w:rPr>
          <w:rFonts w:ascii="Times New Roman" w:eastAsia="Times New Roman" w:hAnsi="Times New Roman" w:cs="Times New Roman"/>
          <w:sz w:val="24"/>
          <w:szCs w:val="24"/>
        </w:rPr>
      </w:pPr>
    </w:p>
    <w:p w14:paraId="5D096988" w14:textId="77777777" w:rsidR="00E66AF0" w:rsidRDefault="00E66AF0">
      <w:pPr>
        <w:spacing w:before="240" w:after="240"/>
        <w:rPr>
          <w:rFonts w:ascii="Times New Roman" w:eastAsia="Times New Roman" w:hAnsi="Times New Roman" w:cs="Times New Roman"/>
          <w:sz w:val="24"/>
          <w:szCs w:val="24"/>
        </w:rPr>
      </w:pPr>
    </w:p>
    <w:p w14:paraId="3C710FF0" w14:textId="77777777" w:rsidR="00E66AF0" w:rsidRDefault="00E66AF0">
      <w:pPr>
        <w:spacing w:before="240" w:after="240"/>
        <w:rPr>
          <w:rFonts w:ascii="Times New Roman" w:eastAsia="Times New Roman" w:hAnsi="Times New Roman" w:cs="Times New Roman"/>
          <w:sz w:val="24"/>
          <w:szCs w:val="24"/>
        </w:rPr>
      </w:pPr>
    </w:p>
    <w:tbl>
      <w:tblPr>
        <w:tblW w:w="9420" w:type="dxa"/>
        <w:tblLook w:val="04A0" w:firstRow="1" w:lastRow="0" w:firstColumn="1" w:lastColumn="0" w:noHBand="0" w:noVBand="1"/>
      </w:tblPr>
      <w:tblGrid>
        <w:gridCol w:w="271"/>
        <w:gridCol w:w="1962"/>
        <w:gridCol w:w="2380"/>
        <w:gridCol w:w="1820"/>
        <w:gridCol w:w="1460"/>
        <w:gridCol w:w="1700"/>
      </w:tblGrid>
      <w:tr w:rsidR="00E66AF0" w:rsidRPr="00E66AF0" w14:paraId="14C7A61D" w14:textId="77777777" w:rsidTr="00115E85">
        <w:trPr>
          <w:trHeight w:val="804"/>
        </w:trPr>
        <w:tc>
          <w:tcPr>
            <w:tcW w:w="2060" w:type="dxa"/>
            <w:gridSpan w:val="2"/>
            <w:tcBorders>
              <w:top w:val="single" w:sz="4" w:space="0" w:color="auto"/>
              <w:left w:val="nil"/>
              <w:bottom w:val="single" w:sz="4" w:space="0" w:color="auto"/>
              <w:right w:val="nil"/>
            </w:tcBorders>
            <w:shd w:val="clear" w:color="auto" w:fill="auto"/>
            <w:noWrap/>
            <w:vAlign w:val="center"/>
            <w:hideMark/>
          </w:tcPr>
          <w:p w14:paraId="3F74A3F8"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Group</w:t>
            </w:r>
          </w:p>
        </w:tc>
        <w:tc>
          <w:tcPr>
            <w:tcW w:w="2380" w:type="dxa"/>
            <w:tcBorders>
              <w:top w:val="single" w:sz="4" w:space="0" w:color="auto"/>
              <w:left w:val="nil"/>
              <w:bottom w:val="single" w:sz="4" w:space="0" w:color="auto"/>
              <w:right w:val="nil"/>
            </w:tcBorders>
            <w:shd w:val="clear" w:color="auto" w:fill="auto"/>
            <w:noWrap/>
            <w:vAlign w:val="center"/>
            <w:hideMark/>
          </w:tcPr>
          <w:p w14:paraId="78C32E57"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Study</w:t>
            </w:r>
          </w:p>
        </w:tc>
        <w:tc>
          <w:tcPr>
            <w:tcW w:w="1820" w:type="dxa"/>
            <w:tcBorders>
              <w:top w:val="single" w:sz="4" w:space="0" w:color="auto"/>
              <w:left w:val="nil"/>
              <w:bottom w:val="single" w:sz="4" w:space="0" w:color="auto"/>
              <w:right w:val="nil"/>
            </w:tcBorders>
            <w:shd w:val="clear" w:color="auto" w:fill="auto"/>
            <w:vAlign w:val="center"/>
            <w:hideMark/>
          </w:tcPr>
          <w:p w14:paraId="72D5CA38"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Criterion 2:</w:t>
            </w:r>
          </w:p>
          <w:p w14:paraId="0EBBC80C"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Mean CV (± SD)</w:t>
            </w:r>
          </w:p>
        </w:tc>
        <w:tc>
          <w:tcPr>
            <w:tcW w:w="1460" w:type="dxa"/>
            <w:tcBorders>
              <w:top w:val="single" w:sz="4" w:space="0" w:color="auto"/>
              <w:left w:val="nil"/>
              <w:bottom w:val="single" w:sz="4" w:space="0" w:color="auto"/>
              <w:right w:val="nil"/>
            </w:tcBorders>
            <w:shd w:val="clear" w:color="auto" w:fill="auto"/>
            <w:vAlign w:val="center"/>
            <w:hideMark/>
          </w:tcPr>
          <w:p w14:paraId="54F63805"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Criterion 3:</w:t>
            </w:r>
          </w:p>
          <w:p w14:paraId="04CFF27C"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Correlated with Gradient</w:t>
            </w:r>
          </w:p>
        </w:tc>
        <w:tc>
          <w:tcPr>
            <w:tcW w:w="1700" w:type="dxa"/>
            <w:tcBorders>
              <w:top w:val="single" w:sz="4" w:space="0" w:color="auto"/>
              <w:left w:val="nil"/>
              <w:bottom w:val="single" w:sz="4" w:space="0" w:color="auto"/>
              <w:right w:val="nil"/>
            </w:tcBorders>
            <w:shd w:val="clear" w:color="auto" w:fill="auto"/>
            <w:vAlign w:val="center"/>
            <w:hideMark/>
          </w:tcPr>
          <w:p w14:paraId="38962A48" w14:textId="77777777"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Criterion 4:</w:t>
            </w:r>
          </w:p>
          <w:p w14:paraId="73E0DE93" w14:textId="615B3491" w:rsidR="00E66AF0" w:rsidRPr="00E66AF0" w:rsidRDefault="00E66AF0" w:rsidP="00115E85">
            <w:pPr>
              <w:spacing w:line="240" w:lineRule="auto"/>
              <w:jc w:val="center"/>
              <w:rPr>
                <w:rFonts w:ascii="Times New Roman" w:eastAsia="Times New Roman" w:hAnsi="Times New Roman" w:cs="Times New Roman"/>
                <w:b/>
                <w:bCs/>
                <w:color w:val="000000"/>
              </w:rPr>
            </w:pPr>
            <w:r w:rsidRPr="00E66AF0">
              <w:rPr>
                <w:rFonts w:ascii="Times New Roman" w:eastAsia="Times New Roman" w:hAnsi="Times New Roman" w:cs="Times New Roman"/>
                <w:b/>
                <w:bCs/>
                <w:color w:val="000000"/>
              </w:rPr>
              <w:t xml:space="preserve">TP free of </w:t>
            </w:r>
            <w:r>
              <w:rPr>
                <w:rFonts w:ascii="Times New Roman" w:eastAsia="Times New Roman" w:hAnsi="Times New Roman" w:cs="Times New Roman"/>
                <w:b/>
                <w:bCs/>
                <w:color w:val="000000"/>
              </w:rPr>
              <w:t>background variation</w:t>
            </w:r>
            <w:r w:rsidRPr="00E66AF0">
              <w:rPr>
                <w:rFonts w:ascii="Times New Roman" w:eastAsia="Times New Roman" w:hAnsi="Times New Roman" w:cs="Times New Roman"/>
                <w:b/>
                <w:bCs/>
                <w:color w:val="000000"/>
              </w:rPr>
              <w:t xml:space="preserve"> (% Fish </w:t>
            </w:r>
            <w:proofErr w:type="spellStart"/>
            <w:r w:rsidRPr="00E66AF0">
              <w:rPr>
                <w:rFonts w:ascii="Times New Roman" w:eastAsia="Times New Roman" w:hAnsi="Times New Roman" w:cs="Times New Roman"/>
                <w:b/>
                <w:bCs/>
                <w:color w:val="000000"/>
              </w:rPr>
              <w:t>Spp</w:t>
            </w:r>
            <w:proofErr w:type="spellEnd"/>
            <w:r w:rsidRPr="00E66AF0">
              <w:rPr>
                <w:rFonts w:ascii="Times New Roman" w:eastAsia="Times New Roman" w:hAnsi="Times New Roman" w:cs="Times New Roman"/>
                <w:b/>
                <w:bCs/>
                <w:color w:val="000000"/>
              </w:rPr>
              <w:t>)</w:t>
            </w:r>
          </w:p>
        </w:tc>
      </w:tr>
      <w:tr w:rsidR="00E66AF0" w:rsidRPr="00E66AF0" w14:paraId="5A331FD7" w14:textId="77777777" w:rsidTr="00115E85">
        <w:trPr>
          <w:trHeight w:val="288"/>
        </w:trPr>
        <w:tc>
          <w:tcPr>
            <w:tcW w:w="2060" w:type="dxa"/>
            <w:gridSpan w:val="2"/>
            <w:tcBorders>
              <w:top w:val="nil"/>
              <w:left w:val="nil"/>
              <w:bottom w:val="nil"/>
              <w:right w:val="nil"/>
            </w:tcBorders>
            <w:shd w:val="clear" w:color="auto" w:fill="auto"/>
            <w:noWrap/>
            <w:vAlign w:val="bottom"/>
            <w:hideMark/>
          </w:tcPr>
          <w:p w14:paraId="4A3C71FD" w14:textId="77777777" w:rsidR="00E66AF0" w:rsidRPr="00E66AF0" w:rsidRDefault="00E66AF0" w:rsidP="00115E85">
            <w:pPr>
              <w:spacing w:line="240" w:lineRule="auto"/>
              <w:rPr>
                <w:rFonts w:ascii="Times New Roman" w:eastAsia="Times New Roman" w:hAnsi="Times New Roman" w:cs="Times New Roman"/>
                <w:b/>
                <w:bCs/>
                <w:i/>
                <w:iCs/>
                <w:color w:val="000000"/>
              </w:rPr>
            </w:pPr>
            <w:r w:rsidRPr="00E66AF0">
              <w:rPr>
                <w:rFonts w:ascii="Times New Roman" w:eastAsia="Times New Roman" w:hAnsi="Times New Roman" w:cs="Times New Roman"/>
                <w:b/>
                <w:bCs/>
                <w:i/>
                <w:iCs/>
                <w:color w:val="000000"/>
              </w:rPr>
              <w:t>Taxonomic</w:t>
            </w:r>
          </w:p>
        </w:tc>
        <w:tc>
          <w:tcPr>
            <w:tcW w:w="2380" w:type="dxa"/>
            <w:tcBorders>
              <w:top w:val="nil"/>
              <w:left w:val="nil"/>
              <w:bottom w:val="nil"/>
              <w:right w:val="nil"/>
            </w:tcBorders>
            <w:shd w:val="clear" w:color="auto" w:fill="auto"/>
            <w:noWrap/>
            <w:vAlign w:val="bottom"/>
            <w:hideMark/>
          </w:tcPr>
          <w:p w14:paraId="0BEDCD62" w14:textId="77777777" w:rsidR="00E66AF0" w:rsidRPr="00E66AF0" w:rsidRDefault="00E66AF0" w:rsidP="00115E85">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3CECCD3E" w14:textId="77777777" w:rsidR="00E66AF0" w:rsidRPr="00E66AF0" w:rsidRDefault="00E66AF0" w:rsidP="00115E85">
            <w:pPr>
              <w:spacing w:line="240" w:lineRule="auto"/>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638A968B" w14:textId="77777777" w:rsidR="00E66AF0" w:rsidRPr="00E66AF0" w:rsidRDefault="00E66AF0" w:rsidP="00115E85">
            <w:pPr>
              <w:spacing w:line="240" w:lineRule="auto"/>
              <w:jc w:val="center"/>
              <w:rPr>
                <w:rFonts w:ascii="Times New Roman" w:eastAsia="Times New Roman" w:hAnsi="Times New Roman" w:cs="Times New Roman"/>
              </w:rPr>
            </w:pPr>
          </w:p>
        </w:tc>
        <w:tc>
          <w:tcPr>
            <w:tcW w:w="1700" w:type="dxa"/>
            <w:tcBorders>
              <w:top w:val="nil"/>
              <w:left w:val="nil"/>
              <w:bottom w:val="nil"/>
              <w:right w:val="nil"/>
            </w:tcBorders>
            <w:shd w:val="clear" w:color="auto" w:fill="auto"/>
            <w:noWrap/>
            <w:vAlign w:val="bottom"/>
            <w:hideMark/>
          </w:tcPr>
          <w:p w14:paraId="56BE3639" w14:textId="77777777" w:rsidR="00E66AF0" w:rsidRPr="00E66AF0" w:rsidRDefault="00E66AF0" w:rsidP="00115E85">
            <w:pPr>
              <w:spacing w:line="240" w:lineRule="auto"/>
              <w:jc w:val="center"/>
              <w:rPr>
                <w:rFonts w:ascii="Times New Roman" w:eastAsia="Times New Roman" w:hAnsi="Times New Roman" w:cs="Times New Roman"/>
              </w:rPr>
            </w:pPr>
          </w:p>
        </w:tc>
      </w:tr>
      <w:tr w:rsidR="00E66AF0" w:rsidRPr="00E66AF0" w14:paraId="54D9B3D3" w14:textId="77777777" w:rsidTr="00115E85">
        <w:trPr>
          <w:trHeight w:val="288"/>
        </w:trPr>
        <w:tc>
          <w:tcPr>
            <w:tcW w:w="98" w:type="dxa"/>
            <w:tcBorders>
              <w:top w:val="nil"/>
              <w:left w:val="nil"/>
              <w:bottom w:val="nil"/>
              <w:right w:val="nil"/>
            </w:tcBorders>
            <w:shd w:val="clear" w:color="auto" w:fill="auto"/>
            <w:noWrap/>
            <w:vAlign w:val="bottom"/>
            <w:hideMark/>
          </w:tcPr>
          <w:p w14:paraId="765973F6" w14:textId="77777777" w:rsidR="00E66AF0" w:rsidRPr="00E66AF0" w:rsidRDefault="00E66AF0" w:rsidP="00115E85">
            <w:pPr>
              <w:spacing w:line="240" w:lineRule="auto"/>
              <w:jc w:val="center"/>
              <w:rPr>
                <w:rFonts w:ascii="Times New Roman" w:eastAsia="Times New Roman" w:hAnsi="Times New Roman" w:cs="Times New Roman"/>
              </w:rPr>
            </w:pPr>
          </w:p>
        </w:tc>
        <w:tc>
          <w:tcPr>
            <w:tcW w:w="1962" w:type="dxa"/>
            <w:tcBorders>
              <w:top w:val="nil"/>
              <w:left w:val="nil"/>
              <w:bottom w:val="nil"/>
              <w:right w:val="nil"/>
            </w:tcBorders>
            <w:shd w:val="clear" w:color="auto" w:fill="auto"/>
            <w:noWrap/>
            <w:vAlign w:val="bottom"/>
            <w:hideMark/>
          </w:tcPr>
          <w:p w14:paraId="60C2A40B"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Elmidae</w:t>
            </w:r>
            <w:proofErr w:type="spellEnd"/>
            <w:r w:rsidRPr="00E66AF0">
              <w:rPr>
                <w:rFonts w:ascii="Times New Roman" w:eastAsia="Times New Roman" w:hAnsi="Times New Roman" w:cs="Times New Roman"/>
                <w:color w:val="000000"/>
              </w:rPr>
              <w:t>-adult</w:t>
            </w:r>
          </w:p>
        </w:tc>
        <w:tc>
          <w:tcPr>
            <w:tcW w:w="2380" w:type="dxa"/>
            <w:tcBorders>
              <w:top w:val="nil"/>
              <w:left w:val="nil"/>
              <w:bottom w:val="nil"/>
              <w:right w:val="nil"/>
            </w:tcBorders>
            <w:shd w:val="clear" w:color="auto" w:fill="auto"/>
            <w:noWrap/>
            <w:vAlign w:val="bottom"/>
            <w:hideMark/>
          </w:tcPr>
          <w:p w14:paraId="261C279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128A846"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0.239 (± 0.222)</w:t>
            </w:r>
          </w:p>
        </w:tc>
        <w:tc>
          <w:tcPr>
            <w:tcW w:w="1460" w:type="dxa"/>
            <w:tcBorders>
              <w:top w:val="nil"/>
              <w:left w:val="nil"/>
              <w:bottom w:val="nil"/>
              <w:right w:val="nil"/>
            </w:tcBorders>
            <w:shd w:val="clear" w:color="auto" w:fill="auto"/>
            <w:noWrap/>
            <w:vAlign w:val="bottom"/>
            <w:hideMark/>
          </w:tcPr>
          <w:p w14:paraId="2FCC5109"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4C4D844F"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(4/5) 80%</w:t>
            </w:r>
          </w:p>
        </w:tc>
      </w:tr>
      <w:tr w:rsidR="00E66AF0" w:rsidRPr="00E66AF0" w14:paraId="290F0F0A" w14:textId="77777777" w:rsidTr="00115E85">
        <w:trPr>
          <w:trHeight w:val="288"/>
        </w:trPr>
        <w:tc>
          <w:tcPr>
            <w:tcW w:w="98" w:type="dxa"/>
            <w:tcBorders>
              <w:top w:val="nil"/>
              <w:left w:val="nil"/>
              <w:bottom w:val="nil"/>
              <w:right w:val="nil"/>
            </w:tcBorders>
            <w:shd w:val="clear" w:color="auto" w:fill="auto"/>
            <w:noWrap/>
            <w:vAlign w:val="bottom"/>
            <w:hideMark/>
          </w:tcPr>
          <w:p w14:paraId="3ED4796C"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784300EB"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Elmidae</w:t>
            </w:r>
            <w:proofErr w:type="spellEnd"/>
            <w:r w:rsidRPr="00E66AF0">
              <w:rPr>
                <w:rFonts w:ascii="Times New Roman" w:eastAsia="Times New Roman" w:hAnsi="Times New Roman" w:cs="Times New Roman"/>
                <w:color w:val="000000"/>
              </w:rPr>
              <w:t>-larvae</w:t>
            </w:r>
          </w:p>
        </w:tc>
        <w:tc>
          <w:tcPr>
            <w:tcW w:w="2380" w:type="dxa"/>
            <w:tcBorders>
              <w:top w:val="nil"/>
              <w:left w:val="nil"/>
              <w:bottom w:val="nil"/>
              <w:right w:val="nil"/>
            </w:tcBorders>
            <w:shd w:val="clear" w:color="auto" w:fill="auto"/>
            <w:noWrap/>
            <w:vAlign w:val="bottom"/>
            <w:hideMark/>
          </w:tcPr>
          <w:p w14:paraId="3D872BA9"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5A2C8A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0.223 (± 0.200)</w:t>
            </w:r>
          </w:p>
        </w:tc>
        <w:tc>
          <w:tcPr>
            <w:tcW w:w="1460" w:type="dxa"/>
            <w:tcBorders>
              <w:top w:val="nil"/>
              <w:left w:val="nil"/>
              <w:bottom w:val="nil"/>
              <w:right w:val="nil"/>
            </w:tcBorders>
            <w:shd w:val="clear" w:color="auto" w:fill="auto"/>
            <w:noWrap/>
            <w:vAlign w:val="bottom"/>
            <w:hideMark/>
          </w:tcPr>
          <w:p w14:paraId="50F7F1AD"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52FF593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(4/5) 80%</w:t>
            </w:r>
          </w:p>
        </w:tc>
      </w:tr>
      <w:tr w:rsidR="00E66AF0" w:rsidRPr="00E66AF0" w14:paraId="02455328" w14:textId="77777777" w:rsidTr="00115E85">
        <w:trPr>
          <w:trHeight w:val="288"/>
        </w:trPr>
        <w:tc>
          <w:tcPr>
            <w:tcW w:w="98" w:type="dxa"/>
            <w:tcBorders>
              <w:top w:val="nil"/>
              <w:left w:val="nil"/>
              <w:bottom w:val="nil"/>
              <w:right w:val="nil"/>
            </w:tcBorders>
            <w:shd w:val="clear" w:color="auto" w:fill="auto"/>
            <w:noWrap/>
            <w:vAlign w:val="bottom"/>
            <w:hideMark/>
          </w:tcPr>
          <w:p w14:paraId="41C0CDF8"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1CAA8D0B"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Chironomidae</w:t>
            </w:r>
          </w:p>
        </w:tc>
        <w:tc>
          <w:tcPr>
            <w:tcW w:w="2380" w:type="dxa"/>
            <w:tcBorders>
              <w:top w:val="nil"/>
              <w:left w:val="nil"/>
              <w:bottom w:val="nil"/>
              <w:right w:val="nil"/>
            </w:tcBorders>
            <w:shd w:val="clear" w:color="auto" w:fill="auto"/>
            <w:noWrap/>
            <w:vAlign w:val="bottom"/>
            <w:hideMark/>
          </w:tcPr>
          <w:p w14:paraId="55F1B2B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461060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0.222 (± 0.200)</w:t>
            </w:r>
          </w:p>
        </w:tc>
        <w:tc>
          <w:tcPr>
            <w:tcW w:w="1460" w:type="dxa"/>
            <w:tcBorders>
              <w:top w:val="nil"/>
              <w:left w:val="nil"/>
              <w:bottom w:val="nil"/>
              <w:right w:val="nil"/>
            </w:tcBorders>
            <w:shd w:val="clear" w:color="auto" w:fill="auto"/>
            <w:noWrap/>
            <w:vAlign w:val="bottom"/>
            <w:hideMark/>
          </w:tcPr>
          <w:p w14:paraId="0930BFD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2E3D572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(2/5) 40%</w:t>
            </w:r>
          </w:p>
        </w:tc>
      </w:tr>
      <w:tr w:rsidR="00E66AF0" w:rsidRPr="00E66AF0" w14:paraId="3D4AC68C" w14:textId="77777777" w:rsidTr="00115E85">
        <w:trPr>
          <w:trHeight w:val="288"/>
        </w:trPr>
        <w:tc>
          <w:tcPr>
            <w:tcW w:w="98" w:type="dxa"/>
            <w:tcBorders>
              <w:top w:val="nil"/>
              <w:left w:val="nil"/>
              <w:bottom w:val="nil"/>
              <w:right w:val="nil"/>
            </w:tcBorders>
            <w:shd w:val="clear" w:color="auto" w:fill="auto"/>
            <w:noWrap/>
            <w:vAlign w:val="bottom"/>
            <w:hideMark/>
          </w:tcPr>
          <w:p w14:paraId="3893CCCB"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1924687C"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Dytiscidae</w:t>
            </w:r>
            <w:proofErr w:type="spellEnd"/>
          </w:p>
        </w:tc>
        <w:tc>
          <w:tcPr>
            <w:tcW w:w="2380" w:type="dxa"/>
            <w:tcBorders>
              <w:top w:val="nil"/>
              <w:left w:val="nil"/>
              <w:bottom w:val="nil"/>
              <w:right w:val="nil"/>
            </w:tcBorders>
            <w:shd w:val="clear" w:color="auto" w:fill="auto"/>
            <w:noWrap/>
            <w:vAlign w:val="bottom"/>
            <w:hideMark/>
          </w:tcPr>
          <w:p w14:paraId="24C9144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11B6FE2"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0.169 (± 0.169)</w:t>
            </w:r>
          </w:p>
        </w:tc>
        <w:tc>
          <w:tcPr>
            <w:tcW w:w="1460" w:type="dxa"/>
            <w:tcBorders>
              <w:top w:val="nil"/>
              <w:left w:val="nil"/>
              <w:bottom w:val="nil"/>
              <w:right w:val="nil"/>
            </w:tcBorders>
            <w:shd w:val="clear" w:color="auto" w:fill="auto"/>
            <w:noWrap/>
            <w:vAlign w:val="bottom"/>
            <w:hideMark/>
          </w:tcPr>
          <w:p w14:paraId="24A0229F"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2E5CE85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(2/5) 40%</w:t>
            </w:r>
          </w:p>
        </w:tc>
      </w:tr>
      <w:tr w:rsidR="00E66AF0" w:rsidRPr="00E66AF0" w14:paraId="36D1E1D2" w14:textId="77777777" w:rsidTr="00115E85">
        <w:trPr>
          <w:trHeight w:val="312"/>
        </w:trPr>
        <w:tc>
          <w:tcPr>
            <w:tcW w:w="98" w:type="dxa"/>
            <w:tcBorders>
              <w:top w:val="nil"/>
              <w:left w:val="nil"/>
              <w:bottom w:val="nil"/>
              <w:right w:val="nil"/>
            </w:tcBorders>
            <w:shd w:val="clear" w:color="auto" w:fill="auto"/>
            <w:noWrap/>
            <w:vAlign w:val="bottom"/>
            <w:hideMark/>
          </w:tcPr>
          <w:p w14:paraId="78AFBA61"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val="restart"/>
            <w:tcBorders>
              <w:top w:val="nil"/>
              <w:left w:val="nil"/>
              <w:bottom w:val="nil"/>
              <w:right w:val="nil"/>
            </w:tcBorders>
            <w:shd w:val="clear" w:color="auto" w:fill="auto"/>
            <w:noWrap/>
            <w:vAlign w:val="center"/>
            <w:hideMark/>
          </w:tcPr>
          <w:p w14:paraId="088E0D0F"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Baetidae</w:t>
            </w:r>
            <w:proofErr w:type="spellEnd"/>
          </w:p>
        </w:tc>
        <w:tc>
          <w:tcPr>
            <w:tcW w:w="2380" w:type="dxa"/>
            <w:tcBorders>
              <w:top w:val="nil"/>
              <w:left w:val="nil"/>
              <w:bottom w:val="nil"/>
              <w:right w:val="nil"/>
            </w:tcBorders>
            <w:shd w:val="clear" w:color="auto" w:fill="auto"/>
            <w:noWrap/>
            <w:vAlign w:val="bottom"/>
            <w:hideMark/>
          </w:tcPr>
          <w:p w14:paraId="4C97A8A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12CFA7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0.142 (± 0.124)</w:t>
            </w:r>
          </w:p>
        </w:tc>
        <w:tc>
          <w:tcPr>
            <w:tcW w:w="1460" w:type="dxa"/>
            <w:tcBorders>
              <w:top w:val="nil"/>
              <w:left w:val="nil"/>
              <w:bottom w:val="nil"/>
              <w:right w:val="nil"/>
            </w:tcBorders>
            <w:shd w:val="clear" w:color="auto" w:fill="auto"/>
            <w:noWrap/>
            <w:vAlign w:val="bottom"/>
            <w:hideMark/>
          </w:tcPr>
          <w:p w14:paraId="65914FC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12ADF66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(4/7) 57%</w:t>
            </w:r>
          </w:p>
        </w:tc>
      </w:tr>
      <w:tr w:rsidR="00E66AF0" w:rsidRPr="00E66AF0" w14:paraId="650F1989" w14:textId="77777777" w:rsidTr="00115E85">
        <w:trPr>
          <w:trHeight w:val="288"/>
        </w:trPr>
        <w:tc>
          <w:tcPr>
            <w:tcW w:w="98" w:type="dxa"/>
            <w:tcBorders>
              <w:top w:val="nil"/>
              <w:left w:val="nil"/>
              <w:bottom w:val="nil"/>
              <w:right w:val="nil"/>
            </w:tcBorders>
            <w:shd w:val="clear" w:color="auto" w:fill="auto"/>
            <w:noWrap/>
            <w:vAlign w:val="bottom"/>
            <w:hideMark/>
          </w:tcPr>
          <w:p w14:paraId="2CD1156C"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6C2FABCB"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7BDE8999"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2351A05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0.080 (± 0.090)</w:t>
            </w:r>
          </w:p>
        </w:tc>
        <w:tc>
          <w:tcPr>
            <w:tcW w:w="1460" w:type="dxa"/>
            <w:tcBorders>
              <w:top w:val="nil"/>
              <w:left w:val="nil"/>
              <w:bottom w:val="nil"/>
              <w:right w:val="nil"/>
            </w:tcBorders>
            <w:shd w:val="clear" w:color="auto" w:fill="auto"/>
            <w:noWrap/>
            <w:vAlign w:val="bottom"/>
            <w:hideMark/>
          </w:tcPr>
          <w:p w14:paraId="0D817A9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3B487075"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34B6AF52" w14:textId="77777777" w:rsidTr="00115E85">
        <w:trPr>
          <w:trHeight w:val="312"/>
        </w:trPr>
        <w:tc>
          <w:tcPr>
            <w:tcW w:w="98" w:type="dxa"/>
            <w:tcBorders>
              <w:top w:val="nil"/>
              <w:left w:val="nil"/>
              <w:bottom w:val="nil"/>
              <w:right w:val="nil"/>
            </w:tcBorders>
            <w:shd w:val="clear" w:color="auto" w:fill="auto"/>
            <w:noWrap/>
            <w:vAlign w:val="bottom"/>
            <w:hideMark/>
          </w:tcPr>
          <w:p w14:paraId="0F537F3B"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val="restart"/>
            <w:tcBorders>
              <w:top w:val="nil"/>
              <w:left w:val="nil"/>
              <w:bottom w:val="nil"/>
              <w:right w:val="nil"/>
            </w:tcBorders>
            <w:shd w:val="clear" w:color="auto" w:fill="auto"/>
            <w:noWrap/>
            <w:vAlign w:val="center"/>
            <w:hideMark/>
          </w:tcPr>
          <w:p w14:paraId="1144A179"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Simuliidae</w:t>
            </w:r>
            <w:proofErr w:type="spellEnd"/>
          </w:p>
        </w:tc>
        <w:tc>
          <w:tcPr>
            <w:tcW w:w="2380" w:type="dxa"/>
            <w:tcBorders>
              <w:top w:val="nil"/>
              <w:left w:val="nil"/>
              <w:bottom w:val="nil"/>
              <w:right w:val="nil"/>
            </w:tcBorders>
            <w:shd w:val="clear" w:color="auto" w:fill="auto"/>
            <w:noWrap/>
            <w:vAlign w:val="bottom"/>
            <w:hideMark/>
          </w:tcPr>
          <w:p w14:paraId="10F36ACA"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55473F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0.047 (± 0.027)</w:t>
            </w:r>
          </w:p>
        </w:tc>
        <w:tc>
          <w:tcPr>
            <w:tcW w:w="1460" w:type="dxa"/>
            <w:tcBorders>
              <w:top w:val="nil"/>
              <w:left w:val="nil"/>
              <w:bottom w:val="nil"/>
              <w:right w:val="nil"/>
            </w:tcBorders>
            <w:shd w:val="clear" w:color="auto" w:fill="auto"/>
            <w:noWrap/>
            <w:vAlign w:val="bottom"/>
            <w:hideMark/>
          </w:tcPr>
          <w:p w14:paraId="73F1A77D"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18B361A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(7/7) 100%</w:t>
            </w:r>
          </w:p>
        </w:tc>
      </w:tr>
      <w:tr w:rsidR="00E66AF0" w:rsidRPr="00E66AF0" w14:paraId="0EC29394" w14:textId="77777777" w:rsidTr="00115E85">
        <w:trPr>
          <w:trHeight w:val="288"/>
        </w:trPr>
        <w:tc>
          <w:tcPr>
            <w:tcW w:w="98" w:type="dxa"/>
            <w:tcBorders>
              <w:top w:val="nil"/>
              <w:left w:val="nil"/>
              <w:bottom w:val="nil"/>
              <w:right w:val="nil"/>
            </w:tcBorders>
            <w:shd w:val="clear" w:color="auto" w:fill="auto"/>
            <w:noWrap/>
            <w:vAlign w:val="bottom"/>
            <w:hideMark/>
          </w:tcPr>
          <w:p w14:paraId="5F709A3B"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7DD9A12C"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210909BA"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72C6D80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0.028 (± 0.019)</w:t>
            </w:r>
          </w:p>
        </w:tc>
        <w:tc>
          <w:tcPr>
            <w:tcW w:w="1460" w:type="dxa"/>
            <w:tcBorders>
              <w:top w:val="nil"/>
              <w:left w:val="nil"/>
              <w:bottom w:val="nil"/>
              <w:right w:val="nil"/>
            </w:tcBorders>
            <w:shd w:val="clear" w:color="auto" w:fill="auto"/>
            <w:noWrap/>
            <w:vAlign w:val="bottom"/>
            <w:hideMark/>
          </w:tcPr>
          <w:p w14:paraId="515B160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2E690A72"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3B1F175B" w14:textId="77777777" w:rsidTr="00115E85">
        <w:trPr>
          <w:trHeight w:val="288"/>
        </w:trPr>
        <w:tc>
          <w:tcPr>
            <w:tcW w:w="98" w:type="dxa"/>
            <w:tcBorders>
              <w:top w:val="nil"/>
              <w:left w:val="nil"/>
              <w:bottom w:val="nil"/>
              <w:right w:val="nil"/>
            </w:tcBorders>
            <w:shd w:val="clear" w:color="auto" w:fill="auto"/>
            <w:noWrap/>
            <w:vAlign w:val="bottom"/>
            <w:hideMark/>
          </w:tcPr>
          <w:p w14:paraId="59A45846"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10DB6886"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Hydropsycidae</w:t>
            </w:r>
            <w:proofErr w:type="spellEnd"/>
          </w:p>
        </w:tc>
        <w:tc>
          <w:tcPr>
            <w:tcW w:w="2380" w:type="dxa"/>
            <w:tcBorders>
              <w:top w:val="nil"/>
              <w:left w:val="nil"/>
              <w:bottom w:val="nil"/>
              <w:right w:val="nil"/>
            </w:tcBorders>
            <w:shd w:val="clear" w:color="auto" w:fill="auto"/>
            <w:noWrap/>
            <w:vAlign w:val="bottom"/>
            <w:hideMark/>
          </w:tcPr>
          <w:p w14:paraId="4C45902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3B8203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0.107 (± 0.064)</w:t>
            </w:r>
          </w:p>
        </w:tc>
        <w:tc>
          <w:tcPr>
            <w:tcW w:w="1460" w:type="dxa"/>
            <w:tcBorders>
              <w:top w:val="nil"/>
              <w:left w:val="nil"/>
              <w:bottom w:val="nil"/>
              <w:right w:val="nil"/>
            </w:tcBorders>
            <w:shd w:val="clear" w:color="auto" w:fill="auto"/>
            <w:noWrap/>
            <w:vAlign w:val="bottom"/>
            <w:hideMark/>
          </w:tcPr>
          <w:p w14:paraId="69B8444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5D204C6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(5/5) 100%</w:t>
            </w:r>
          </w:p>
        </w:tc>
      </w:tr>
      <w:tr w:rsidR="00E66AF0" w:rsidRPr="00E66AF0" w14:paraId="02092136" w14:textId="77777777" w:rsidTr="00115E85">
        <w:trPr>
          <w:trHeight w:val="288"/>
        </w:trPr>
        <w:tc>
          <w:tcPr>
            <w:tcW w:w="98" w:type="dxa"/>
            <w:tcBorders>
              <w:top w:val="nil"/>
              <w:left w:val="nil"/>
              <w:bottom w:val="nil"/>
              <w:right w:val="nil"/>
            </w:tcBorders>
            <w:shd w:val="clear" w:color="auto" w:fill="auto"/>
            <w:noWrap/>
            <w:vAlign w:val="bottom"/>
            <w:hideMark/>
          </w:tcPr>
          <w:p w14:paraId="32CFCA09"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68869C26" w14:textId="77777777" w:rsidR="00E66AF0" w:rsidRPr="00E66AF0" w:rsidRDefault="00E66AF0" w:rsidP="00115E85">
            <w:pPr>
              <w:spacing w:line="240" w:lineRule="auto"/>
              <w:rPr>
                <w:rFonts w:ascii="Times New Roman" w:eastAsia="Times New Roman" w:hAnsi="Times New Roman" w:cs="Times New Roman"/>
                <w:color w:val="000000"/>
              </w:rPr>
            </w:pPr>
            <w:proofErr w:type="spellStart"/>
            <w:r w:rsidRPr="00E66AF0">
              <w:rPr>
                <w:rFonts w:ascii="Times New Roman" w:eastAsia="Times New Roman" w:hAnsi="Times New Roman" w:cs="Times New Roman"/>
                <w:color w:val="000000"/>
              </w:rPr>
              <w:t>Heptaganeidae</w:t>
            </w:r>
            <w:proofErr w:type="spellEnd"/>
          </w:p>
        </w:tc>
        <w:tc>
          <w:tcPr>
            <w:tcW w:w="2380" w:type="dxa"/>
            <w:tcBorders>
              <w:top w:val="nil"/>
              <w:left w:val="nil"/>
              <w:bottom w:val="nil"/>
              <w:right w:val="nil"/>
            </w:tcBorders>
            <w:shd w:val="clear" w:color="auto" w:fill="auto"/>
            <w:noWrap/>
            <w:vAlign w:val="bottom"/>
            <w:hideMark/>
          </w:tcPr>
          <w:p w14:paraId="0F2158B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D542D9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0.063 (± 0.078)</w:t>
            </w:r>
          </w:p>
        </w:tc>
        <w:tc>
          <w:tcPr>
            <w:tcW w:w="1460" w:type="dxa"/>
            <w:tcBorders>
              <w:top w:val="nil"/>
              <w:left w:val="nil"/>
              <w:bottom w:val="nil"/>
              <w:right w:val="nil"/>
            </w:tcBorders>
            <w:shd w:val="clear" w:color="auto" w:fill="auto"/>
            <w:noWrap/>
            <w:vAlign w:val="bottom"/>
            <w:hideMark/>
          </w:tcPr>
          <w:p w14:paraId="7165783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5CC1633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(3/5) 60%</w:t>
            </w:r>
          </w:p>
        </w:tc>
      </w:tr>
      <w:tr w:rsidR="00E66AF0" w:rsidRPr="00E66AF0" w14:paraId="3C966599" w14:textId="77777777" w:rsidTr="00115E85">
        <w:trPr>
          <w:trHeight w:val="288"/>
        </w:trPr>
        <w:tc>
          <w:tcPr>
            <w:tcW w:w="98" w:type="dxa"/>
            <w:tcBorders>
              <w:top w:val="nil"/>
              <w:left w:val="nil"/>
              <w:bottom w:val="nil"/>
              <w:right w:val="nil"/>
            </w:tcBorders>
            <w:shd w:val="clear" w:color="auto" w:fill="auto"/>
            <w:noWrap/>
            <w:vAlign w:val="bottom"/>
            <w:hideMark/>
          </w:tcPr>
          <w:p w14:paraId="334BC65F"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7D05F55D" w14:textId="77777777" w:rsidR="00E66AF0" w:rsidRPr="00E66AF0" w:rsidRDefault="00E66AF0" w:rsidP="00115E85">
            <w:pPr>
              <w:spacing w:line="240" w:lineRule="auto"/>
              <w:rPr>
                <w:rFonts w:ascii="Times New Roman" w:eastAsia="Times New Roman" w:hAnsi="Times New Roman" w:cs="Times New Roman"/>
                <w:i/>
                <w:iCs/>
                <w:color w:val="000000"/>
              </w:rPr>
            </w:pPr>
            <w:r w:rsidRPr="00E66AF0">
              <w:rPr>
                <w:rFonts w:ascii="Times New Roman" w:eastAsia="Times New Roman" w:hAnsi="Times New Roman" w:cs="Times New Roman"/>
                <w:i/>
                <w:iCs/>
                <w:color w:val="000000"/>
              </w:rPr>
              <w:t xml:space="preserve">Gammarus </w:t>
            </w:r>
            <w:proofErr w:type="spellStart"/>
            <w:r w:rsidRPr="00E66AF0">
              <w:rPr>
                <w:rFonts w:ascii="Times New Roman" w:eastAsia="Times New Roman" w:hAnsi="Times New Roman" w:cs="Times New Roman"/>
                <w:i/>
                <w:iCs/>
                <w:color w:val="000000"/>
              </w:rPr>
              <w:t>pulex</w:t>
            </w:r>
            <w:proofErr w:type="spellEnd"/>
          </w:p>
        </w:tc>
        <w:tc>
          <w:tcPr>
            <w:tcW w:w="2380" w:type="dxa"/>
            <w:tcBorders>
              <w:top w:val="nil"/>
              <w:left w:val="nil"/>
              <w:bottom w:val="nil"/>
              <w:right w:val="nil"/>
            </w:tcBorders>
            <w:shd w:val="clear" w:color="auto" w:fill="auto"/>
            <w:noWrap/>
            <w:vAlign w:val="bottom"/>
            <w:hideMark/>
          </w:tcPr>
          <w:p w14:paraId="68A2F33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4E5A27C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0.094 (± 0.061)</w:t>
            </w:r>
          </w:p>
        </w:tc>
        <w:tc>
          <w:tcPr>
            <w:tcW w:w="1460" w:type="dxa"/>
            <w:tcBorders>
              <w:top w:val="nil"/>
              <w:left w:val="nil"/>
              <w:bottom w:val="nil"/>
              <w:right w:val="nil"/>
            </w:tcBorders>
            <w:shd w:val="clear" w:color="auto" w:fill="auto"/>
            <w:noWrap/>
            <w:vAlign w:val="bottom"/>
            <w:hideMark/>
          </w:tcPr>
          <w:p w14:paraId="73B4D51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7B60688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(1/2) 50%</w:t>
            </w:r>
          </w:p>
        </w:tc>
      </w:tr>
      <w:tr w:rsidR="00E66AF0" w:rsidRPr="00E66AF0" w14:paraId="6969E779" w14:textId="77777777" w:rsidTr="00115E85">
        <w:trPr>
          <w:trHeight w:val="288"/>
        </w:trPr>
        <w:tc>
          <w:tcPr>
            <w:tcW w:w="2060" w:type="dxa"/>
            <w:gridSpan w:val="2"/>
            <w:tcBorders>
              <w:top w:val="nil"/>
              <w:left w:val="nil"/>
              <w:bottom w:val="nil"/>
              <w:right w:val="nil"/>
            </w:tcBorders>
            <w:shd w:val="clear" w:color="auto" w:fill="auto"/>
            <w:noWrap/>
            <w:vAlign w:val="bottom"/>
            <w:hideMark/>
          </w:tcPr>
          <w:p w14:paraId="70C469BC" w14:textId="77777777" w:rsidR="00E66AF0" w:rsidRPr="00E66AF0" w:rsidRDefault="00E66AF0" w:rsidP="00115E85">
            <w:pPr>
              <w:spacing w:line="240" w:lineRule="auto"/>
              <w:rPr>
                <w:rFonts w:ascii="Times New Roman" w:eastAsia="Times New Roman" w:hAnsi="Times New Roman" w:cs="Times New Roman"/>
                <w:b/>
                <w:bCs/>
                <w:i/>
                <w:iCs/>
                <w:color w:val="000000"/>
              </w:rPr>
            </w:pPr>
            <w:r w:rsidRPr="00E66AF0">
              <w:rPr>
                <w:rFonts w:ascii="Times New Roman" w:eastAsia="Times New Roman" w:hAnsi="Times New Roman" w:cs="Times New Roman"/>
                <w:b/>
                <w:bCs/>
                <w:i/>
                <w:iCs/>
                <w:color w:val="000000"/>
              </w:rPr>
              <w:t>Feeding</w:t>
            </w:r>
          </w:p>
        </w:tc>
        <w:tc>
          <w:tcPr>
            <w:tcW w:w="2380" w:type="dxa"/>
            <w:tcBorders>
              <w:top w:val="nil"/>
              <w:left w:val="nil"/>
              <w:bottom w:val="nil"/>
              <w:right w:val="nil"/>
            </w:tcBorders>
            <w:shd w:val="clear" w:color="auto" w:fill="auto"/>
            <w:noWrap/>
            <w:vAlign w:val="bottom"/>
            <w:hideMark/>
          </w:tcPr>
          <w:p w14:paraId="3A193241" w14:textId="77777777" w:rsidR="00E66AF0" w:rsidRPr="00E66AF0" w:rsidRDefault="00E66AF0" w:rsidP="00115E85">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3A9C33F" w14:textId="77777777" w:rsidR="00E66AF0" w:rsidRPr="00E66AF0" w:rsidRDefault="00E66AF0" w:rsidP="00115E85">
            <w:pPr>
              <w:spacing w:line="240" w:lineRule="auto"/>
              <w:jc w:val="center"/>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52B44DB5" w14:textId="77777777" w:rsidR="00E66AF0" w:rsidRPr="00E66AF0" w:rsidRDefault="00E66AF0" w:rsidP="00115E85">
            <w:pPr>
              <w:spacing w:line="240" w:lineRule="auto"/>
              <w:jc w:val="center"/>
              <w:rPr>
                <w:rFonts w:ascii="Times New Roman" w:eastAsia="Times New Roman" w:hAnsi="Times New Roman" w:cs="Times New Roman"/>
              </w:rPr>
            </w:pPr>
          </w:p>
        </w:tc>
        <w:tc>
          <w:tcPr>
            <w:tcW w:w="1700" w:type="dxa"/>
            <w:tcBorders>
              <w:top w:val="nil"/>
              <w:left w:val="nil"/>
              <w:bottom w:val="nil"/>
              <w:right w:val="nil"/>
            </w:tcBorders>
            <w:shd w:val="clear" w:color="auto" w:fill="auto"/>
            <w:noWrap/>
            <w:vAlign w:val="bottom"/>
            <w:hideMark/>
          </w:tcPr>
          <w:p w14:paraId="6A16027A" w14:textId="77777777" w:rsidR="00E66AF0" w:rsidRPr="00E66AF0" w:rsidRDefault="00E66AF0" w:rsidP="00115E85">
            <w:pPr>
              <w:spacing w:line="240" w:lineRule="auto"/>
              <w:jc w:val="center"/>
              <w:rPr>
                <w:rFonts w:ascii="Times New Roman" w:eastAsia="Times New Roman" w:hAnsi="Times New Roman" w:cs="Times New Roman"/>
              </w:rPr>
            </w:pPr>
          </w:p>
        </w:tc>
      </w:tr>
      <w:tr w:rsidR="00E66AF0" w:rsidRPr="00E66AF0" w14:paraId="72DBB716" w14:textId="77777777" w:rsidTr="00115E85">
        <w:trPr>
          <w:trHeight w:val="288"/>
        </w:trPr>
        <w:tc>
          <w:tcPr>
            <w:tcW w:w="98" w:type="dxa"/>
            <w:tcBorders>
              <w:top w:val="nil"/>
              <w:left w:val="nil"/>
              <w:bottom w:val="nil"/>
              <w:right w:val="nil"/>
            </w:tcBorders>
            <w:shd w:val="clear" w:color="auto" w:fill="auto"/>
            <w:noWrap/>
            <w:vAlign w:val="bottom"/>
            <w:hideMark/>
          </w:tcPr>
          <w:p w14:paraId="1EE1EF0A" w14:textId="77777777" w:rsidR="00E66AF0" w:rsidRPr="00E66AF0" w:rsidRDefault="00E66AF0" w:rsidP="00115E85">
            <w:pPr>
              <w:spacing w:line="240" w:lineRule="auto"/>
              <w:jc w:val="center"/>
              <w:rPr>
                <w:rFonts w:ascii="Times New Roman" w:eastAsia="Times New Roman" w:hAnsi="Times New Roman" w:cs="Times New Roman"/>
              </w:rPr>
            </w:pPr>
          </w:p>
        </w:tc>
        <w:tc>
          <w:tcPr>
            <w:tcW w:w="1962" w:type="dxa"/>
            <w:vMerge w:val="restart"/>
            <w:tcBorders>
              <w:top w:val="nil"/>
              <w:left w:val="nil"/>
              <w:bottom w:val="nil"/>
              <w:right w:val="nil"/>
            </w:tcBorders>
            <w:shd w:val="clear" w:color="auto" w:fill="auto"/>
            <w:noWrap/>
            <w:vAlign w:val="center"/>
            <w:hideMark/>
          </w:tcPr>
          <w:p w14:paraId="5C9C238E"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Filterers</w:t>
            </w:r>
          </w:p>
        </w:tc>
        <w:tc>
          <w:tcPr>
            <w:tcW w:w="2380" w:type="dxa"/>
            <w:tcBorders>
              <w:top w:val="nil"/>
              <w:left w:val="nil"/>
              <w:bottom w:val="nil"/>
              <w:right w:val="nil"/>
            </w:tcBorders>
            <w:shd w:val="clear" w:color="auto" w:fill="auto"/>
            <w:noWrap/>
            <w:vAlign w:val="bottom"/>
            <w:hideMark/>
          </w:tcPr>
          <w:p w14:paraId="6D0CDF0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1D493E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0.047 (± 0.027)</w:t>
            </w:r>
          </w:p>
        </w:tc>
        <w:tc>
          <w:tcPr>
            <w:tcW w:w="1460" w:type="dxa"/>
            <w:tcBorders>
              <w:top w:val="nil"/>
              <w:left w:val="nil"/>
              <w:bottom w:val="nil"/>
              <w:right w:val="nil"/>
            </w:tcBorders>
            <w:shd w:val="clear" w:color="auto" w:fill="auto"/>
            <w:noWrap/>
            <w:vAlign w:val="bottom"/>
            <w:hideMark/>
          </w:tcPr>
          <w:p w14:paraId="733A59F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209AEF5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(6/7) 86%</w:t>
            </w:r>
          </w:p>
        </w:tc>
      </w:tr>
      <w:tr w:rsidR="00E66AF0" w:rsidRPr="00E66AF0" w14:paraId="3417A601" w14:textId="77777777" w:rsidTr="00115E85">
        <w:trPr>
          <w:trHeight w:val="288"/>
        </w:trPr>
        <w:tc>
          <w:tcPr>
            <w:tcW w:w="98" w:type="dxa"/>
            <w:tcBorders>
              <w:top w:val="nil"/>
              <w:left w:val="nil"/>
              <w:bottom w:val="nil"/>
              <w:right w:val="nil"/>
            </w:tcBorders>
            <w:shd w:val="clear" w:color="auto" w:fill="auto"/>
            <w:noWrap/>
            <w:vAlign w:val="bottom"/>
            <w:hideMark/>
          </w:tcPr>
          <w:p w14:paraId="720BBDD3"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477E4B27"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315E89D"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A89B9E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0.030 (± 0.018)</w:t>
            </w:r>
          </w:p>
        </w:tc>
        <w:tc>
          <w:tcPr>
            <w:tcW w:w="1460" w:type="dxa"/>
            <w:tcBorders>
              <w:top w:val="nil"/>
              <w:left w:val="nil"/>
              <w:bottom w:val="nil"/>
              <w:right w:val="nil"/>
            </w:tcBorders>
            <w:shd w:val="clear" w:color="auto" w:fill="auto"/>
            <w:noWrap/>
            <w:vAlign w:val="bottom"/>
            <w:hideMark/>
          </w:tcPr>
          <w:p w14:paraId="60ACEDB0"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652769ED"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703484FE" w14:textId="77777777" w:rsidTr="00115E85">
        <w:trPr>
          <w:trHeight w:val="288"/>
        </w:trPr>
        <w:tc>
          <w:tcPr>
            <w:tcW w:w="98" w:type="dxa"/>
            <w:tcBorders>
              <w:top w:val="nil"/>
              <w:left w:val="nil"/>
              <w:bottom w:val="nil"/>
              <w:right w:val="nil"/>
            </w:tcBorders>
            <w:shd w:val="clear" w:color="auto" w:fill="auto"/>
            <w:noWrap/>
            <w:vAlign w:val="bottom"/>
            <w:hideMark/>
          </w:tcPr>
          <w:p w14:paraId="0A484657"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val="restart"/>
            <w:tcBorders>
              <w:top w:val="nil"/>
              <w:left w:val="nil"/>
              <w:bottom w:val="nil"/>
              <w:right w:val="nil"/>
            </w:tcBorders>
            <w:shd w:val="clear" w:color="auto" w:fill="auto"/>
            <w:noWrap/>
            <w:vAlign w:val="center"/>
            <w:hideMark/>
          </w:tcPr>
          <w:p w14:paraId="11BF2025"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Predator</w:t>
            </w:r>
          </w:p>
        </w:tc>
        <w:tc>
          <w:tcPr>
            <w:tcW w:w="2380" w:type="dxa"/>
            <w:tcBorders>
              <w:top w:val="nil"/>
              <w:left w:val="nil"/>
              <w:bottom w:val="nil"/>
              <w:right w:val="nil"/>
            </w:tcBorders>
            <w:shd w:val="clear" w:color="auto" w:fill="auto"/>
            <w:noWrap/>
            <w:vAlign w:val="bottom"/>
            <w:hideMark/>
          </w:tcPr>
          <w:p w14:paraId="6C40E92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13E7D5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0.223 (± 0.097)</w:t>
            </w:r>
          </w:p>
        </w:tc>
        <w:tc>
          <w:tcPr>
            <w:tcW w:w="1460" w:type="dxa"/>
            <w:tcBorders>
              <w:top w:val="nil"/>
              <w:left w:val="nil"/>
              <w:bottom w:val="nil"/>
              <w:right w:val="nil"/>
            </w:tcBorders>
            <w:shd w:val="clear" w:color="auto" w:fill="auto"/>
            <w:noWrap/>
            <w:vAlign w:val="bottom"/>
            <w:hideMark/>
          </w:tcPr>
          <w:p w14:paraId="255ABD7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2523F9D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(3/7) 43%</w:t>
            </w:r>
          </w:p>
        </w:tc>
      </w:tr>
      <w:tr w:rsidR="00E66AF0" w:rsidRPr="00E66AF0" w14:paraId="65E4FDA9" w14:textId="77777777" w:rsidTr="00115E85">
        <w:trPr>
          <w:trHeight w:val="288"/>
        </w:trPr>
        <w:tc>
          <w:tcPr>
            <w:tcW w:w="98" w:type="dxa"/>
            <w:tcBorders>
              <w:top w:val="nil"/>
              <w:left w:val="nil"/>
              <w:bottom w:val="nil"/>
              <w:right w:val="nil"/>
            </w:tcBorders>
            <w:shd w:val="clear" w:color="auto" w:fill="auto"/>
            <w:noWrap/>
            <w:vAlign w:val="bottom"/>
            <w:hideMark/>
          </w:tcPr>
          <w:p w14:paraId="29DF06F3"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6C1A69B9"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4C56C90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386BF8D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0.120 (± 0.063)</w:t>
            </w:r>
          </w:p>
        </w:tc>
        <w:tc>
          <w:tcPr>
            <w:tcW w:w="1460" w:type="dxa"/>
            <w:tcBorders>
              <w:top w:val="nil"/>
              <w:left w:val="nil"/>
              <w:bottom w:val="nil"/>
              <w:right w:val="nil"/>
            </w:tcBorders>
            <w:shd w:val="clear" w:color="auto" w:fill="auto"/>
            <w:noWrap/>
            <w:vAlign w:val="bottom"/>
            <w:hideMark/>
          </w:tcPr>
          <w:p w14:paraId="21358F3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1EC425A5"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76AE6E51" w14:textId="77777777" w:rsidTr="00115E85">
        <w:trPr>
          <w:trHeight w:val="288"/>
        </w:trPr>
        <w:tc>
          <w:tcPr>
            <w:tcW w:w="98" w:type="dxa"/>
            <w:tcBorders>
              <w:top w:val="nil"/>
              <w:left w:val="nil"/>
              <w:bottom w:val="nil"/>
              <w:right w:val="nil"/>
            </w:tcBorders>
            <w:shd w:val="clear" w:color="auto" w:fill="auto"/>
            <w:noWrap/>
            <w:vAlign w:val="bottom"/>
            <w:hideMark/>
          </w:tcPr>
          <w:p w14:paraId="1CE42A9E"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val="restart"/>
            <w:tcBorders>
              <w:top w:val="nil"/>
              <w:left w:val="nil"/>
              <w:bottom w:val="nil"/>
              <w:right w:val="nil"/>
            </w:tcBorders>
            <w:shd w:val="clear" w:color="auto" w:fill="auto"/>
            <w:noWrap/>
            <w:vAlign w:val="center"/>
            <w:hideMark/>
          </w:tcPr>
          <w:p w14:paraId="7843AA4A"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Omnivore</w:t>
            </w:r>
          </w:p>
        </w:tc>
        <w:tc>
          <w:tcPr>
            <w:tcW w:w="2380" w:type="dxa"/>
            <w:tcBorders>
              <w:top w:val="nil"/>
              <w:left w:val="nil"/>
              <w:bottom w:val="nil"/>
              <w:right w:val="nil"/>
            </w:tcBorders>
            <w:shd w:val="clear" w:color="auto" w:fill="auto"/>
            <w:noWrap/>
            <w:vAlign w:val="bottom"/>
            <w:hideMark/>
          </w:tcPr>
          <w:p w14:paraId="56E8D03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C89C200"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0.126 (± 0.076)</w:t>
            </w:r>
          </w:p>
        </w:tc>
        <w:tc>
          <w:tcPr>
            <w:tcW w:w="1460" w:type="dxa"/>
            <w:tcBorders>
              <w:top w:val="nil"/>
              <w:left w:val="nil"/>
              <w:bottom w:val="nil"/>
              <w:right w:val="nil"/>
            </w:tcBorders>
            <w:shd w:val="clear" w:color="auto" w:fill="auto"/>
            <w:noWrap/>
            <w:vAlign w:val="bottom"/>
            <w:hideMark/>
          </w:tcPr>
          <w:p w14:paraId="0BE44DE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508E1AF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(4/7) 57%</w:t>
            </w:r>
          </w:p>
        </w:tc>
      </w:tr>
      <w:tr w:rsidR="00E66AF0" w:rsidRPr="00E66AF0" w14:paraId="20721615" w14:textId="77777777" w:rsidTr="00115E85">
        <w:trPr>
          <w:trHeight w:val="288"/>
        </w:trPr>
        <w:tc>
          <w:tcPr>
            <w:tcW w:w="98" w:type="dxa"/>
            <w:tcBorders>
              <w:top w:val="nil"/>
              <w:left w:val="nil"/>
              <w:bottom w:val="nil"/>
              <w:right w:val="nil"/>
            </w:tcBorders>
            <w:shd w:val="clear" w:color="auto" w:fill="auto"/>
            <w:noWrap/>
            <w:vAlign w:val="bottom"/>
            <w:hideMark/>
          </w:tcPr>
          <w:p w14:paraId="1CCB16C9"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3635CC26"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48E5B14F"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2ED005E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0.063 (± 0.035)</w:t>
            </w:r>
          </w:p>
        </w:tc>
        <w:tc>
          <w:tcPr>
            <w:tcW w:w="1460" w:type="dxa"/>
            <w:tcBorders>
              <w:top w:val="nil"/>
              <w:left w:val="nil"/>
              <w:bottom w:val="nil"/>
              <w:right w:val="nil"/>
            </w:tcBorders>
            <w:shd w:val="clear" w:color="auto" w:fill="auto"/>
            <w:noWrap/>
            <w:vAlign w:val="bottom"/>
            <w:hideMark/>
          </w:tcPr>
          <w:p w14:paraId="7D805A5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4015D3FB"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25AB8475" w14:textId="77777777" w:rsidTr="00115E85">
        <w:trPr>
          <w:trHeight w:val="288"/>
        </w:trPr>
        <w:tc>
          <w:tcPr>
            <w:tcW w:w="98" w:type="dxa"/>
            <w:tcBorders>
              <w:top w:val="nil"/>
              <w:left w:val="nil"/>
              <w:bottom w:val="nil"/>
              <w:right w:val="nil"/>
            </w:tcBorders>
            <w:shd w:val="clear" w:color="auto" w:fill="auto"/>
            <w:noWrap/>
            <w:vAlign w:val="bottom"/>
            <w:hideMark/>
          </w:tcPr>
          <w:p w14:paraId="53C5EB8F"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val="restart"/>
            <w:tcBorders>
              <w:top w:val="nil"/>
              <w:left w:val="nil"/>
              <w:bottom w:val="nil"/>
              <w:right w:val="nil"/>
            </w:tcBorders>
            <w:shd w:val="clear" w:color="auto" w:fill="auto"/>
            <w:noWrap/>
            <w:vAlign w:val="center"/>
            <w:hideMark/>
          </w:tcPr>
          <w:p w14:paraId="6AEAB52C"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Collector</w:t>
            </w:r>
          </w:p>
        </w:tc>
        <w:tc>
          <w:tcPr>
            <w:tcW w:w="2380" w:type="dxa"/>
            <w:tcBorders>
              <w:top w:val="nil"/>
              <w:left w:val="nil"/>
              <w:bottom w:val="nil"/>
              <w:right w:val="nil"/>
            </w:tcBorders>
            <w:shd w:val="clear" w:color="auto" w:fill="auto"/>
            <w:noWrap/>
            <w:vAlign w:val="bottom"/>
            <w:hideMark/>
          </w:tcPr>
          <w:p w14:paraId="49354C39"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CBA0EA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0.390 (± 0.262)</w:t>
            </w:r>
          </w:p>
        </w:tc>
        <w:tc>
          <w:tcPr>
            <w:tcW w:w="1460" w:type="dxa"/>
            <w:tcBorders>
              <w:top w:val="nil"/>
              <w:left w:val="nil"/>
              <w:bottom w:val="nil"/>
              <w:right w:val="nil"/>
            </w:tcBorders>
            <w:shd w:val="clear" w:color="auto" w:fill="auto"/>
            <w:noWrap/>
            <w:vAlign w:val="bottom"/>
            <w:hideMark/>
          </w:tcPr>
          <w:p w14:paraId="28D0343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val="restart"/>
            <w:tcBorders>
              <w:top w:val="nil"/>
              <w:left w:val="nil"/>
              <w:bottom w:val="nil"/>
              <w:right w:val="nil"/>
            </w:tcBorders>
            <w:shd w:val="clear" w:color="auto" w:fill="auto"/>
            <w:noWrap/>
            <w:vAlign w:val="center"/>
            <w:hideMark/>
          </w:tcPr>
          <w:p w14:paraId="56701A3D"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(4/7) 57%</w:t>
            </w:r>
          </w:p>
        </w:tc>
      </w:tr>
      <w:tr w:rsidR="00E66AF0" w:rsidRPr="00E66AF0" w14:paraId="644AA55B" w14:textId="77777777" w:rsidTr="00115E85">
        <w:trPr>
          <w:trHeight w:val="288"/>
        </w:trPr>
        <w:tc>
          <w:tcPr>
            <w:tcW w:w="98" w:type="dxa"/>
            <w:tcBorders>
              <w:top w:val="nil"/>
              <w:left w:val="nil"/>
              <w:bottom w:val="nil"/>
              <w:right w:val="nil"/>
            </w:tcBorders>
            <w:shd w:val="clear" w:color="auto" w:fill="auto"/>
            <w:noWrap/>
            <w:vAlign w:val="bottom"/>
            <w:hideMark/>
          </w:tcPr>
          <w:p w14:paraId="40053E5E"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vMerge/>
            <w:tcBorders>
              <w:top w:val="nil"/>
              <w:left w:val="nil"/>
              <w:bottom w:val="nil"/>
              <w:right w:val="nil"/>
            </w:tcBorders>
            <w:vAlign w:val="center"/>
            <w:hideMark/>
          </w:tcPr>
          <w:p w14:paraId="24366907" w14:textId="77777777" w:rsidR="00E66AF0" w:rsidRPr="00E66AF0" w:rsidRDefault="00E66AF0" w:rsidP="00115E85">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667F2F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6CE06A6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0.120 (± 0.087)</w:t>
            </w:r>
          </w:p>
        </w:tc>
        <w:tc>
          <w:tcPr>
            <w:tcW w:w="1460" w:type="dxa"/>
            <w:tcBorders>
              <w:top w:val="nil"/>
              <w:left w:val="nil"/>
              <w:bottom w:val="nil"/>
              <w:right w:val="nil"/>
            </w:tcBorders>
            <w:shd w:val="clear" w:color="auto" w:fill="auto"/>
            <w:noWrap/>
            <w:vAlign w:val="bottom"/>
            <w:hideMark/>
          </w:tcPr>
          <w:p w14:paraId="785FFE76"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vMerge/>
            <w:tcBorders>
              <w:top w:val="nil"/>
              <w:left w:val="nil"/>
              <w:bottom w:val="nil"/>
              <w:right w:val="nil"/>
            </w:tcBorders>
            <w:vAlign w:val="center"/>
            <w:hideMark/>
          </w:tcPr>
          <w:p w14:paraId="15B1E27D" w14:textId="77777777" w:rsidR="00E66AF0" w:rsidRPr="00E66AF0" w:rsidRDefault="00E66AF0" w:rsidP="00115E85">
            <w:pPr>
              <w:spacing w:line="240" w:lineRule="auto"/>
              <w:rPr>
                <w:rFonts w:ascii="Times New Roman" w:eastAsia="Times New Roman" w:hAnsi="Times New Roman" w:cs="Times New Roman"/>
                <w:color w:val="000000"/>
              </w:rPr>
            </w:pPr>
          </w:p>
        </w:tc>
      </w:tr>
      <w:tr w:rsidR="00E66AF0" w:rsidRPr="00E66AF0" w14:paraId="4C1023CE" w14:textId="77777777" w:rsidTr="00115E85">
        <w:trPr>
          <w:trHeight w:val="288"/>
        </w:trPr>
        <w:tc>
          <w:tcPr>
            <w:tcW w:w="98" w:type="dxa"/>
            <w:tcBorders>
              <w:top w:val="nil"/>
              <w:left w:val="nil"/>
              <w:bottom w:val="nil"/>
              <w:right w:val="nil"/>
            </w:tcBorders>
            <w:shd w:val="clear" w:color="auto" w:fill="auto"/>
            <w:noWrap/>
            <w:vAlign w:val="bottom"/>
            <w:hideMark/>
          </w:tcPr>
          <w:p w14:paraId="1EB68CFF"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5C4BCC8E"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Scraper</w:t>
            </w:r>
          </w:p>
        </w:tc>
        <w:tc>
          <w:tcPr>
            <w:tcW w:w="2380" w:type="dxa"/>
            <w:tcBorders>
              <w:top w:val="nil"/>
              <w:left w:val="nil"/>
              <w:bottom w:val="nil"/>
              <w:right w:val="nil"/>
            </w:tcBorders>
            <w:shd w:val="clear" w:color="auto" w:fill="auto"/>
            <w:noWrap/>
            <w:vAlign w:val="bottom"/>
            <w:hideMark/>
          </w:tcPr>
          <w:p w14:paraId="62F34D1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2AE1153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0.130 (± 0.156)</w:t>
            </w:r>
          </w:p>
        </w:tc>
        <w:tc>
          <w:tcPr>
            <w:tcW w:w="1460" w:type="dxa"/>
            <w:tcBorders>
              <w:top w:val="nil"/>
              <w:left w:val="nil"/>
              <w:bottom w:val="nil"/>
              <w:right w:val="nil"/>
            </w:tcBorders>
            <w:shd w:val="clear" w:color="auto" w:fill="auto"/>
            <w:noWrap/>
            <w:vAlign w:val="bottom"/>
            <w:hideMark/>
          </w:tcPr>
          <w:p w14:paraId="17F8B39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3B0F111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 0%</w:t>
            </w:r>
          </w:p>
        </w:tc>
      </w:tr>
      <w:tr w:rsidR="00E66AF0" w:rsidRPr="00E66AF0" w14:paraId="1B089E6B" w14:textId="77777777" w:rsidTr="00115E85">
        <w:trPr>
          <w:trHeight w:val="288"/>
        </w:trPr>
        <w:tc>
          <w:tcPr>
            <w:tcW w:w="98" w:type="dxa"/>
            <w:tcBorders>
              <w:top w:val="nil"/>
              <w:left w:val="nil"/>
              <w:bottom w:val="nil"/>
              <w:right w:val="nil"/>
            </w:tcBorders>
            <w:shd w:val="clear" w:color="auto" w:fill="auto"/>
            <w:noWrap/>
            <w:vAlign w:val="bottom"/>
            <w:hideMark/>
          </w:tcPr>
          <w:p w14:paraId="223A7E5D"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390E782C"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Grazer</w:t>
            </w:r>
          </w:p>
        </w:tc>
        <w:tc>
          <w:tcPr>
            <w:tcW w:w="2380" w:type="dxa"/>
            <w:tcBorders>
              <w:top w:val="nil"/>
              <w:left w:val="nil"/>
              <w:bottom w:val="nil"/>
              <w:right w:val="nil"/>
            </w:tcBorders>
            <w:shd w:val="clear" w:color="auto" w:fill="auto"/>
            <w:noWrap/>
            <w:vAlign w:val="bottom"/>
            <w:hideMark/>
          </w:tcPr>
          <w:p w14:paraId="7B250746"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694F9B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0.162 (± 0.154)</w:t>
            </w:r>
          </w:p>
        </w:tc>
        <w:tc>
          <w:tcPr>
            <w:tcW w:w="1460" w:type="dxa"/>
            <w:tcBorders>
              <w:top w:val="nil"/>
              <w:left w:val="nil"/>
              <w:bottom w:val="nil"/>
              <w:right w:val="nil"/>
            </w:tcBorders>
            <w:shd w:val="clear" w:color="auto" w:fill="auto"/>
            <w:noWrap/>
            <w:vAlign w:val="bottom"/>
            <w:hideMark/>
          </w:tcPr>
          <w:p w14:paraId="2C3CFA4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3A599DD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(4/5) 80%</w:t>
            </w:r>
          </w:p>
        </w:tc>
      </w:tr>
      <w:tr w:rsidR="00E66AF0" w:rsidRPr="00E66AF0" w14:paraId="4C3B6B0F" w14:textId="77777777" w:rsidTr="00115E85">
        <w:trPr>
          <w:trHeight w:val="288"/>
        </w:trPr>
        <w:tc>
          <w:tcPr>
            <w:tcW w:w="98" w:type="dxa"/>
            <w:tcBorders>
              <w:top w:val="nil"/>
              <w:left w:val="nil"/>
              <w:bottom w:val="nil"/>
              <w:right w:val="nil"/>
            </w:tcBorders>
            <w:shd w:val="clear" w:color="auto" w:fill="auto"/>
            <w:noWrap/>
            <w:vAlign w:val="bottom"/>
            <w:hideMark/>
          </w:tcPr>
          <w:p w14:paraId="34B21E87"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3049E89A"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Shredder</w:t>
            </w:r>
          </w:p>
        </w:tc>
        <w:tc>
          <w:tcPr>
            <w:tcW w:w="2380" w:type="dxa"/>
            <w:tcBorders>
              <w:top w:val="nil"/>
              <w:left w:val="nil"/>
              <w:bottom w:val="nil"/>
              <w:right w:val="nil"/>
            </w:tcBorders>
            <w:shd w:val="clear" w:color="auto" w:fill="auto"/>
            <w:noWrap/>
            <w:vAlign w:val="bottom"/>
            <w:hideMark/>
          </w:tcPr>
          <w:p w14:paraId="1E6D215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BA474FF"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0.120 (± 0.065)</w:t>
            </w:r>
          </w:p>
        </w:tc>
        <w:tc>
          <w:tcPr>
            <w:tcW w:w="1460" w:type="dxa"/>
            <w:tcBorders>
              <w:top w:val="nil"/>
              <w:left w:val="nil"/>
              <w:bottom w:val="nil"/>
              <w:right w:val="nil"/>
            </w:tcBorders>
            <w:shd w:val="clear" w:color="auto" w:fill="auto"/>
            <w:noWrap/>
            <w:vAlign w:val="bottom"/>
            <w:hideMark/>
          </w:tcPr>
          <w:p w14:paraId="4F29408A"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7C9DC92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 0%</w:t>
            </w:r>
          </w:p>
        </w:tc>
      </w:tr>
      <w:tr w:rsidR="00E66AF0" w:rsidRPr="00E66AF0" w14:paraId="62DEC06A" w14:textId="77777777" w:rsidTr="00115E85">
        <w:trPr>
          <w:trHeight w:val="288"/>
        </w:trPr>
        <w:tc>
          <w:tcPr>
            <w:tcW w:w="2060" w:type="dxa"/>
            <w:gridSpan w:val="2"/>
            <w:tcBorders>
              <w:top w:val="nil"/>
              <w:left w:val="nil"/>
              <w:bottom w:val="nil"/>
              <w:right w:val="nil"/>
            </w:tcBorders>
            <w:shd w:val="clear" w:color="auto" w:fill="auto"/>
            <w:noWrap/>
            <w:vAlign w:val="bottom"/>
            <w:hideMark/>
          </w:tcPr>
          <w:p w14:paraId="1E8702C8" w14:textId="77777777" w:rsidR="00E66AF0" w:rsidRPr="00E66AF0" w:rsidRDefault="00E66AF0" w:rsidP="00115E85">
            <w:pPr>
              <w:spacing w:line="240" w:lineRule="auto"/>
              <w:rPr>
                <w:rFonts w:ascii="Times New Roman" w:eastAsia="Times New Roman" w:hAnsi="Times New Roman" w:cs="Times New Roman"/>
                <w:b/>
                <w:bCs/>
                <w:i/>
                <w:iCs/>
                <w:color w:val="000000"/>
              </w:rPr>
            </w:pPr>
            <w:r w:rsidRPr="00E66AF0">
              <w:rPr>
                <w:rFonts w:ascii="Times New Roman" w:eastAsia="Times New Roman" w:hAnsi="Times New Roman" w:cs="Times New Roman"/>
                <w:b/>
                <w:bCs/>
                <w:i/>
                <w:iCs/>
                <w:color w:val="000000"/>
              </w:rPr>
              <w:t>Basal</w:t>
            </w:r>
          </w:p>
        </w:tc>
        <w:tc>
          <w:tcPr>
            <w:tcW w:w="2380" w:type="dxa"/>
            <w:tcBorders>
              <w:top w:val="nil"/>
              <w:left w:val="nil"/>
              <w:bottom w:val="nil"/>
              <w:right w:val="nil"/>
            </w:tcBorders>
            <w:shd w:val="clear" w:color="auto" w:fill="auto"/>
            <w:noWrap/>
            <w:vAlign w:val="bottom"/>
            <w:hideMark/>
          </w:tcPr>
          <w:p w14:paraId="3C826E73" w14:textId="77777777" w:rsidR="00E66AF0" w:rsidRPr="00E66AF0" w:rsidRDefault="00E66AF0" w:rsidP="00115E85">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2D409AA" w14:textId="77777777" w:rsidR="00E66AF0" w:rsidRPr="00E66AF0" w:rsidRDefault="00E66AF0" w:rsidP="00115E85">
            <w:pPr>
              <w:spacing w:line="240" w:lineRule="auto"/>
              <w:jc w:val="center"/>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4B83C16F" w14:textId="77777777" w:rsidR="00E66AF0" w:rsidRPr="00E66AF0" w:rsidRDefault="00E66AF0" w:rsidP="00115E85">
            <w:pPr>
              <w:spacing w:line="240" w:lineRule="auto"/>
              <w:jc w:val="center"/>
              <w:rPr>
                <w:rFonts w:ascii="Times New Roman" w:eastAsia="Times New Roman" w:hAnsi="Times New Roman" w:cs="Times New Roman"/>
              </w:rPr>
            </w:pPr>
          </w:p>
        </w:tc>
        <w:tc>
          <w:tcPr>
            <w:tcW w:w="1700" w:type="dxa"/>
            <w:tcBorders>
              <w:top w:val="nil"/>
              <w:left w:val="nil"/>
              <w:bottom w:val="nil"/>
              <w:right w:val="nil"/>
            </w:tcBorders>
            <w:shd w:val="clear" w:color="auto" w:fill="auto"/>
            <w:noWrap/>
            <w:vAlign w:val="bottom"/>
            <w:hideMark/>
          </w:tcPr>
          <w:p w14:paraId="18A090C6" w14:textId="77777777" w:rsidR="00E66AF0" w:rsidRPr="00E66AF0" w:rsidRDefault="00E66AF0" w:rsidP="00115E85">
            <w:pPr>
              <w:spacing w:line="240" w:lineRule="auto"/>
              <w:jc w:val="center"/>
              <w:rPr>
                <w:rFonts w:ascii="Times New Roman" w:eastAsia="Times New Roman" w:hAnsi="Times New Roman" w:cs="Times New Roman"/>
              </w:rPr>
            </w:pPr>
          </w:p>
        </w:tc>
      </w:tr>
      <w:tr w:rsidR="00E66AF0" w:rsidRPr="00E66AF0" w14:paraId="193BFE7C" w14:textId="77777777" w:rsidTr="00115E85">
        <w:trPr>
          <w:trHeight w:val="288"/>
        </w:trPr>
        <w:tc>
          <w:tcPr>
            <w:tcW w:w="98" w:type="dxa"/>
            <w:tcBorders>
              <w:top w:val="nil"/>
              <w:left w:val="nil"/>
              <w:bottom w:val="nil"/>
              <w:right w:val="nil"/>
            </w:tcBorders>
            <w:shd w:val="clear" w:color="auto" w:fill="auto"/>
            <w:noWrap/>
            <w:vAlign w:val="bottom"/>
            <w:hideMark/>
          </w:tcPr>
          <w:p w14:paraId="16887D19" w14:textId="77777777" w:rsidR="00E66AF0" w:rsidRPr="00E66AF0" w:rsidRDefault="00E66AF0" w:rsidP="00115E85">
            <w:pPr>
              <w:spacing w:line="240" w:lineRule="auto"/>
              <w:jc w:val="center"/>
              <w:rPr>
                <w:rFonts w:ascii="Times New Roman" w:eastAsia="Times New Roman" w:hAnsi="Times New Roman" w:cs="Times New Roman"/>
              </w:rPr>
            </w:pPr>
          </w:p>
        </w:tc>
        <w:tc>
          <w:tcPr>
            <w:tcW w:w="1962" w:type="dxa"/>
            <w:tcBorders>
              <w:top w:val="nil"/>
              <w:left w:val="nil"/>
              <w:bottom w:val="nil"/>
              <w:right w:val="nil"/>
            </w:tcBorders>
            <w:shd w:val="clear" w:color="auto" w:fill="auto"/>
            <w:noWrap/>
            <w:vAlign w:val="bottom"/>
            <w:hideMark/>
          </w:tcPr>
          <w:p w14:paraId="0D33F2B7"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filamentous</w:t>
            </w:r>
          </w:p>
        </w:tc>
        <w:tc>
          <w:tcPr>
            <w:tcW w:w="2380" w:type="dxa"/>
            <w:tcBorders>
              <w:top w:val="nil"/>
              <w:left w:val="nil"/>
              <w:bottom w:val="nil"/>
              <w:right w:val="nil"/>
            </w:tcBorders>
            <w:shd w:val="clear" w:color="auto" w:fill="auto"/>
            <w:noWrap/>
            <w:vAlign w:val="bottom"/>
            <w:hideMark/>
          </w:tcPr>
          <w:p w14:paraId="1CF306A9"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253535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nil"/>
              <w:right w:val="nil"/>
            </w:tcBorders>
            <w:shd w:val="clear" w:color="auto" w:fill="auto"/>
            <w:noWrap/>
            <w:vAlign w:val="bottom"/>
            <w:hideMark/>
          </w:tcPr>
          <w:p w14:paraId="41B20C0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No</w:t>
            </w:r>
          </w:p>
        </w:tc>
        <w:tc>
          <w:tcPr>
            <w:tcW w:w="1700" w:type="dxa"/>
            <w:tcBorders>
              <w:top w:val="nil"/>
              <w:left w:val="nil"/>
              <w:bottom w:val="nil"/>
              <w:right w:val="nil"/>
            </w:tcBorders>
            <w:shd w:val="clear" w:color="auto" w:fill="auto"/>
            <w:noWrap/>
            <w:vAlign w:val="bottom"/>
            <w:hideMark/>
          </w:tcPr>
          <w:p w14:paraId="66850C76"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(1/5) 20%</w:t>
            </w:r>
          </w:p>
        </w:tc>
      </w:tr>
      <w:tr w:rsidR="00E66AF0" w:rsidRPr="00E66AF0" w14:paraId="1BFE28CE" w14:textId="77777777" w:rsidTr="00115E85">
        <w:trPr>
          <w:trHeight w:val="288"/>
        </w:trPr>
        <w:tc>
          <w:tcPr>
            <w:tcW w:w="98" w:type="dxa"/>
            <w:tcBorders>
              <w:top w:val="nil"/>
              <w:left w:val="nil"/>
              <w:bottom w:val="nil"/>
              <w:right w:val="nil"/>
            </w:tcBorders>
            <w:shd w:val="clear" w:color="auto" w:fill="auto"/>
            <w:noWrap/>
            <w:vAlign w:val="bottom"/>
            <w:hideMark/>
          </w:tcPr>
          <w:p w14:paraId="2D9E98F0"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385E0A60"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FBOM</w:t>
            </w:r>
          </w:p>
        </w:tc>
        <w:tc>
          <w:tcPr>
            <w:tcW w:w="2380" w:type="dxa"/>
            <w:tcBorders>
              <w:top w:val="nil"/>
              <w:left w:val="nil"/>
              <w:bottom w:val="nil"/>
              <w:right w:val="nil"/>
            </w:tcBorders>
            <w:shd w:val="clear" w:color="auto" w:fill="auto"/>
            <w:noWrap/>
            <w:vAlign w:val="bottom"/>
            <w:hideMark/>
          </w:tcPr>
          <w:p w14:paraId="0AC0E0E4"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480406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nil"/>
              <w:right w:val="nil"/>
            </w:tcBorders>
            <w:shd w:val="clear" w:color="auto" w:fill="auto"/>
            <w:noWrap/>
            <w:vAlign w:val="bottom"/>
            <w:hideMark/>
          </w:tcPr>
          <w:p w14:paraId="67338462"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3E6AA30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(1/5) 20%</w:t>
            </w:r>
          </w:p>
        </w:tc>
      </w:tr>
      <w:tr w:rsidR="00E66AF0" w:rsidRPr="00E66AF0" w14:paraId="0130F7EB" w14:textId="77777777" w:rsidTr="00115E85">
        <w:trPr>
          <w:trHeight w:val="288"/>
        </w:trPr>
        <w:tc>
          <w:tcPr>
            <w:tcW w:w="98" w:type="dxa"/>
            <w:tcBorders>
              <w:top w:val="nil"/>
              <w:left w:val="nil"/>
              <w:bottom w:val="nil"/>
              <w:right w:val="nil"/>
            </w:tcBorders>
            <w:shd w:val="clear" w:color="auto" w:fill="auto"/>
            <w:noWrap/>
            <w:vAlign w:val="bottom"/>
            <w:hideMark/>
          </w:tcPr>
          <w:p w14:paraId="00701CB7"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680A3C98"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seston</w:t>
            </w:r>
          </w:p>
        </w:tc>
        <w:tc>
          <w:tcPr>
            <w:tcW w:w="2380" w:type="dxa"/>
            <w:tcBorders>
              <w:top w:val="nil"/>
              <w:left w:val="nil"/>
              <w:bottom w:val="nil"/>
              <w:right w:val="nil"/>
            </w:tcBorders>
            <w:shd w:val="clear" w:color="auto" w:fill="auto"/>
            <w:noWrap/>
            <w:vAlign w:val="bottom"/>
            <w:hideMark/>
          </w:tcPr>
          <w:p w14:paraId="6BC38230"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666511D"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nil"/>
              <w:right w:val="nil"/>
            </w:tcBorders>
            <w:shd w:val="clear" w:color="auto" w:fill="auto"/>
            <w:noWrap/>
            <w:vAlign w:val="bottom"/>
            <w:hideMark/>
          </w:tcPr>
          <w:p w14:paraId="5E42B21B"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3FB7973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(4/5) 80%</w:t>
            </w:r>
          </w:p>
        </w:tc>
      </w:tr>
      <w:tr w:rsidR="00E66AF0" w:rsidRPr="00E66AF0" w14:paraId="70C05DF4" w14:textId="77777777" w:rsidTr="00115E85">
        <w:trPr>
          <w:trHeight w:val="288"/>
        </w:trPr>
        <w:tc>
          <w:tcPr>
            <w:tcW w:w="98" w:type="dxa"/>
            <w:tcBorders>
              <w:top w:val="nil"/>
              <w:left w:val="nil"/>
              <w:bottom w:val="nil"/>
              <w:right w:val="nil"/>
            </w:tcBorders>
            <w:shd w:val="clear" w:color="auto" w:fill="auto"/>
            <w:noWrap/>
            <w:vAlign w:val="bottom"/>
            <w:hideMark/>
          </w:tcPr>
          <w:p w14:paraId="4EA3AB2B" w14:textId="77777777" w:rsidR="00E66AF0" w:rsidRPr="00E66AF0" w:rsidRDefault="00E66AF0" w:rsidP="00115E85">
            <w:pPr>
              <w:spacing w:line="240" w:lineRule="auto"/>
              <w:jc w:val="center"/>
              <w:rPr>
                <w:rFonts w:ascii="Times New Roman" w:eastAsia="Times New Roman" w:hAnsi="Times New Roman" w:cs="Times New Roman"/>
                <w:color w:val="000000"/>
              </w:rPr>
            </w:pPr>
          </w:p>
        </w:tc>
        <w:tc>
          <w:tcPr>
            <w:tcW w:w="1962" w:type="dxa"/>
            <w:tcBorders>
              <w:top w:val="nil"/>
              <w:left w:val="nil"/>
              <w:bottom w:val="nil"/>
              <w:right w:val="nil"/>
            </w:tcBorders>
            <w:shd w:val="clear" w:color="auto" w:fill="auto"/>
            <w:noWrap/>
            <w:vAlign w:val="bottom"/>
            <w:hideMark/>
          </w:tcPr>
          <w:p w14:paraId="77EA5E52"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biofilm</w:t>
            </w:r>
          </w:p>
        </w:tc>
        <w:tc>
          <w:tcPr>
            <w:tcW w:w="2380" w:type="dxa"/>
            <w:tcBorders>
              <w:top w:val="nil"/>
              <w:left w:val="nil"/>
              <w:bottom w:val="nil"/>
              <w:right w:val="nil"/>
            </w:tcBorders>
            <w:shd w:val="clear" w:color="auto" w:fill="auto"/>
            <w:noWrap/>
            <w:vAlign w:val="bottom"/>
            <w:hideMark/>
          </w:tcPr>
          <w:p w14:paraId="753162F3"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2AE0B8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nil"/>
              <w:right w:val="nil"/>
            </w:tcBorders>
            <w:shd w:val="clear" w:color="auto" w:fill="auto"/>
            <w:noWrap/>
            <w:vAlign w:val="bottom"/>
            <w:hideMark/>
          </w:tcPr>
          <w:p w14:paraId="69FCE846"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Yes</w:t>
            </w:r>
          </w:p>
        </w:tc>
        <w:tc>
          <w:tcPr>
            <w:tcW w:w="1700" w:type="dxa"/>
            <w:tcBorders>
              <w:top w:val="nil"/>
              <w:left w:val="nil"/>
              <w:bottom w:val="nil"/>
              <w:right w:val="nil"/>
            </w:tcBorders>
            <w:shd w:val="clear" w:color="auto" w:fill="auto"/>
            <w:noWrap/>
            <w:vAlign w:val="bottom"/>
            <w:hideMark/>
          </w:tcPr>
          <w:p w14:paraId="2667A20C"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(3/5) 60%</w:t>
            </w:r>
          </w:p>
        </w:tc>
      </w:tr>
      <w:tr w:rsidR="00E66AF0" w:rsidRPr="00E66AF0" w14:paraId="23DDCE03" w14:textId="77777777" w:rsidTr="00115E85">
        <w:trPr>
          <w:trHeight w:val="288"/>
        </w:trPr>
        <w:tc>
          <w:tcPr>
            <w:tcW w:w="2060" w:type="dxa"/>
            <w:gridSpan w:val="2"/>
            <w:tcBorders>
              <w:top w:val="nil"/>
              <w:left w:val="nil"/>
              <w:bottom w:val="nil"/>
              <w:right w:val="nil"/>
            </w:tcBorders>
            <w:shd w:val="clear" w:color="auto" w:fill="auto"/>
            <w:noWrap/>
            <w:vAlign w:val="bottom"/>
            <w:hideMark/>
          </w:tcPr>
          <w:p w14:paraId="1EE1514E" w14:textId="77777777" w:rsidR="00E66AF0" w:rsidRPr="00E66AF0" w:rsidRDefault="00E66AF0" w:rsidP="00115E85">
            <w:pPr>
              <w:spacing w:line="240" w:lineRule="auto"/>
              <w:rPr>
                <w:rFonts w:ascii="Times New Roman" w:eastAsia="Times New Roman" w:hAnsi="Times New Roman" w:cs="Times New Roman"/>
                <w:b/>
                <w:bCs/>
                <w:i/>
                <w:iCs/>
                <w:color w:val="000000"/>
              </w:rPr>
            </w:pPr>
            <w:r w:rsidRPr="00E66AF0">
              <w:rPr>
                <w:rFonts w:ascii="Times New Roman" w:eastAsia="Times New Roman" w:hAnsi="Times New Roman" w:cs="Times New Roman"/>
                <w:b/>
                <w:bCs/>
                <w:i/>
                <w:iCs/>
                <w:color w:val="000000"/>
              </w:rPr>
              <w:t>Bulk</w:t>
            </w:r>
          </w:p>
        </w:tc>
        <w:tc>
          <w:tcPr>
            <w:tcW w:w="2380" w:type="dxa"/>
            <w:tcBorders>
              <w:top w:val="nil"/>
              <w:left w:val="nil"/>
              <w:bottom w:val="nil"/>
              <w:right w:val="nil"/>
            </w:tcBorders>
            <w:shd w:val="clear" w:color="auto" w:fill="auto"/>
            <w:noWrap/>
            <w:vAlign w:val="bottom"/>
            <w:hideMark/>
          </w:tcPr>
          <w:p w14:paraId="44F8D3F5" w14:textId="77777777" w:rsidR="00E66AF0" w:rsidRPr="00E66AF0" w:rsidRDefault="00E66AF0" w:rsidP="00115E85">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18E847CE" w14:textId="77777777" w:rsidR="00E66AF0" w:rsidRPr="00E66AF0" w:rsidRDefault="00E66AF0" w:rsidP="00115E85">
            <w:pPr>
              <w:spacing w:line="240" w:lineRule="auto"/>
              <w:jc w:val="center"/>
              <w:rPr>
                <w:rFonts w:ascii="Times New Roman" w:eastAsia="Times New Roman" w:hAnsi="Times New Roman" w:cs="Times New Roman"/>
              </w:rPr>
            </w:pPr>
          </w:p>
        </w:tc>
        <w:tc>
          <w:tcPr>
            <w:tcW w:w="1460" w:type="dxa"/>
            <w:tcBorders>
              <w:top w:val="nil"/>
              <w:left w:val="nil"/>
              <w:bottom w:val="nil"/>
              <w:right w:val="nil"/>
            </w:tcBorders>
            <w:shd w:val="clear" w:color="auto" w:fill="auto"/>
            <w:noWrap/>
            <w:vAlign w:val="bottom"/>
            <w:hideMark/>
          </w:tcPr>
          <w:p w14:paraId="22176F99" w14:textId="77777777" w:rsidR="00E66AF0" w:rsidRPr="00E66AF0" w:rsidRDefault="00E66AF0" w:rsidP="00115E85">
            <w:pPr>
              <w:spacing w:line="240" w:lineRule="auto"/>
              <w:jc w:val="center"/>
              <w:rPr>
                <w:rFonts w:ascii="Times New Roman" w:eastAsia="Times New Roman" w:hAnsi="Times New Roman" w:cs="Times New Roman"/>
              </w:rPr>
            </w:pPr>
          </w:p>
        </w:tc>
        <w:tc>
          <w:tcPr>
            <w:tcW w:w="1700" w:type="dxa"/>
            <w:tcBorders>
              <w:top w:val="nil"/>
              <w:left w:val="nil"/>
              <w:bottom w:val="nil"/>
              <w:right w:val="nil"/>
            </w:tcBorders>
            <w:shd w:val="clear" w:color="auto" w:fill="auto"/>
            <w:noWrap/>
            <w:vAlign w:val="bottom"/>
            <w:hideMark/>
          </w:tcPr>
          <w:p w14:paraId="7820F82D" w14:textId="77777777" w:rsidR="00E66AF0" w:rsidRPr="00E66AF0" w:rsidRDefault="00E66AF0" w:rsidP="00115E85">
            <w:pPr>
              <w:spacing w:line="240" w:lineRule="auto"/>
              <w:rPr>
                <w:rFonts w:ascii="Times New Roman" w:eastAsia="Times New Roman" w:hAnsi="Times New Roman" w:cs="Times New Roman"/>
              </w:rPr>
            </w:pPr>
          </w:p>
        </w:tc>
      </w:tr>
      <w:tr w:rsidR="00E66AF0" w:rsidRPr="00E66AF0" w14:paraId="2D3E5919" w14:textId="77777777" w:rsidTr="00115E85">
        <w:trPr>
          <w:trHeight w:val="288"/>
        </w:trPr>
        <w:tc>
          <w:tcPr>
            <w:tcW w:w="98" w:type="dxa"/>
            <w:tcBorders>
              <w:top w:val="nil"/>
              <w:left w:val="nil"/>
              <w:bottom w:val="nil"/>
              <w:right w:val="nil"/>
            </w:tcBorders>
            <w:shd w:val="clear" w:color="auto" w:fill="auto"/>
            <w:noWrap/>
            <w:vAlign w:val="bottom"/>
            <w:hideMark/>
          </w:tcPr>
          <w:p w14:paraId="0F34FFB7" w14:textId="77777777" w:rsidR="00E66AF0" w:rsidRPr="00E66AF0" w:rsidRDefault="00E66AF0" w:rsidP="00115E85">
            <w:pPr>
              <w:spacing w:line="240" w:lineRule="auto"/>
              <w:jc w:val="center"/>
              <w:rPr>
                <w:rFonts w:ascii="Times New Roman" w:eastAsia="Times New Roman" w:hAnsi="Times New Roman" w:cs="Times New Roman"/>
              </w:rPr>
            </w:pPr>
          </w:p>
        </w:tc>
        <w:tc>
          <w:tcPr>
            <w:tcW w:w="1962" w:type="dxa"/>
            <w:tcBorders>
              <w:top w:val="nil"/>
              <w:left w:val="nil"/>
              <w:bottom w:val="nil"/>
              <w:right w:val="nil"/>
            </w:tcBorders>
            <w:shd w:val="clear" w:color="auto" w:fill="auto"/>
            <w:noWrap/>
            <w:vAlign w:val="bottom"/>
            <w:hideMark/>
          </w:tcPr>
          <w:p w14:paraId="7F42D2EA"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Primary Producer</w:t>
            </w:r>
          </w:p>
        </w:tc>
        <w:tc>
          <w:tcPr>
            <w:tcW w:w="2380" w:type="dxa"/>
            <w:tcBorders>
              <w:top w:val="nil"/>
              <w:left w:val="nil"/>
              <w:bottom w:val="nil"/>
              <w:right w:val="nil"/>
            </w:tcBorders>
            <w:shd w:val="clear" w:color="auto" w:fill="auto"/>
            <w:noWrap/>
            <w:vAlign w:val="bottom"/>
            <w:hideMark/>
          </w:tcPr>
          <w:p w14:paraId="41A2472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98F9B07"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nil"/>
              <w:right w:val="nil"/>
            </w:tcBorders>
            <w:shd w:val="clear" w:color="auto" w:fill="auto"/>
            <w:noWrap/>
            <w:vAlign w:val="bottom"/>
            <w:hideMark/>
          </w:tcPr>
          <w:p w14:paraId="653B0D7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700" w:type="dxa"/>
            <w:tcBorders>
              <w:top w:val="nil"/>
              <w:left w:val="nil"/>
              <w:bottom w:val="nil"/>
              <w:right w:val="nil"/>
            </w:tcBorders>
            <w:shd w:val="clear" w:color="auto" w:fill="auto"/>
            <w:noWrap/>
            <w:vAlign w:val="bottom"/>
            <w:hideMark/>
          </w:tcPr>
          <w:p w14:paraId="257FA735"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(1/5) 20%</w:t>
            </w:r>
          </w:p>
        </w:tc>
      </w:tr>
      <w:tr w:rsidR="00E66AF0" w:rsidRPr="00E66AF0" w14:paraId="41CEDC22" w14:textId="77777777" w:rsidTr="00115E85">
        <w:trPr>
          <w:trHeight w:val="288"/>
        </w:trPr>
        <w:tc>
          <w:tcPr>
            <w:tcW w:w="98" w:type="dxa"/>
            <w:tcBorders>
              <w:top w:val="nil"/>
              <w:left w:val="nil"/>
              <w:bottom w:val="single" w:sz="4" w:space="0" w:color="auto"/>
              <w:right w:val="nil"/>
            </w:tcBorders>
            <w:shd w:val="clear" w:color="auto" w:fill="auto"/>
            <w:noWrap/>
            <w:vAlign w:val="bottom"/>
            <w:hideMark/>
          </w:tcPr>
          <w:p w14:paraId="4BECDA70"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 </w:t>
            </w:r>
          </w:p>
        </w:tc>
        <w:tc>
          <w:tcPr>
            <w:tcW w:w="1962" w:type="dxa"/>
            <w:tcBorders>
              <w:top w:val="nil"/>
              <w:left w:val="nil"/>
              <w:bottom w:val="single" w:sz="4" w:space="0" w:color="auto"/>
              <w:right w:val="nil"/>
            </w:tcBorders>
            <w:shd w:val="clear" w:color="auto" w:fill="auto"/>
            <w:noWrap/>
            <w:vAlign w:val="bottom"/>
            <w:hideMark/>
          </w:tcPr>
          <w:p w14:paraId="5884EA08" w14:textId="77777777" w:rsidR="00E66AF0" w:rsidRPr="00E66AF0" w:rsidRDefault="00E66AF0" w:rsidP="00115E85">
            <w:pPr>
              <w:spacing w:line="240" w:lineRule="auto"/>
              <w:rPr>
                <w:rFonts w:ascii="Times New Roman" w:eastAsia="Times New Roman" w:hAnsi="Times New Roman" w:cs="Times New Roman"/>
                <w:color w:val="000000"/>
              </w:rPr>
            </w:pPr>
            <w:r w:rsidRPr="00E66AF0">
              <w:rPr>
                <w:rFonts w:ascii="Times New Roman" w:eastAsia="Times New Roman" w:hAnsi="Times New Roman" w:cs="Times New Roman"/>
                <w:color w:val="000000"/>
              </w:rPr>
              <w:t>Primary Consumer</w:t>
            </w:r>
          </w:p>
        </w:tc>
        <w:tc>
          <w:tcPr>
            <w:tcW w:w="2380" w:type="dxa"/>
            <w:tcBorders>
              <w:top w:val="nil"/>
              <w:left w:val="nil"/>
              <w:bottom w:val="single" w:sz="4" w:space="0" w:color="auto"/>
              <w:right w:val="nil"/>
            </w:tcBorders>
            <w:shd w:val="clear" w:color="auto" w:fill="auto"/>
            <w:noWrap/>
            <w:vAlign w:val="bottom"/>
            <w:hideMark/>
          </w:tcPr>
          <w:p w14:paraId="7E130B98"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Kristensen et al., (2016)</w:t>
            </w:r>
          </w:p>
        </w:tc>
        <w:tc>
          <w:tcPr>
            <w:tcW w:w="1820" w:type="dxa"/>
            <w:tcBorders>
              <w:top w:val="nil"/>
              <w:left w:val="nil"/>
              <w:bottom w:val="single" w:sz="4" w:space="0" w:color="auto"/>
              <w:right w:val="nil"/>
            </w:tcBorders>
            <w:shd w:val="clear" w:color="auto" w:fill="auto"/>
            <w:noWrap/>
            <w:vAlign w:val="bottom"/>
            <w:hideMark/>
          </w:tcPr>
          <w:p w14:paraId="3BB0CC7E"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460" w:type="dxa"/>
            <w:tcBorders>
              <w:top w:val="nil"/>
              <w:left w:val="nil"/>
              <w:bottom w:val="single" w:sz="4" w:space="0" w:color="auto"/>
              <w:right w:val="nil"/>
            </w:tcBorders>
            <w:shd w:val="clear" w:color="auto" w:fill="auto"/>
            <w:noWrap/>
            <w:vAlign w:val="bottom"/>
            <w:hideMark/>
          </w:tcPr>
          <w:p w14:paraId="08A1C46F"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n.d.</w:t>
            </w:r>
          </w:p>
        </w:tc>
        <w:tc>
          <w:tcPr>
            <w:tcW w:w="1700" w:type="dxa"/>
            <w:tcBorders>
              <w:top w:val="nil"/>
              <w:left w:val="nil"/>
              <w:bottom w:val="single" w:sz="4" w:space="0" w:color="auto"/>
              <w:right w:val="nil"/>
            </w:tcBorders>
            <w:shd w:val="clear" w:color="auto" w:fill="auto"/>
            <w:noWrap/>
            <w:vAlign w:val="bottom"/>
            <w:hideMark/>
          </w:tcPr>
          <w:p w14:paraId="40F994D1" w14:textId="77777777" w:rsidR="00E66AF0" w:rsidRPr="00E66AF0" w:rsidRDefault="00E66AF0" w:rsidP="00115E85">
            <w:pPr>
              <w:spacing w:line="240" w:lineRule="auto"/>
              <w:jc w:val="center"/>
              <w:rPr>
                <w:rFonts w:ascii="Times New Roman" w:eastAsia="Times New Roman" w:hAnsi="Times New Roman" w:cs="Times New Roman"/>
                <w:color w:val="000000"/>
              </w:rPr>
            </w:pPr>
            <w:r w:rsidRPr="00E66AF0">
              <w:rPr>
                <w:rFonts w:ascii="Times New Roman" w:eastAsia="Times New Roman" w:hAnsi="Times New Roman" w:cs="Times New Roman"/>
                <w:color w:val="000000"/>
              </w:rPr>
              <w:t>(0/2) 0%</w:t>
            </w:r>
          </w:p>
        </w:tc>
      </w:tr>
    </w:tbl>
    <w:p w14:paraId="30296782" w14:textId="77777777" w:rsidR="00E66AF0" w:rsidRDefault="00E66AF0">
      <w:pPr>
        <w:spacing w:before="240" w:after="240"/>
        <w:rPr>
          <w:rFonts w:ascii="Times New Roman" w:eastAsia="Times New Roman" w:hAnsi="Times New Roman" w:cs="Times New Roman"/>
          <w:sz w:val="24"/>
          <w:szCs w:val="24"/>
        </w:rPr>
      </w:pPr>
    </w:p>
    <w:p w14:paraId="16F5737C" w14:textId="77777777" w:rsidR="007E406A" w:rsidRDefault="007E406A">
      <w:pPr>
        <w:spacing w:before="240" w:after="240"/>
        <w:rPr>
          <w:rFonts w:ascii="Times New Roman" w:eastAsia="Times New Roman" w:hAnsi="Times New Roman" w:cs="Times New Roman"/>
          <w:sz w:val="24"/>
          <w:szCs w:val="24"/>
        </w:rPr>
      </w:pPr>
    </w:p>
    <w:p w14:paraId="615C0E8C" w14:textId="77777777" w:rsidR="007E406A" w:rsidRDefault="007E406A">
      <w:pPr>
        <w:spacing w:before="240" w:after="240"/>
        <w:ind w:left="960" w:hanging="480"/>
        <w:rPr>
          <w:rFonts w:ascii="Times New Roman" w:eastAsia="Times New Roman" w:hAnsi="Times New Roman" w:cs="Times New Roman"/>
          <w:sz w:val="24"/>
          <w:szCs w:val="24"/>
        </w:rPr>
      </w:pPr>
    </w:p>
    <w:p w14:paraId="23A6FB09" w14:textId="77777777" w:rsidR="007E406A" w:rsidRDefault="007E406A">
      <w:pPr>
        <w:spacing w:before="240" w:after="240"/>
        <w:ind w:left="960" w:hanging="480"/>
        <w:rPr>
          <w:rFonts w:ascii="Times New Roman" w:eastAsia="Times New Roman" w:hAnsi="Times New Roman" w:cs="Times New Roman"/>
          <w:sz w:val="24"/>
          <w:szCs w:val="24"/>
        </w:rPr>
      </w:pPr>
    </w:p>
    <w:p w14:paraId="57F94A81" w14:textId="77777777" w:rsidR="007E406A" w:rsidRDefault="007E406A">
      <w:pPr>
        <w:spacing w:before="240" w:after="240"/>
        <w:rPr>
          <w:rFonts w:ascii="Times New Roman" w:eastAsia="Times New Roman" w:hAnsi="Times New Roman" w:cs="Times New Roman"/>
          <w:sz w:val="24"/>
          <w:szCs w:val="24"/>
        </w:rPr>
      </w:pPr>
    </w:p>
    <w:p w14:paraId="11AC2696" w14:textId="77777777" w:rsidR="007E406A" w:rsidRDefault="007E406A">
      <w:pPr>
        <w:spacing w:before="240" w:after="240"/>
      </w:pPr>
    </w:p>
    <w:p w14:paraId="1450F54D" w14:textId="77777777" w:rsidR="007E406A" w:rsidRDefault="007E406A">
      <w:pPr>
        <w:spacing w:before="240" w:after="240"/>
      </w:pPr>
    </w:p>
    <w:p w14:paraId="00DF5648" w14:textId="77777777" w:rsidR="007E406A" w:rsidRDefault="007E406A">
      <w:pPr>
        <w:spacing w:before="240" w:after="240"/>
      </w:pPr>
    </w:p>
    <w:p w14:paraId="12FDAA54" w14:textId="77777777" w:rsidR="007E406A" w:rsidRDefault="007E406A">
      <w:pPr>
        <w:spacing w:before="240" w:after="240"/>
      </w:pPr>
    </w:p>
    <w:p w14:paraId="287C0567" w14:textId="77777777" w:rsidR="007E406A" w:rsidRDefault="007E406A">
      <w:pPr>
        <w:spacing w:before="240" w:after="240"/>
      </w:pPr>
    </w:p>
    <w:p w14:paraId="38E7F7D4" w14:textId="77777777" w:rsidR="007E406A" w:rsidRDefault="007E406A">
      <w:pPr>
        <w:spacing w:before="240" w:after="240"/>
      </w:pPr>
    </w:p>
    <w:p w14:paraId="361B5313" w14:textId="77777777" w:rsidR="007E406A" w:rsidRDefault="007E406A">
      <w:pPr>
        <w:spacing w:before="240" w:after="240"/>
      </w:pPr>
    </w:p>
    <w:p w14:paraId="514ED3F9" w14:textId="77777777" w:rsidR="007E406A" w:rsidRDefault="007E406A">
      <w:pPr>
        <w:spacing w:before="240" w:after="240"/>
      </w:pPr>
    </w:p>
    <w:p w14:paraId="5826C9A7" w14:textId="77777777" w:rsidR="007E406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A61BD7" wp14:editId="3786D0FC">
            <wp:extent cx="5943600" cy="4127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127500"/>
                    </a:xfrm>
                    <a:prstGeom prst="rect">
                      <a:avLst/>
                    </a:prstGeom>
                    <a:ln/>
                  </pic:spPr>
                </pic:pic>
              </a:graphicData>
            </a:graphic>
          </wp:inline>
        </w:drawing>
      </w:r>
    </w:p>
    <w:p w14:paraId="6312EF78"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Map of the study area within the North Platte River drainage. LR corresponds to sites in the Laramie River, MB corresponds to sites in the Medicine Bow River, and SW corresponds to sites in the Sweetwater River.</w:t>
      </w:r>
    </w:p>
    <w:p w14:paraId="6879CCB2" w14:textId="77777777" w:rsidR="007E406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0C3122" wp14:editId="50C5BA2B">
            <wp:extent cx="5943600" cy="356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27" r="27"/>
                    <a:stretch>
                      <a:fillRect/>
                    </a:stretch>
                  </pic:blipFill>
                  <pic:spPr>
                    <a:xfrm>
                      <a:off x="0" y="0"/>
                      <a:ext cx="5943600" cy="3568700"/>
                    </a:xfrm>
                    <a:prstGeom prst="rect">
                      <a:avLst/>
                    </a:prstGeom>
                    <a:ln/>
                  </pic:spPr>
                </pic:pic>
              </a:graphicData>
            </a:graphic>
          </wp:inline>
        </w:drawing>
      </w:r>
    </w:p>
    <w:p w14:paraId="55E47207" w14:textId="77777777" w:rsidR="00E66AF0" w:rsidRDefault="00E66AF0">
      <w:pPr>
        <w:spacing w:line="480" w:lineRule="auto"/>
        <w:rPr>
          <w:rFonts w:ascii="Times New Roman" w:eastAsia="Times New Roman" w:hAnsi="Times New Roman" w:cs="Times New Roman"/>
          <w:sz w:val="24"/>
          <w:szCs w:val="24"/>
        </w:rPr>
      </w:pPr>
    </w:p>
    <w:p w14:paraId="2834F5DC" w14:textId="77777777" w:rsidR="00E66AF0" w:rsidRDefault="00E66AF0">
      <w:pPr>
        <w:spacing w:line="480" w:lineRule="auto"/>
        <w:rPr>
          <w:rFonts w:ascii="Times New Roman" w:eastAsia="Times New Roman" w:hAnsi="Times New Roman" w:cs="Times New Roman"/>
          <w:sz w:val="24"/>
          <w:szCs w:val="24"/>
        </w:rPr>
      </w:pPr>
    </w:p>
    <w:p w14:paraId="38C6C880" w14:textId="77777777" w:rsidR="00E66AF0" w:rsidRDefault="00E66AF0">
      <w:pPr>
        <w:spacing w:line="480" w:lineRule="auto"/>
        <w:rPr>
          <w:rFonts w:ascii="Times New Roman" w:eastAsia="Times New Roman" w:hAnsi="Times New Roman" w:cs="Times New Roman"/>
          <w:sz w:val="24"/>
          <w:szCs w:val="24"/>
        </w:rPr>
      </w:pPr>
    </w:p>
    <w:p w14:paraId="45A4BFE6" w14:textId="77777777" w:rsidR="00E66AF0" w:rsidRDefault="00E66AF0">
      <w:pPr>
        <w:spacing w:line="480" w:lineRule="auto"/>
        <w:rPr>
          <w:rFonts w:ascii="Times New Roman" w:eastAsia="Times New Roman" w:hAnsi="Times New Roman" w:cs="Times New Roman"/>
          <w:sz w:val="24"/>
          <w:szCs w:val="24"/>
        </w:rPr>
      </w:pPr>
    </w:p>
    <w:p w14:paraId="4F033724" w14:textId="77777777" w:rsidR="00E66AF0" w:rsidRDefault="00E66AF0">
      <w:pPr>
        <w:spacing w:line="480" w:lineRule="auto"/>
        <w:rPr>
          <w:rFonts w:ascii="Times New Roman" w:eastAsia="Times New Roman" w:hAnsi="Times New Roman" w:cs="Times New Roman"/>
          <w:sz w:val="24"/>
          <w:szCs w:val="24"/>
        </w:rPr>
      </w:pPr>
    </w:p>
    <w:p w14:paraId="1B561951" w14:textId="77777777" w:rsidR="00E66AF0" w:rsidRDefault="00E66AF0">
      <w:pPr>
        <w:spacing w:line="480" w:lineRule="auto"/>
        <w:rPr>
          <w:rFonts w:ascii="Times New Roman" w:eastAsia="Times New Roman" w:hAnsi="Times New Roman" w:cs="Times New Roman"/>
          <w:sz w:val="24"/>
          <w:szCs w:val="24"/>
        </w:rPr>
      </w:pPr>
    </w:p>
    <w:p w14:paraId="53CAEEC6" w14:textId="77777777" w:rsidR="00E66AF0" w:rsidRDefault="00E66AF0">
      <w:pPr>
        <w:spacing w:line="480" w:lineRule="auto"/>
        <w:rPr>
          <w:rFonts w:ascii="Times New Roman" w:eastAsia="Times New Roman" w:hAnsi="Times New Roman" w:cs="Times New Roman"/>
          <w:sz w:val="24"/>
          <w:szCs w:val="24"/>
        </w:rPr>
      </w:pPr>
    </w:p>
    <w:p w14:paraId="7AA160FD" w14:textId="77777777" w:rsidR="00E66AF0" w:rsidRDefault="00E66AF0">
      <w:pPr>
        <w:spacing w:line="480" w:lineRule="auto"/>
        <w:rPr>
          <w:rFonts w:ascii="Times New Roman" w:eastAsia="Times New Roman" w:hAnsi="Times New Roman" w:cs="Times New Roman"/>
          <w:sz w:val="24"/>
          <w:szCs w:val="24"/>
        </w:rPr>
      </w:pPr>
    </w:p>
    <w:p w14:paraId="182B48EC" w14:textId="77777777" w:rsidR="00E66AF0" w:rsidRDefault="00E66AF0">
      <w:pPr>
        <w:spacing w:line="480" w:lineRule="auto"/>
        <w:rPr>
          <w:rFonts w:ascii="Times New Roman" w:eastAsia="Times New Roman" w:hAnsi="Times New Roman" w:cs="Times New Roman"/>
          <w:sz w:val="24"/>
          <w:szCs w:val="24"/>
        </w:rPr>
      </w:pPr>
    </w:p>
    <w:p w14:paraId="23AEBD68"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A) Taxonomic Group and B) Feeding Group distributions expressed as the percentage of sites found during the study.  Also, each C) Taxonomic Group’s and D) Feeding Group’s mean Coefficient of Variation (CV) of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across sites.  Error bars are ± 1 standard deviation from the mean. CVs were only presented for the Taxonomic Groups and Feeding Groups that </w:t>
      </w:r>
      <w:r>
        <w:rPr>
          <w:rFonts w:ascii="Times New Roman" w:eastAsia="Times New Roman" w:hAnsi="Times New Roman" w:cs="Times New Roman"/>
          <w:sz w:val="24"/>
          <w:szCs w:val="24"/>
        </w:rPr>
        <w:lastRenderedPageBreak/>
        <w:t xml:space="preserve">met criteria 1 (Present at &gt;75% of Sites , A-B).  Taxonomic Groups are colored by their respective Feeding Group.  </w:t>
      </w:r>
    </w:p>
    <w:p w14:paraId="01A4F21C" w14:textId="77777777" w:rsidR="007E406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83F523" wp14:editId="7D6020AB">
            <wp:extent cx="5943600" cy="7429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7429500"/>
                    </a:xfrm>
                    <a:prstGeom prst="rect">
                      <a:avLst/>
                    </a:prstGeom>
                    <a:ln/>
                  </pic:spPr>
                </pic:pic>
              </a:graphicData>
            </a:graphic>
          </wp:inline>
        </w:drawing>
      </w:r>
    </w:p>
    <w:p w14:paraId="2FE8DFE9"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 Relationships between the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of A-B) basal resources, C-D) Taxonomic Groups, E-F) Feeding Groups, and G-H) Fish in relation to position along the longitudinal gradient represented by PC1. A,C,E,G are the slopes (± 95 % CI) of the adjacent plot lines of best fit in B,D,F,H, and the colors in each scatter plot (B,D,F, H) correspond to the colors of the adjacent plots group (A,C,E,G). For example, White Sucker (WHS) are colored yellow in G) and H).  The dashed line in  A,C,E,G indicates a zero slope and indicates no relation between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and PC1.  For the scatterplots B,D,F, each point is the mean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 of the B) basal resource, D) Taxonomic Group, and F) Feeding Group.  For the scatter plot H) each point is an individual fish’s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signature. Upstream sites are to the left in the scatter plots. Please note the differences in the scale of the y-axis in the scatter plots.</w:t>
      </w:r>
    </w:p>
    <w:p w14:paraId="13E2A8EB" w14:textId="77777777" w:rsidR="007E406A" w:rsidRDefault="007E406A">
      <w:pPr>
        <w:spacing w:before="240" w:after="240"/>
        <w:rPr>
          <w:rFonts w:ascii="Times New Roman" w:eastAsia="Times New Roman" w:hAnsi="Times New Roman" w:cs="Times New Roman"/>
          <w:sz w:val="24"/>
          <w:szCs w:val="24"/>
        </w:rPr>
      </w:pPr>
    </w:p>
    <w:p w14:paraId="7976F1FB" w14:textId="77777777" w:rsidR="007E406A" w:rsidRDefault="007E406A">
      <w:pPr>
        <w:spacing w:before="240" w:after="240"/>
        <w:rPr>
          <w:rFonts w:ascii="Times New Roman" w:eastAsia="Times New Roman" w:hAnsi="Times New Roman" w:cs="Times New Roman"/>
          <w:sz w:val="24"/>
          <w:szCs w:val="24"/>
        </w:rPr>
      </w:pPr>
    </w:p>
    <w:p w14:paraId="632E31FD" w14:textId="77777777" w:rsidR="007E406A" w:rsidRDefault="007E406A">
      <w:pPr>
        <w:spacing w:before="240" w:after="240"/>
        <w:rPr>
          <w:rFonts w:ascii="Times New Roman" w:eastAsia="Times New Roman" w:hAnsi="Times New Roman" w:cs="Times New Roman"/>
          <w:sz w:val="24"/>
          <w:szCs w:val="24"/>
        </w:rPr>
      </w:pPr>
    </w:p>
    <w:p w14:paraId="7E40AC9E" w14:textId="77777777" w:rsidR="007E406A" w:rsidRDefault="007E406A">
      <w:pPr>
        <w:spacing w:before="240" w:after="240"/>
        <w:rPr>
          <w:rFonts w:ascii="Times New Roman" w:eastAsia="Times New Roman" w:hAnsi="Times New Roman" w:cs="Times New Roman"/>
          <w:sz w:val="24"/>
          <w:szCs w:val="24"/>
        </w:rPr>
      </w:pPr>
    </w:p>
    <w:p w14:paraId="122B3751" w14:textId="77777777" w:rsidR="007E406A" w:rsidRDefault="007E406A">
      <w:pPr>
        <w:spacing w:before="240" w:after="240"/>
        <w:rPr>
          <w:rFonts w:ascii="Times New Roman" w:eastAsia="Times New Roman" w:hAnsi="Times New Roman" w:cs="Times New Roman"/>
          <w:sz w:val="24"/>
          <w:szCs w:val="24"/>
        </w:rPr>
      </w:pPr>
    </w:p>
    <w:p w14:paraId="1EF5D31A" w14:textId="77777777" w:rsidR="007E406A" w:rsidRDefault="007E406A">
      <w:pPr>
        <w:spacing w:before="240" w:after="240"/>
        <w:rPr>
          <w:rFonts w:ascii="Times New Roman" w:eastAsia="Times New Roman" w:hAnsi="Times New Roman" w:cs="Times New Roman"/>
          <w:sz w:val="24"/>
          <w:szCs w:val="24"/>
        </w:rPr>
      </w:pPr>
    </w:p>
    <w:p w14:paraId="57B05A85" w14:textId="77777777" w:rsidR="007E406A" w:rsidRDefault="007E406A">
      <w:pPr>
        <w:spacing w:before="240" w:after="240"/>
        <w:rPr>
          <w:rFonts w:ascii="Times New Roman" w:eastAsia="Times New Roman" w:hAnsi="Times New Roman" w:cs="Times New Roman"/>
          <w:sz w:val="24"/>
          <w:szCs w:val="24"/>
        </w:rPr>
      </w:pPr>
    </w:p>
    <w:p w14:paraId="238D847F" w14:textId="77777777" w:rsidR="007E406A" w:rsidRDefault="007E406A">
      <w:pPr>
        <w:spacing w:before="240" w:after="240"/>
        <w:rPr>
          <w:rFonts w:ascii="Times New Roman" w:eastAsia="Times New Roman" w:hAnsi="Times New Roman" w:cs="Times New Roman"/>
          <w:sz w:val="24"/>
          <w:szCs w:val="24"/>
        </w:rPr>
      </w:pPr>
    </w:p>
    <w:p w14:paraId="0720D05C" w14:textId="77777777" w:rsidR="007E406A" w:rsidRDefault="007E406A">
      <w:pPr>
        <w:spacing w:before="240" w:after="240"/>
        <w:rPr>
          <w:rFonts w:ascii="Times New Roman" w:eastAsia="Times New Roman" w:hAnsi="Times New Roman" w:cs="Times New Roman"/>
          <w:sz w:val="24"/>
          <w:szCs w:val="24"/>
        </w:rPr>
      </w:pPr>
    </w:p>
    <w:p w14:paraId="10E61332" w14:textId="77777777" w:rsidR="007E406A" w:rsidRDefault="00000000">
      <w:pPr>
        <w:spacing w:before="240" w:after="240"/>
        <w:jc w:val="center"/>
      </w:pPr>
      <w:r>
        <w:rPr>
          <w:noProof/>
        </w:rPr>
        <w:lastRenderedPageBreak/>
        <w:drawing>
          <wp:inline distT="114300" distB="114300" distL="114300" distR="114300" wp14:anchorId="6BD241F8" wp14:editId="7C39BF0D">
            <wp:extent cx="5943600" cy="330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02000"/>
                    </a:xfrm>
                    <a:prstGeom prst="rect">
                      <a:avLst/>
                    </a:prstGeom>
                    <a:ln/>
                  </pic:spPr>
                </pic:pic>
              </a:graphicData>
            </a:graphic>
          </wp:inline>
        </w:drawing>
      </w:r>
    </w:p>
    <w:p w14:paraId="657B1A5C"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The relationship between IRI index of stomach contents and each fish’s position on the longitudinal gradient (PC1).  Each point is the mean IRI index of the fish at each site, and colors correspond to the food group. The lines of best fit are represented but do not necessarily indicate a significant correlation. </w:t>
      </w:r>
    </w:p>
    <w:p w14:paraId="3EAF3A47" w14:textId="77777777" w:rsidR="007E406A" w:rsidRDefault="007E406A">
      <w:pPr>
        <w:spacing w:line="480" w:lineRule="auto"/>
        <w:rPr>
          <w:rFonts w:ascii="Times New Roman" w:eastAsia="Times New Roman" w:hAnsi="Times New Roman" w:cs="Times New Roman"/>
          <w:sz w:val="24"/>
          <w:szCs w:val="24"/>
        </w:rPr>
      </w:pPr>
    </w:p>
    <w:p w14:paraId="635B7D1F" w14:textId="77777777" w:rsidR="007E406A" w:rsidRDefault="007E406A">
      <w:pPr>
        <w:spacing w:line="480" w:lineRule="auto"/>
        <w:rPr>
          <w:rFonts w:ascii="Times New Roman" w:eastAsia="Times New Roman" w:hAnsi="Times New Roman" w:cs="Times New Roman"/>
          <w:sz w:val="24"/>
          <w:szCs w:val="24"/>
        </w:rPr>
      </w:pPr>
    </w:p>
    <w:p w14:paraId="47DC0B77" w14:textId="77777777" w:rsidR="007E406A"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634E95" wp14:editId="52CA8384">
            <wp:extent cx="5877868" cy="80914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38" r="38"/>
                    <a:stretch>
                      <a:fillRect/>
                    </a:stretch>
                  </pic:blipFill>
                  <pic:spPr>
                    <a:xfrm>
                      <a:off x="0" y="0"/>
                      <a:ext cx="5877868" cy="8091488"/>
                    </a:xfrm>
                    <a:prstGeom prst="rect">
                      <a:avLst/>
                    </a:prstGeom>
                    <a:ln/>
                  </pic:spPr>
                </pic:pic>
              </a:graphicData>
            </a:graphic>
          </wp:inline>
        </w:drawing>
      </w:r>
    </w:p>
    <w:p w14:paraId="5FB0C213"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taxonomic group correction (A,C,E,G,I).  Uncorrected TP estimates are in yellow.  The dashed line in  A,C,E,G,I indicates a zero slope and indicates no relation between TP and PC1.  For the scatterplots, each point is the individual fish TP signature before (uncorrected) or after correction by taxonomic group. Upstream sites are to the left in the scatter plots. Please note the differences in the scale of the y-axis in the scatter plots.</w:t>
      </w:r>
    </w:p>
    <w:p w14:paraId="1B1237AF"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24538B" wp14:editId="12A5C740">
            <wp:extent cx="5891706" cy="81105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38" r="38"/>
                    <a:stretch>
                      <a:fillRect/>
                    </a:stretch>
                  </pic:blipFill>
                  <pic:spPr>
                    <a:xfrm>
                      <a:off x="0" y="0"/>
                      <a:ext cx="5891706" cy="8110538"/>
                    </a:xfrm>
                    <a:prstGeom prst="rect">
                      <a:avLst/>
                    </a:prstGeom>
                    <a:ln/>
                  </pic:spPr>
                </pic:pic>
              </a:graphicData>
            </a:graphic>
          </wp:inline>
        </w:drawing>
      </w:r>
    </w:p>
    <w:p w14:paraId="24EEF3D1" w14:textId="77777777" w:rsidR="007E406A"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6: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feeding group correction (A,C,E,G,I).  Uncorrected TP estimates are in yellow.  The dashed line in  A,C,E,G,I indicates a zero slope and indicates no relation between TP and PC1.  For the scatterplots B,D,F, H,J), each point is the individual fish TP signature before (uncorrected) or after correction by feeding group.  Upstream sites are to the left in the scatter plots. Please note the differences in the scale of the y-axis in the scatter plots.</w:t>
      </w:r>
    </w:p>
    <w:p w14:paraId="7E0C5816" w14:textId="77777777" w:rsidR="007E406A" w:rsidRDefault="007E406A">
      <w:pPr>
        <w:spacing w:before="240" w:after="240"/>
        <w:rPr>
          <w:rFonts w:ascii="Times New Roman" w:eastAsia="Times New Roman" w:hAnsi="Times New Roman" w:cs="Times New Roman"/>
          <w:sz w:val="24"/>
          <w:szCs w:val="24"/>
        </w:rPr>
      </w:pPr>
    </w:p>
    <w:p w14:paraId="3A9C48EA" w14:textId="77777777" w:rsidR="007E406A" w:rsidRDefault="007E406A">
      <w:pPr>
        <w:spacing w:before="240" w:after="240"/>
      </w:pPr>
    </w:p>
    <w:sectPr w:rsidR="007E406A">
      <w:headerReference w:type="default" r:id="rId12"/>
      <w:footerReference w:type="default" r:id="rId13"/>
      <w:pgSz w:w="12240" w:h="15840"/>
      <w:pgMar w:top="198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C1279" w14:textId="77777777" w:rsidR="008634EF" w:rsidRDefault="008634EF">
      <w:pPr>
        <w:spacing w:line="240" w:lineRule="auto"/>
      </w:pPr>
      <w:r>
        <w:separator/>
      </w:r>
    </w:p>
  </w:endnote>
  <w:endnote w:type="continuationSeparator" w:id="0">
    <w:p w14:paraId="3FE83435" w14:textId="77777777" w:rsidR="008634EF" w:rsidRDefault="008634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072F" w14:textId="77777777" w:rsidR="007E406A"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E66AF0">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2BEB4" w14:textId="77777777" w:rsidR="008634EF" w:rsidRDefault="008634EF">
      <w:pPr>
        <w:spacing w:line="240" w:lineRule="auto"/>
      </w:pPr>
      <w:r>
        <w:separator/>
      </w:r>
    </w:p>
  </w:footnote>
  <w:footnote w:type="continuationSeparator" w:id="0">
    <w:p w14:paraId="5DE890AC" w14:textId="77777777" w:rsidR="008634EF" w:rsidRDefault="008634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EBE" w14:textId="77777777" w:rsidR="007E406A" w:rsidRDefault="007E406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06A"/>
    <w:rsid w:val="000B428D"/>
    <w:rsid w:val="007E406A"/>
    <w:rsid w:val="008634EF"/>
    <w:rsid w:val="00DF23F6"/>
    <w:rsid w:val="00E66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F70B"/>
  <w15:docId w15:val="{205B09E0-7DCF-4D01-971B-A933EAF6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30</Pages>
  <Words>6413</Words>
  <Characters>36558</Characters>
  <Application>Microsoft Office Word</Application>
  <DocSecurity>0</DocSecurity>
  <Lines>304</Lines>
  <Paragraphs>85</Paragraphs>
  <ScaleCrop>false</ScaleCrop>
  <Company/>
  <LinksUpToDate>false</LinksUpToDate>
  <CharactersWithSpaces>42886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Barrus</dc:creator>
  <cp:lastModifiedBy>Nathan Barrus</cp:lastModifiedBy>
  <cp:revision>4</cp:revision>
  <dcterms:created xsi:type="dcterms:W3CDTF">2023-05-02T17:05:00Z</dcterms:created>
  <dcterms:modified xsi:type="dcterms:W3CDTF">2023-05-02T18:08:00Z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id="raU34cdu"/&gt;&lt;style id="http://www.zotero.org/styles/hydrobiologia" hasBibliography="1" bibliographyStyleHasBeenSet="0"/&gt;&lt;prefs&gt;&lt;pref name="fieldType" value="Field"/&gt;&lt;/prefs&gt;&lt;/data&gt;</vt:lpwstr>
  </property>
</Properties>
</file>