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Idaho Fish and Wildlife Conservation Office, U.S. Fish and Wildlife Service, Orofino,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water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w:t>
      </w:r>
      <w:r>
        <w:rPr>
          <w:i/>
          <w:iCs/>
        </w:rPr>
        <w:t xml:space="preserve">i.e.</w:t>
      </w:r>
      <w:r>
        <w:t xml:space="preserve">,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t xml:space="preserve">spp.)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If users design experiments for custom model fits, we recommend choosing a minumum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culvert replacements. Such infrasturcture and activities can cause sedimentation and alter fish habitat and community structure</w:t>
      </w:r>
      <w:r>
        <w:t xml:space="preserve"> </w:t>
      </w:r>
      <w:r>
        <w:t xml:space="preserve">(Maitland et al., 2016)</w:t>
      </w:r>
      <w:r>
        <w:t xml:space="preserve">. Will fish have emerged from redds before construction begins, reducing potential disturbance?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spawning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 in the face of interacting stressors in aquatic ecosystems</w:t>
      </w:r>
      <w:r>
        <w:t xml:space="preserve"> </w:t>
      </w:r>
      <w:r>
        <w:t xml:space="preserve">(Craig et al., 2017)</w:t>
      </w:r>
      <w:r>
        <w:t xml:space="preserve">.</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w:t>
      </w:r>
      <w:r>
        <w:t xml:space="preserve">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to emulate a wild environment, we simulated a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To highlight how different species develop at different rates under identical thermal conditions,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Three anonymous reviewers added thoghtful comments that greatly improved the manuscript.</w:t>
      </w:r>
    </w:p>
    <w:p>
      <w:pPr>
        <w:pStyle w:val="BodyText"/>
      </w:pPr>
      <w:r>
        <w:t xml:space="preserve">The views expressed in this manuscript are those of the authors and do not necessarily represent the views or policies of USFS and USFWS. Any mention of trade names, products, or services does not imply an endorsement by the U.S. government or USFS or USFWS. USFS and USFWS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100" w:name="references"/>
    <w:p>
      <w:pPr>
        <w:pStyle w:val="Heading1"/>
      </w:pPr>
      <w:r>
        <w:t xml:space="preserve">References</w:t>
      </w:r>
    </w:p>
    <w:bookmarkStart w:id="99"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craig2017"/>
    <w:p>
      <w:pPr>
        <w:pStyle w:val="Bibliography"/>
      </w:pPr>
      <w:r>
        <w:t xml:space="preserve">Craig, L. S., Olden, J. D., Arthington, A. H., Entrekin, S., Hawkins, C. P., Kelly, J. J., Kennedy, T. A., Maitland, B. M., Rosi, E. J., Roy, A. H., Strayer, D. L., Tank, J. L., West, A. O., &amp; Wooten, M. S. (2017). Meeting the challenge of interacting threats in freshwater ecosystems: A call to scientists and managers.</w:t>
      </w:r>
      <w:r>
        <w:t xml:space="preserve"> </w:t>
      </w:r>
      <w:r>
        <w:rPr>
          <w:i/>
          <w:iCs/>
        </w:rPr>
        <w:t xml:space="preserve">Elementa: Science of the Anthropocene</w:t>
      </w:r>
      <w:r>
        <w:t xml:space="preserve">,</w:t>
      </w:r>
      <w:r>
        <w:t xml:space="preserve"> </w:t>
      </w:r>
      <w:r>
        <w:rPr>
          <w:i/>
          <w:iCs/>
        </w:rPr>
        <w:t xml:space="preserve">5</w:t>
      </w:r>
      <w:r>
        <w:t xml:space="preserve">(72), 1–15.</w:t>
      </w:r>
      <w:r>
        <w:t xml:space="preserve"> </w:t>
      </w:r>
      <w:hyperlink r:id="rId68">
        <w:r>
          <w:rPr>
            <w:rStyle w:val="Hyperlink"/>
          </w:rPr>
          <w:t xml:space="preserve">https://doi.org/10.1525/elementa.256</w:t>
        </w:r>
      </w:hyperlink>
    </w:p>
    <w:bookmarkEnd w:id="69"/>
    <w:bookmarkStart w:id="71"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70">
        <w:r>
          <w:rPr>
            <w:rStyle w:val="Hyperlink"/>
          </w:rPr>
          <w:t xml:space="preserve">https://doi.org/10.1577/1548-8675(2002)022&lt;1077:PCOTHZ&gt;2.0.CO;2</w:t>
        </w:r>
      </w:hyperlink>
    </w:p>
    <w:bookmarkEnd w:id="71"/>
    <w:bookmarkStart w:id="73"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2">
        <w:r>
          <w:rPr>
            <w:rStyle w:val="Hyperlink"/>
          </w:rPr>
          <w:t xml:space="preserve">https://doi.org/10.5194/hess-22-6225-2018</w:t>
        </w:r>
      </w:hyperlink>
    </w:p>
    <w:bookmarkEnd w:id="73"/>
    <w:bookmarkStart w:id="75"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4">
        <w:r>
          <w:rPr>
            <w:rStyle w:val="Hyperlink"/>
          </w:rPr>
          <w:t xml:space="preserve">https://doi.org/10.1111/gcb.12879</w:t>
        </w:r>
      </w:hyperlink>
    </w:p>
    <w:bookmarkEnd w:id="75"/>
    <w:bookmarkStart w:id="77"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6">
        <w:r>
          <w:rPr>
            <w:rStyle w:val="Hyperlink"/>
          </w:rPr>
          <w:t xml:space="preserve">https://doi.org/10.1111/1365-2656.13491</w:t>
        </w:r>
      </w:hyperlink>
    </w:p>
    <w:bookmarkEnd w:id="77"/>
    <w:bookmarkStart w:id="78" w:name="ref-maitland2016"/>
    <w:p>
      <w:pPr>
        <w:pStyle w:val="Bibliography"/>
      </w:pPr>
      <w:r>
        <w:t xml:space="preserve">Maitland, B. M., Poesch, M., Anderson, A. E., &amp; Pandit, S. N. (2016). Industrial road crossings drive changes in community structure and instream habitat for freshwater fishes in the boreal forest.</w:t>
      </w:r>
      <w:r>
        <w:t xml:space="preserve"> </w:t>
      </w:r>
      <w:r>
        <w:rPr>
          <w:i/>
          <w:iCs/>
        </w:rPr>
        <w:t xml:space="preserve">Freshwater Biology</w:t>
      </w:r>
      <w:r>
        <w:t xml:space="preserve">,</w:t>
      </w:r>
      <w:r>
        <w:t xml:space="preserve"> </w:t>
      </w:r>
      <w:r>
        <w:rPr>
          <w:i/>
          <w:iCs/>
        </w:rPr>
        <w:t xml:space="preserve">61</w:t>
      </w:r>
      <w:r>
        <w:t xml:space="preserve">, 1–18.</w:t>
      </w:r>
    </w:p>
    <w:bookmarkEnd w:id="78"/>
    <w:bookmarkStart w:id="79"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9"/>
    <w:bookmarkStart w:id="80"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80"/>
    <w:bookmarkStart w:id="81"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81"/>
    <w:bookmarkStart w:id="82"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82"/>
    <w:bookmarkStart w:id="84"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3">
        <w:r>
          <w:rPr>
            <w:rStyle w:val="Hyperlink"/>
          </w:rPr>
          <w:t xml:space="preserve">https://doi.org/10.1371/journal.pwat.0000119</w:t>
        </w:r>
      </w:hyperlink>
    </w:p>
    <w:bookmarkEnd w:id="84"/>
    <w:bookmarkStart w:id="86"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5">
        <w:r>
          <w:rPr>
            <w:rStyle w:val="Hyperlink"/>
          </w:rPr>
          <w:t xml:space="preserve">https://doi.org/10.1111/j.1749-7345.2001.tb01094.x</w:t>
        </w:r>
      </w:hyperlink>
    </w:p>
    <w:bookmarkEnd w:id="86"/>
    <w:bookmarkStart w:id="88"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7">
        <w:r>
          <w:rPr>
            <w:rStyle w:val="Hyperlink"/>
          </w:rPr>
          <w:t xml:space="preserve">https://doi.org/10.1111/j.1439-0426.2005.00623.x</w:t>
        </w:r>
      </w:hyperlink>
    </w:p>
    <w:bookmarkEnd w:id="88"/>
    <w:bookmarkStart w:id="90"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9">
        <w:r>
          <w:rPr>
            <w:rStyle w:val="Hyperlink"/>
          </w:rPr>
          <w:t xml:space="preserve">https://doi.org/10.1139/cjfas-2017-0468</w:t>
        </w:r>
      </w:hyperlink>
    </w:p>
    <w:bookmarkEnd w:id="90"/>
    <w:bookmarkStart w:id="92"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91">
        <w:r>
          <w:rPr>
            <w:rStyle w:val="Hyperlink"/>
          </w:rPr>
          <w:t xml:space="preserve">https://doi.org/10.1098/rspb.2022.1472</w:t>
        </w:r>
      </w:hyperlink>
    </w:p>
    <w:bookmarkEnd w:id="92"/>
    <w:bookmarkStart w:id="94"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3">
        <w:r>
          <w:rPr>
            <w:rStyle w:val="Hyperlink"/>
          </w:rPr>
          <w:t xml:space="preserve">https://doi.org/10.1111/gcb.13782</w:t>
        </w:r>
      </w:hyperlink>
    </w:p>
    <w:bookmarkEnd w:id="94"/>
    <w:bookmarkStart w:id="95"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5"/>
    <w:bookmarkStart w:id="97"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6">
        <w:r>
          <w:rPr>
            <w:rStyle w:val="Hyperlink"/>
          </w:rPr>
          <w:t xml:space="preserve">https://doi.org/10.1577/1548-8659(1945)75[43:ROTTSA]2.0.CO;2</w:t>
        </w:r>
      </w:hyperlink>
    </w:p>
    <w:bookmarkEnd w:id="97"/>
    <w:bookmarkStart w:id="98"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8"/>
    <w:bookmarkEnd w:id="99"/>
    <w:p>
      <w:r>
        <w:br w:type="page"/>
      </w:r>
    </w:p>
    <w:bookmarkEnd w:id="100"/>
    <w:bookmarkStart w:id="101"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plot_phenology()</w:t>
      </w:r>
      <w:r>
        <w:t xml:space="preserve"> </w:t>
      </w:r>
      <w:r>
        <w:t xml:space="preserve">function using predicted hatch time from</w:t>
      </w:r>
      <w:r>
        <w:t xml:space="preserve"> </w:t>
      </w:r>
      <w:r>
        <w:rPr>
          <w:rStyle w:val="VerbatimChar"/>
        </w:rPr>
        <w:t xml:space="preserve">woody_island</w:t>
      </w:r>
      <w:r>
        <w:t xml:space="preserve"> </w:t>
      </w:r>
      <w:r>
        <w:t xml:space="preserve">dataset.</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2025-06-30T15:10:13Z</dcterms:created>
  <dcterms:modified xsi:type="dcterms:W3CDTF">2025-06-30T15:10:13Z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