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MFSR Strontium Isoscape — Partner Water Sample Collection Guide</w:t>
      </w:r>
    </w:p>
    <w:p>
      <w:pPr>
        <w:pStyle w:val="Subtitle"/>
      </w:pPr>
      <w:r>
        <w:t xml:space="preserve">2026 field season</w:t>
      </w:r>
    </w:p>
    <w:bookmarkStart w:id="9" w:name="X19bf3c3a146de85037e47bd50f9f0648f0378dd"/>
    <w:p>
      <w:pPr>
        <w:pStyle w:val="Heading2"/>
      </w:pPr>
      <w:r>
        <w:t xml:space="preserve">Why we’re asking you to collect these samples</w:t>
      </w:r>
    </w:p>
    <w:p>
      <w:pPr>
        <w:pStyle w:val="FirstParagraph"/>
      </w:pPr>
      <w:r>
        <w:t xml:space="preserve">We’re building a strontium isotope (⁸⁷Sr/⁸⁶Sr) map of the Middle Fork Salmon River watershed. Different bedrock types (granite, volcanic rock, ancient metamorphic rock) leave a distinct, measurable chemical fingerprint in stream water — and Chinook salmon record that same fingerprint in their otoliths (ear bones) as they grow, the same way tree rings record a timeline. A water Sr sample from your stream gives us a real, ground-truthed data point for the map, which lets us later trace where a given fish spent its early life just by reading its otolith chemistry. Your samples fill in geography we can’t reach ourselves this season — thank you for helping with this.</w:t>
      </w:r>
    </w:p>
    <w:p>
      <w:pPr>
        <w:pStyle w:val="BodyText"/>
      </w:pPr>
      <w:r>
        <w:t xml:space="preserve">Questions at any point:</w:t>
      </w:r>
      <w:r>
        <w:t xml:space="preserve"> </w:t>
      </w:r>
      <w:r>
        <w:rPr>
          <w:b/>
          <w:bCs/>
        </w:rPr>
        <w:t xml:space="preserve">Bryan Maitland</w:t>
      </w:r>
      <w:r>
        <w:t xml:space="preserve">, USDA Forest Service Rocky Mountain Research Station — bryan.maitland@usda.gov, 917-838-0174.</w:t>
      </w:r>
    </w:p>
    <w:bookmarkEnd w:id="9"/>
    <w:bookmarkStart w:id="10" w:name="which-sites-youre-covering"/>
    <w:p>
      <w:pPr>
        <w:pStyle w:val="Heading2"/>
      </w:pPr>
      <w:r>
        <w:t xml:space="preserve">Which sites you’re covering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Stream</w:t>
            </w:r>
          </w:p>
        </w:tc>
        <w:tc>
          <w:tcPr/>
          <w:p>
            <w:pPr>
              <w:pStyle w:val="Compact"/>
            </w:pPr>
            <w:r>
              <w:t xml:space="preserve">Notes</w:t>
            </w:r>
          </w:p>
        </w:tc>
      </w:tr>
      <w:tr>
        <w:tc>
          <w:tcPr/>
          <w:p>
            <w:pPr>
              <w:pStyle w:val="Compact"/>
            </w:pPr>
            <w:r>
              <w:t xml:space="preserve">Colden Baxter (U Idaho) &amp; students</w:t>
            </w:r>
          </w:p>
        </w:tc>
        <w:tc>
          <w:tcPr/>
          <w:p>
            <w:pPr>
              <w:pStyle w:val="Compact"/>
            </w:pPr>
            <w:r>
              <w:t xml:space="preserve">Big Creek</w:t>
            </w:r>
          </w:p>
        </w:tc>
        <w:tc>
          <w:tcPr/>
          <w:p>
            <w:pPr>
              <w:pStyle w:val="Compact"/>
            </w:pPr>
            <w:r>
              <w:t xml:space="preserve">Existing confluence site</w:t>
            </w:r>
            <w:r>
              <w:t xml:space="preserve"> </w:t>
            </w:r>
            <w:r>
              <w:rPr>
                <w:rStyle w:val="VerbatimChar"/>
              </w:rPr>
              <w:t xml:space="preserve">BIG-010</w:t>
            </w:r>
            <w:r>
              <w:t xml:space="preserve"> </w:t>
            </w:r>
            <w:r>
              <w:t xml:space="preserve">(45.09418, -114.73425, @ MFSR confluence) is already established. Please also collect as many of the upstream candidate spots below as your trip allows — Big Creek is the single most geologically diverse tributary in the whole project, so spatial coverage along the mainstem matters a lot here.</w:t>
            </w:r>
          </w:p>
        </w:tc>
      </w:tr>
      <w:tr>
        <w:tc>
          <w:tcPr/>
          <w:p>
            <w:pPr>
              <w:pStyle w:val="Compact"/>
            </w:pPr>
            <w:r>
              <w:t xml:space="preserve">Colden Baxter (U Idaho) &amp; students</w:t>
            </w:r>
          </w:p>
        </w:tc>
        <w:tc>
          <w:tcPr/>
          <w:p>
            <w:pPr>
              <w:pStyle w:val="Compact"/>
            </w:pPr>
            <w:r>
              <w:t xml:space="preserve">Beaver Creek, Monumental Creek, Rush Creek (all near their Big Creek confluences)</w:t>
            </w:r>
          </w:p>
        </w:tc>
        <w:tc>
          <w:tcPr/>
          <w:p>
            <w:pPr>
              <w:pStyle w:val="Compact"/>
            </w:pPr>
            <w:r>
              <w:t xml:space="preserve">Confirmed as part of your Big Creek trip — see the sample spots below for each. Rush Creek beyond its near-confluence spot is remote and difficult, so realistically just the one sample there.</w:t>
            </w:r>
          </w:p>
        </w:tc>
      </w:tr>
      <w:tr>
        <w:tc>
          <w:tcPr/>
          <w:p>
            <w:pPr>
              <w:pStyle w:val="Compact"/>
            </w:pPr>
            <w:r>
              <w:t xml:space="preserve">Payette NF biologists</w:t>
            </w:r>
          </w:p>
        </w:tc>
        <w:tc>
          <w:tcPr/>
          <w:p>
            <w:pPr>
              <w:pStyle w:val="Compact"/>
            </w:pPr>
            <w:r>
              <w:t xml:space="preserve">Upper Monumental Creek</w:t>
            </w:r>
          </w:p>
        </w:tc>
        <w:tc>
          <w:tcPr/>
          <w:p>
            <w:pPr>
              <w:pStyle w:val="Compact"/>
            </w:pPr>
            <w:r>
              <w:t xml:space="preserve">See note below — the upper reach you’ll likely access sits on uniform bedrock, so one representative sample is enough there.</w:t>
            </w:r>
          </w:p>
        </w:tc>
      </w:tr>
      <w:tr>
        <w:tc>
          <w:tcPr/>
          <w:p>
            <w:pPr>
              <w:pStyle w:val="Compact"/>
            </w:pPr>
            <w:r>
              <w:t xml:space="preserve">Payette NF biologists (if able)</w:t>
            </w:r>
          </w:p>
        </w:tc>
        <w:tc>
          <w:tcPr/>
          <w:p>
            <w:pPr>
              <w:pStyle w:val="Compact"/>
            </w:pPr>
            <w:r>
              <w:t xml:space="preserve">Upper Beaver Creek</w:t>
            </w:r>
          </w:p>
        </w:tc>
        <w:tc>
          <w:tcPr/>
          <w:p>
            <w:pPr>
              <w:pStyle w:val="Compact"/>
            </w:pPr>
            <w:r>
              <w:t xml:space="preserve">Otherwise Bryan will plan to cover this himself.</w:t>
            </w:r>
          </w:p>
        </w:tc>
      </w:tr>
      <w:tr>
        <w:tc>
          <w:tcPr/>
          <w:p>
            <w:pPr>
              <w:pStyle w:val="Compact"/>
            </w:pPr>
            <w:r>
              <w:t xml:space="preserve">Payette NF biologists (if you go in)</w:t>
            </w:r>
          </w:p>
        </w:tc>
        <w:tc>
          <w:tcPr/>
          <w:p>
            <w:pPr>
              <w:pStyle w:val="Compact"/>
            </w:pPr>
            <w:r>
              <w:t xml:space="preserve">Marble Creek</w:t>
            </w:r>
          </w:p>
        </w:tc>
        <w:tc>
          <w:tcPr/>
          <w:p>
            <w:pPr>
              <w:pStyle w:val="Compact"/>
            </w:pPr>
            <w:r>
              <w:t xml:space="preserve">Existing confluence site</w:t>
            </w:r>
            <w:r>
              <w:t xml:space="preserve"> </w:t>
            </w:r>
            <w:r>
              <w:rPr>
                <w:rStyle w:val="VerbatimChar"/>
              </w:rPr>
              <w:t xml:space="preserve">MRB-010</w:t>
            </w:r>
            <w:r>
              <w:t xml:space="preserve"> </w:t>
            </w:r>
            <w:r>
              <w:t xml:space="preserve">(44.74471, -115.01748) already established; one additional upstream sample would help (see below).</w:t>
            </w:r>
          </w:p>
        </w:tc>
      </w:tr>
    </w:tbl>
    <w:p>
      <w:pPr>
        <w:pStyle w:val="BodyText"/>
      </w:pPr>
      <w:r>
        <w:rPr>
          <w:b/>
          <w:bCs/>
        </w:rPr>
        <w:t xml:space="preserve">Big Creek candidate spots</w:t>
      </w:r>
      <w:r>
        <w:t xml:space="preserve"> </w:t>
      </w:r>
      <w:r>
        <w:t xml:space="preserve">(based on mapped bedrock and, for three of these, a published 2012 reference dataset — see</w:t>
      </w:r>
      <w:r>
        <w:t xml:space="preserve"> </w:t>
      </w:r>
      <w:r>
        <w:rPr>
          <w:rStyle w:val="VerbatimChar"/>
        </w:rPr>
        <w:t xml:space="preserve">docs/site_selection_2026.qmd</w:t>
      </w:r>
      <w:r>
        <w:t xml:space="preserve"> </w:t>
      </w:r>
      <w:r>
        <w:t xml:space="preserve">for the full analysis). Roughly in order from the</w:t>
      </w:r>
      <w:r>
        <w:t xml:space="preserve"> </w:t>
      </w:r>
      <w:r>
        <w:rPr>
          <w:rStyle w:val="VerbatimChar"/>
        </w:rPr>
        <w:t xml:space="preserve">BIG-010</w:t>
      </w:r>
      <w:r>
        <w:t xml:space="preserve"> </w:t>
      </w:r>
      <w:r>
        <w:t xml:space="preserve">confluence heading upstream:</w:t>
      </w:r>
    </w:p>
    <w:p>
      <w:pPr>
        <w:pStyle w:val="Compact"/>
        <w:numPr>
          <w:ilvl w:val="0"/>
          <w:numId w:val="1001"/>
        </w:numPr>
      </w:pPr>
      <w:r>
        <w:t xml:space="preserve">~8.7 km upstream (~45.103°N, -114.846°W)</w:t>
      </w:r>
    </w:p>
    <w:p>
      <w:pPr>
        <w:pStyle w:val="Compact"/>
        <w:numPr>
          <w:ilvl w:val="0"/>
          <w:numId w:val="1001"/>
        </w:numPr>
      </w:pPr>
      <w:r>
        <w:t xml:space="preserve">~20.5 km upstream (~45.130°N, -114.951°W, where volcanic rock meets valley-fill deposits)</w:t>
      </w:r>
    </w:p>
    <w:p>
      <w:pPr>
        <w:pStyle w:val="Compact"/>
        <w:numPr>
          <w:ilvl w:val="0"/>
          <w:numId w:val="1001"/>
        </w:numPr>
      </w:pPr>
      <w:r>
        <w:t xml:space="preserve">~45 km upstream (~45.174°N, -115.180°W, a metamorphic/granite contact)</w:t>
      </w:r>
    </w:p>
    <w:p>
      <w:pPr>
        <w:pStyle w:val="Compact"/>
        <w:numPr>
          <w:ilvl w:val="0"/>
          <w:numId w:val="1001"/>
        </w:numPr>
      </w:pPr>
      <w:r>
        <w:t xml:space="preserve">~58 km upstream (~45.128°N, -115.314°W)</w:t>
      </w:r>
    </w:p>
    <w:p>
      <w:pPr>
        <w:pStyle w:val="Compact"/>
        <w:numPr>
          <w:ilvl w:val="0"/>
          <w:numId w:val="1001"/>
        </w:numPr>
      </w:pPr>
      <w:r>
        <w:t xml:space="preserve">~61 km upstream (~45.106°N, -115.328°W)</w:t>
      </w:r>
    </w:p>
    <w:p>
      <w:pPr>
        <w:pStyle w:val="FirstParagraph"/>
      </w:pPr>
      <w:r>
        <w:t xml:space="preserve">Treat these as</w:t>
      </w:r>
      <w:r>
        <w:t xml:space="preserve"> </w:t>
      </w:r>
      <w:r>
        <w:t xml:space="preserve">“aim near,”</w:t>
      </w:r>
      <w:r>
        <w:t xml:space="preserve"> </w:t>
      </w:r>
      <w:r>
        <w:t xml:space="preserve">not exact GPS targets — collect wherever is safe and reachable closest to each point, and prioritize the lower ones (8.7, 20.5 km) if the trip doesn’t reach all the way upstream.</w:t>
      </w:r>
    </w:p>
    <w:p>
      <w:pPr>
        <w:pStyle w:val="BodyText"/>
      </w:pPr>
      <w:r>
        <w:rPr>
          <w:b/>
          <w:bCs/>
        </w:rPr>
        <w:t xml:space="preserve">Rush Creek and (Big Creek’s) Beaver Creek</w:t>
      </w:r>
      <w:r>
        <w:t xml:space="preserve">: both have an easily reachable sample spot right near their mouths (Rush Creek: ~45.088°N, -114.882°W; Beaver Creek: ~45.173°N, -115.245°W) — everything further upstream on either is remote and not worth detouring for, so just the one sample from each. Neither sub-tributary is otherwise covered by anyone this season, so these two are a real addition to the dataset, not a bonus.</w:t>
      </w:r>
    </w:p>
    <w:p>
      <w:pPr>
        <w:pStyle w:val="BodyText"/>
      </w:pPr>
      <w:r>
        <w:rPr>
          <w:b/>
          <w:bCs/>
        </w:rPr>
        <w:t xml:space="preserve">Monumental Creek</w:t>
      </w:r>
      <w:r>
        <w:t xml:space="preserve">: there’s a worthwhile sample spot about 7.9 km up Monumental Creek from its mouth (~45.099°N, -115.157°W) — reachable from the Big Creek side rather than from the upper-Monumental trailhead route Payette’s crew is using (see the Monumental Creek note below for Payette’s separate upper-drainage coverage).</w:t>
      </w:r>
    </w:p>
    <w:p>
      <w:pPr>
        <w:pStyle w:val="BodyText"/>
      </w:pPr>
      <w:r>
        <w:rPr>
          <w:b/>
          <w:bCs/>
        </w:rPr>
        <w:t xml:space="preserve">Upper Monumental Creek note</w:t>
      </w:r>
      <w:r>
        <w:t xml:space="preserve">: our bedrock mapping shows the uppermost ~30+ km of Monumental Creek sits entirely within one volcanic rock unit — no internal contact up there for you to specifically target, so wherever you’re able to access is fine for a single representative sample. If your trip happens to reach down to about 15 km upstream of the Big Creek confluence (~45.066°N, -115.117°W), that’s the one spot where the mapped bedrock shifts to a metamorphic/sedimentary unit and a second sample there would be valuable — but only if it’s on your route already, not worth a special trip.</w:t>
      </w:r>
    </w:p>
    <w:p>
      <w:pPr>
        <w:pStyle w:val="BodyText"/>
      </w:pPr>
      <w:r>
        <w:rPr>
          <w:b/>
          <w:bCs/>
        </w:rPr>
        <w:t xml:space="preserve">Marble Creek candidate spot</w:t>
      </w:r>
      <w:r>
        <w:t xml:space="preserve">: ~11 km upstream of the confluence (~44.813°N, -114.981°W), where volcanic rock meets granite.</w:t>
      </w:r>
    </w:p>
    <w:p>
      <w:pPr>
        <w:pStyle w:val="BodyText"/>
      </w:pPr>
      <w:r>
        <w:t xml:space="preserve">If plans change and you end up covering different reaches than listed here, that’s fine — just record the actual GPS coordinates for whatever you collect (see datasheet fields below) so we can place it correctly.</w:t>
      </w:r>
    </w:p>
    <w:bookmarkEnd w:id="10"/>
    <w:bookmarkStart w:id="11" w:name="collection-protocol"/>
    <w:p>
      <w:pPr>
        <w:pStyle w:val="Heading2"/>
      </w:pPr>
      <w:r>
        <w:t xml:space="preserve">Collection protocol</w:t>
      </w:r>
    </w:p>
    <w:p>
      <w:pPr>
        <w:pStyle w:val="FirstParagraph"/>
      </w:pPr>
      <w:r>
        <w:rPr>
          <w:b/>
          <w:bCs/>
        </w:rPr>
        <w:t xml:space="preserve">Materials</w:t>
      </w:r>
      <w:r>
        <w:t xml:space="preserve"> </w:t>
      </w:r>
      <w:r>
        <w:t xml:space="preserve">(we can supply a kit if you don’t have these already):</w:t>
      </w:r>
    </w:p>
    <w:p>
      <w:pPr>
        <w:pStyle w:val="Compact"/>
        <w:numPr>
          <w:ilvl w:val="0"/>
          <w:numId w:val="1002"/>
        </w:numPr>
      </w:pPr>
      <w:r>
        <w:t xml:space="preserve">1 L Nalgene bottle (temporary collection/hold)</w:t>
      </w:r>
    </w:p>
    <w:p>
      <w:pPr>
        <w:pStyle w:val="Compact"/>
        <w:numPr>
          <w:ilvl w:val="0"/>
          <w:numId w:val="1002"/>
        </w:numPr>
      </w:pPr>
      <w:r>
        <w:t xml:space="preserve">125 mL acid-washed sample bottle (labeled)</w:t>
      </w:r>
    </w:p>
    <w:p>
      <w:pPr>
        <w:pStyle w:val="Compact"/>
        <w:numPr>
          <w:ilvl w:val="0"/>
          <w:numId w:val="1002"/>
        </w:numPr>
      </w:pPr>
      <w:r>
        <w:t xml:space="preserve">60 mL syringe, standard tip</w:t>
      </w:r>
    </w:p>
    <w:p>
      <w:pPr>
        <w:pStyle w:val="Compact"/>
        <w:numPr>
          <w:ilvl w:val="0"/>
          <w:numId w:val="1002"/>
        </w:numPr>
      </w:pPr>
      <w:r>
        <w:t xml:space="preserve">0.45 µm syringe filter</w:t>
      </w:r>
    </w:p>
    <w:p>
      <w:pPr>
        <w:pStyle w:val="Compact"/>
        <w:numPr>
          <w:ilvl w:val="0"/>
          <w:numId w:val="1002"/>
        </w:numPr>
      </w:pPr>
      <w:r>
        <w:t xml:space="preserve">Nitrile gloves</w:t>
      </w:r>
    </w:p>
    <w:p>
      <w:pPr>
        <w:pStyle w:val="Compact"/>
        <w:numPr>
          <w:ilvl w:val="0"/>
          <w:numId w:val="1002"/>
        </w:numPr>
      </w:pPr>
      <w:r>
        <w:t xml:space="preserve">Sharpie for labeling</w:t>
      </w:r>
    </w:p>
    <w:p>
      <w:pPr>
        <w:pStyle w:val="Compact"/>
        <w:numPr>
          <w:ilvl w:val="0"/>
          <w:numId w:val="1002"/>
        </w:numPr>
      </w:pPr>
      <w:r>
        <w:t xml:space="preserve">Cooler with ice</w:t>
      </w:r>
    </w:p>
    <w:p>
      <w:pPr>
        <w:pStyle w:val="FirstParagraph"/>
      </w:pPr>
      <w:r>
        <w:rPr>
          <w:b/>
          <w:bCs/>
        </w:rPr>
        <w:t xml:space="preserve">Steps</w:t>
      </w:r>
      <w:r>
        <w:t xml:space="preserve">:</w:t>
      </w:r>
    </w:p>
    <w:p>
      <w:pPr>
        <w:pStyle w:val="Compact"/>
        <w:numPr>
          <w:ilvl w:val="0"/>
          <w:numId w:val="1003"/>
        </w:numPr>
      </w:pPr>
      <w:r>
        <w:t xml:space="preserve">Put on nitrile gloves. Collect ~1 L of stream water in the Nalgene bottle, from mid-current if possible (avoid stagnant edges/backwater).</w:t>
      </w:r>
    </w:p>
    <w:p>
      <w:pPr>
        <w:pStyle w:val="Compact"/>
        <w:numPr>
          <w:ilvl w:val="0"/>
          <w:numId w:val="1003"/>
        </w:numPr>
      </w:pPr>
      <w:r>
        <w:t xml:space="preserve">Attach the syringe (no filter yet). Draw and expel water from the Nalgene through the syringe 3 times to rinse it.</w:t>
      </w:r>
    </w:p>
    <w:p>
      <w:pPr>
        <w:pStyle w:val="Compact"/>
        <w:numPr>
          <w:ilvl w:val="0"/>
          <w:numId w:val="1003"/>
        </w:numPr>
      </w:pPr>
      <w:r>
        <w:t xml:space="preserve">Rinse the 125 mL sample bottle: expel ~2-5 mL from the syringe onto the ground first (this clears the filter’s storage residue once attached — see step 4), then add ~5-10 mL of sample water to the bottle, cap, shake vigorously, and dump. Repeat 3 times.</w:t>
      </w:r>
    </w:p>
    <w:p>
      <w:pPr>
        <w:pStyle w:val="Compact"/>
        <w:numPr>
          <w:ilvl w:val="0"/>
          <w:numId w:val="1003"/>
        </w:numPr>
      </w:pPr>
      <w:r>
        <w:t xml:space="preserve">Attach the 0.45 µm syringe filter to the syringe.</w:t>
      </w:r>
      <w:r>
        <w:t xml:space="preserve"> </w:t>
      </w:r>
      <w:r>
        <w:rPr>
          <w:b/>
          <w:bCs/>
        </w:rPr>
        <w:t xml:space="preserve">Do not let the filter touch anything except the plastic packaging it came in</w:t>
      </w:r>
      <w:r>
        <w:t xml:space="preserve"> </w:t>
      </w:r>
      <w:r>
        <w:t xml:space="preserve">— no hands, no ground, no bottle threads.</w:t>
      </w:r>
    </w:p>
    <w:p>
      <w:pPr>
        <w:pStyle w:val="Compact"/>
        <w:numPr>
          <w:ilvl w:val="0"/>
          <w:numId w:val="1003"/>
        </w:numPr>
      </w:pPr>
      <w:r>
        <w:t xml:space="preserve">Draw water from the Nalgene into the syringe and push it through the filter into the 125 mL sample bottle until you have ~125 mL (refill the syringe from the Nalgene as needed).</w:t>
      </w:r>
    </w:p>
    <w:p>
      <w:pPr>
        <w:pStyle w:val="Compact"/>
        <w:numPr>
          <w:ilvl w:val="0"/>
          <w:numId w:val="1003"/>
        </w:numPr>
      </w:pPr>
      <w:r>
        <w:t xml:space="preserve">Cap the bottle immediately and label it (see below).</w:t>
      </w:r>
    </w:p>
    <w:p>
      <w:pPr>
        <w:pStyle w:val="Compact"/>
        <w:numPr>
          <w:ilvl w:val="0"/>
          <w:numId w:val="1003"/>
        </w:numPr>
      </w:pPr>
      <w:r>
        <w:t xml:space="preserve">Keep the bottle cool (not frozen) from here until it reaches a vehicle — see the next section for how to do that on a multi-day backcountry trip with no cooler immediately at hand.</w:t>
      </w:r>
    </w:p>
    <w:bookmarkEnd w:id="11"/>
    <w:bookmarkStart w:id="12" w:name="keeping-samples-cool-in-the-backcountry"/>
    <w:p>
      <w:pPr>
        <w:pStyle w:val="Heading2"/>
      </w:pPr>
      <w:r>
        <w:t xml:space="preserve">Keeping samples cool in the backcountry</w:t>
      </w:r>
    </w:p>
    <w:p>
      <w:pPr>
        <w:pStyle w:val="FirstParagraph"/>
      </w:pPr>
      <w:r>
        <w:t xml:space="preserve">Most of these sites are a multi-day backpacking or camping trip from the nearest vehicle, so</w:t>
      </w:r>
      <w:r>
        <w:t xml:space="preserve"> </w:t>
      </w:r>
      <w:r>
        <w:t xml:space="preserve">“on ice”</w:t>
      </w:r>
      <w:r>
        <w:t xml:space="preserve"> </w:t>
      </w:r>
      <w:r>
        <w:t xml:space="preserve">from step 7 above usually isn’t available right away. The goal is to keep bottles cool (not frozen) from collection until they reach a vehicle, then a cooler, then the lab fridge.</w:t>
      </w:r>
    </w:p>
    <w:p>
      <w:pPr>
        <w:pStyle w:val="BodyText"/>
      </w:pPr>
      <w:r>
        <w:rPr>
          <w:b/>
          <w:bCs/>
        </w:rPr>
        <w:t xml:space="preserve">Why it matters</w:t>
      </w:r>
      <w:r>
        <w:t xml:space="preserve">: per the ICP-MS lab, there are two reasons to keep samples cool. First, to prevent algae growth — algae doesn’t fractionate strontium itself, but it can make the column chemistry (the lab prep step that isolates Sr from everything else in the sample) messier. Second, heat accelerates the sample leaching plastic from the bottle itself; acid-washing the bottle first (already part of our kit — see Materials above) reduces this but doesn’t eliminate it.</w:t>
      </w:r>
    </w:p>
    <w:p>
      <w:pPr>
        <w:pStyle w:val="BodyText"/>
      </w:pPr>
      <w:r>
        <w:rPr>
          <w:b/>
          <w:bCs/>
        </w:rPr>
        <w:t xml:space="preserve">How strict this actually needs to be</w:t>
      </w:r>
      <w:r>
        <w:t xml:space="preserve">: there’s no hard temperature threshold, and the lab understands the realities of backcountry fieldwork. The main failure mode to avoid is</w:t>
      </w:r>
      <w:r>
        <w:t xml:space="preserve"> </w:t>
      </w:r>
      <w:r>
        <w:rPr>
          <w:i/>
          <w:iCs/>
        </w:rPr>
        <w:t xml:space="preserve">visible</w:t>
      </w:r>
      <w:r>
        <w:t xml:space="preserve"> </w:t>
      </w:r>
      <w:r>
        <w:t xml:space="preserve">algae growth in the bottle. If an insulated cooler setup is too much to carry, overnight stream cooling (below) on its own is a workable compromise — it doesn’t need to be paired with the in-transit cooler if that’s not practical for your trip.</w:t>
      </w:r>
    </w:p>
    <w:p>
      <w:pPr>
        <w:pStyle w:val="BodyText"/>
      </w:pPr>
      <w:r>
        <w:t xml:space="preserve">Recommended approach:</w:t>
      </w:r>
    </w:p>
    <w:p>
      <w:pPr>
        <w:pStyle w:val="Compact"/>
        <w:numPr>
          <w:ilvl w:val="0"/>
          <w:numId w:val="1004"/>
        </w:numPr>
      </w:pPr>
      <w:r>
        <w:rPr>
          <w:b/>
          <w:bCs/>
        </w:rPr>
        <w:t xml:space="preserve">Overnight — cache in a stream or spring.</w:t>
      </w:r>
      <w:r>
        <w:t xml:space="preserve"> </w:t>
      </w:r>
      <w:r>
        <w:t xml:space="preserve">Submerge bottles in a mesh or dive bag, weighted and secured to a rock or branch, in a shaded side stream or spring near camp. Idaho backcountry streams run ~4–10°C even in summer — more effective and more stable overnight than a melting ice pack would be by day 2-3, and on its own is enough to avoid the main concern (algae growth) if that’s as far as your trip allows.</w:t>
      </w:r>
    </w:p>
    <w:p>
      <w:pPr>
        <w:pStyle w:val="Compact"/>
        <w:numPr>
          <w:ilvl w:val="0"/>
          <w:numId w:val="1004"/>
        </w:numPr>
      </w:pPr>
      <w:r>
        <w:rPr>
          <w:b/>
          <w:bCs/>
        </w:rPr>
        <w:t xml:space="preserve">While hiking — minimize heat gain rather than actively refrigerate.</w:t>
      </w:r>
      <w:r>
        <w:t xml:space="preserve"> </w:t>
      </w:r>
      <w:r>
        <w:t xml:space="preserve">Pack bottles in the coolest, shadiest part of your pack (not the sun-exposed lid, not against your back). A layer of spare clothing or Reflectix (foil bubble wrap) adds insulation; a wetted bandana or wet stuff sack around the bottles gives free evaporative cooling in Idaho’s dry mountain air.</w:t>
      </w:r>
    </w:p>
    <w:p>
      <w:pPr>
        <w:pStyle w:val="Compact"/>
        <w:numPr>
          <w:ilvl w:val="0"/>
          <w:numId w:val="1004"/>
        </w:numPr>
      </w:pPr>
      <w:r>
        <w:rPr>
          <w:b/>
          <w:bCs/>
        </w:rPr>
        <w:t xml:space="preserve">In-transit protection: a YETI Daytrip 5L Lunch Box + YETI Ice Sheet</w:t>
      </w:r>
      <w:r>
        <w:t xml:space="preserve"> </w:t>
      </w:r>
      <w:r>
        <w:t xml:space="preserve">(Bryan’s kit uses this combo, and can supply it — see Materials above). It’s semi-rigid (protects bottles from crushing) and pairs with a flat, refreezable ice sheet instead of bulky block ice. We picked this over a YETI Hopper Flip 12 soft cooler or a large Rambler-style thermos, both of which add too much pack weight (the Hopper Flip 12 alone runs ~3-3.4 lbs empty) relative to the small volume of sample being cooled and aren’t efficient for several small, oddly-shaped bottles. The Daytrip 5L is ~1.4 lbs empty but runs shallower than expected — test-pack it with your actual sample bottles and the ice sheet before a trip to make sure everything fits.</w:t>
      </w:r>
    </w:p>
    <w:p>
      <w:pPr>
        <w:pStyle w:val="Compact"/>
        <w:numPr>
          <w:ilvl w:val="0"/>
          <w:numId w:val="1004"/>
        </w:numPr>
      </w:pPr>
      <w:r>
        <w:rPr>
          <w:b/>
          <w:bCs/>
        </w:rPr>
        <w:t xml:space="preserve">Fallback</w:t>
      </w:r>
      <w:r>
        <w:t xml:space="preserve">: frozen drinking-water bottles work as the ice source instead of dedicated ice packs, so the cooling element does double duty as trail water once it melts.</w:t>
      </w:r>
    </w:p>
    <w:bookmarkEnd w:id="12"/>
    <w:bookmarkStart w:id="13" w:name="labeling-and-datasheet"/>
    <w:p>
      <w:pPr>
        <w:pStyle w:val="Heading2"/>
      </w:pPr>
      <w:r>
        <w:t xml:space="preserve">Labeling and datasheet</w:t>
      </w:r>
    </w:p>
    <w:p>
      <w:pPr>
        <w:pStyle w:val="FirstParagraph"/>
      </w:pPr>
      <w:r>
        <w:t xml:space="preserve">Label each bottle with a site code in the format</w:t>
      </w:r>
      <w:r>
        <w:t xml:space="preserve"> </w:t>
      </w:r>
      <w:r>
        <w:rPr>
          <w:rStyle w:val="VerbatimChar"/>
        </w:rPr>
        <w:t xml:space="preserve">[STREAM]-[POSITION]</w:t>
      </w:r>
      <w:r>
        <w:t xml:space="preserve"> </w:t>
      </w:r>
      <w:r>
        <w:t xml:space="preserve">(e.g. </w:t>
      </w:r>
      <w:r>
        <w:rPr>
          <w:rStyle w:val="VerbatimChar"/>
        </w:rPr>
        <w:t xml:space="preserve">BIG-010</w:t>
      </w:r>
      <w:r>
        <w:t xml:space="preserve">,</w:t>
      </w:r>
      <w:r>
        <w:t xml:space="preserve"> </w:t>
      </w:r>
      <w:r>
        <w:rPr>
          <w:rStyle w:val="VerbatimChar"/>
        </w:rPr>
        <w:t xml:space="preserve">MON-020</w:t>
      </w:r>
      <w:r>
        <w:t xml:space="preserve">) — use the existing code from the table above if you’re at an established site, or make up a placeholder like</w:t>
      </w:r>
      <w:r>
        <w:t xml:space="preserve"> </w:t>
      </w:r>
      <w:r>
        <w:rPr>
          <w:rStyle w:val="VerbatimChar"/>
        </w:rPr>
        <w:t xml:space="preserve">MON-NEW1</w:t>
      </w:r>
      <w:r>
        <w:t xml:space="preserve"> </w:t>
      </w:r>
      <w:r>
        <w:t xml:space="preserve">if you’re at a new spot and let Bryan assign the real code afterward. Do not reuse an existing code for a different physical location.</w:t>
      </w:r>
    </w:p>
    <w:p>
      <w:pPr>
        <w:pStyle w:val="BodyText"/>
      </w:pPr>
      <w:r>
        <w:t xml:space="preserve">For every sample,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Example</w:t>
            </w:r>
          </w:p>
        </w:tc>
      </w:tr>
      <w:tr>
        <w:tc>
          <w:tcPr/>
          <w:p>
            <w:pPr>
              <w:pStyle w:val="Compact"/>
            </w:pPr>
            <w:r>
              <w:t xml:space="preserve">Site code (or placeholder)</w:t>
            </w:r>
          </w:p>
        </w:tc>
        <w:tc>
          <w:tcPr/>
          <w:p>
            <w:pPr>
              <w:pStyle w:val="Compact"/>
            </w:pPr>
            <w:r>
              <w:rPr>
                <w:rStyle w:val="VerbatimChar"/>
              </w:rPr>
              <w:t xml:space="preserve">BIG-020</w:t>
            </w:r>
            <w:r>
              <w:t xml:space="preserve"> </w:t>
            </w:r>
            <w:r>
              <w:t xml:space="preserve">or</w:t>
            </w:r>
            <w:r>
              <w:t xml:space="preserve"> </w:t>
            </w:r>
            <w:r>
              <w:rPr>
                <w:rStyle w:val="VerbatimChar"/>
              </w:rPr>
              <w:t xml:space="preserve">MON-NEW1</w:t>
            </w:r>
          </w:p>
        </w:tc>
      </w:tr>
      <w:tr>
        <w:tc>
          <w:tcPr/>
          <w:p>
            <w:pPr>
              <w:pStyle w:val="Compact"/>
            </w:pPr>
            <w:r>
              <w:t xml:space="preserve">Date</w:t>
            </w:r>
          </w:p>
        </w:tc>
        <w:tc>
          <w:tcPr/>
          <w:p>
            <w:pPr>
              <w:pStyle w:val="Compact"/>
            </w:pPr>
            <w:r>
              <w:t xml:space="preserve">7/15/2026</w:t>
            </w:r>
          </w:p>
        </w:tc>
      </w:tr>
      <w:tr>
        <w:tc>
          <w:tcPr/>
          <w:p>
            <w:pPr>
              <w:pStyle w:val="Compact"/>
            </w:pPr>
            <w:r>
              <w:t xml:space="preserve">GPS coordinates (decimal degrees)</w:t>
            </w:r>
          </w:p>
        </w:tc>
        <w:tc>
          <w:tcPr/>
          <w:p>
            <w:pPr>
              <w:pStyle w:val="Compact"/>
            </w:pPr>
            <w:r>
              <w:t xml:space="preserve">45.1302, -115.9512</w:t>
            </w:r>
          </w:p>
        </w:tc>
      </w:tr>
      <w:tr>
        <w:tc>
          <w:tcPr/>
          <w:p>
            <w:pPr>
              <w:pStyle w:val="Compact"/>
            </w:pPr>
            <w:r>
              <w:t xml:space="preserve">Collector name</w:t>
            </w:r>
          </w:p>
        </w:tc>
        <w:tc>
          <w:tcPr/>
          <w:p>
            <w:pPr>
              <w:pStyle w:val="Compact"/>
            </w:pPr>
          </w:p>
        </w:tc>
      </w:tr>
      <w:tr>
        <w:tc>
          <w:tcPr/>
          <w:p>
            <w:pPr>
              <w:pStyle w:val="Compact"/>
            </w:pPr>
            <w:r>
              <w:t xml:space="preserve">Time of day</w:t>
            </w:r>
          </w:p>
        </w:tc>
        <w:tc>
          <w:tcPr/>
          <w:p>
            <w:pPr>
              <w:pStyle w:val="Compact"/>
            </w:pPr>
          </w:p>
        </w:tc>
      </w:tr>
      <w:tr>
        <w:tc>
          <w:tcPr/>
          <w:p>
            <w:pPr>
              <w:pStyle w:val="Compact"/>
            </w:pPr>
            <w:r>
              <w:t xml:space="preserve">Notes (turbidity, flow, anything unusual)</w:t>
            </w:r>
          </w:p>
        </w:tc>
        <w:tc>
          <w:tcPr/>
          <w:p>
            <w:pPr>
              <w:pStyle w:val="Compact"/>
            </w:pPr>
          </w:p>
        </w:tc>
      </w:tr>
    </w:tbl>
    <w:p>
      <w:pPr>
        <w:pStyle w:val="BodyText"/>
      </w:pPr>
      <w:r>
        <w:t xml:space="preserve">A photo of the site (looking upstream and downstream) is a nice bonus but not required.</w:t>
      </w:r>
    </w:p>
    <w:bookmarkEnd w:id="13"/>
    <w:bookmarkStart w:id="14" w:name="getting-samples-back-to-us"/>
    <w:p>
      <w:pPr>
        <w:pStyle w:val="Heading2"/>
      </w:pPr>
      <w:r>
        <w:t xml:space="preserve">Getting samples back to us</w:t>
      </w:r>
    </w:p>
    <w:p>
      <w:pPr>
        <w:pStyle w:val="FirstParagraph"/>
      </w:pPr>
      <w:r>
        <w:t xml:space="preserve">Once you’re back at a vehicle, keep samples cool (see above) until you can either hand them off in person or ship them. If shipping, pack with an ice source in a cooler or insulated box and contact Bryan first to arrange timing and a shipping address — samples sitting in transit too long can be affected, so we’ll coordinate the fastest path back.</w:t>
      </w:r>
    </w:p>
    <w:p>
      <w:pPr>
        <w:pStyle w:val="BodyText"/>
      </w:pPr>
      <w:r>
        <w:t xml:space="preserve">Thanks again for helping expand this dataset — every tributary sample directly improves what we can say about where these fish come from.</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MFSR Strontium Isoscape — Partner Water Sample Collection Guide</dc:title>
  <dc:creator/>
  <cp:keywords/>
  <dcterms:created xsi:type="dcterms:W3CDTF">2026-07-08T21:22:28Z</dcterms:created>
  <dcterms:modified xsi:type="dcterms:W3CDTF">2026-07-08T21:22:28Z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2026 field season</vt:lpwstr>
  </property>
  <property fmtid="{D5CDD505-2E9C-101B-9397-08002B2CF9AE}" pid="9" name="toc-title">
    <vt:lpwstr>Table of contents</vt:lpwstr>
  </property>
</Properties>
</file>