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10A3C" w14:textId="77777777" w:rsidR="00D97851" w:rsidRPr="00F61073" w:rsidRDefault="00D97851" w:rsidP="00D97851">
      <w:pPr>
        <w:spacing w:after="160" w:line="360" w:lineRule="auto"/>
        <w:rPr>
          <w:rFonts w:ascii="Times New Roman" w:eastAsia="Times New Roman" w:hAnsi="Times New Roman" w:cs="Times New Roman"/>
          <w:i/>
          <w:sz w:val="22"/>
          <w:szCs w:val="22"/>
        </w:rPr>
      </w:pPr>
      <w:r w:rsidRPr="00F61073">
        <w:rPr>
          <w:rFonts w:ascii="Times New Roman" w:eastAsia="Times New Roman" w:hAnsi="Times New Roman" w:cs="Times New Roman"/>
          <w:i/>
          <w:sz w:val="22"/>
          <w:szCs w:val="22"/>
        </w:rPr>
        <w:t>1. Question from Merav Ben-David (only part 5 is new).</w:t>
      </w:r>
    </w:p>
    <w:p w14:paraId="230273F2" w14:textId="77777777" w:rsidR="00D97851" w:rsidRPr="00F61073" w:rsidRDefault="00D97851" w:rsidP="00D97851">
      <w:pPr>
        <w:numPr>
          <w:ilvl w:val="0"/>
          <w:numId w:val="1"/>
        </w:numPr>
        <w:spacing w:after="160" w:line="360" w:lineRule="auto"/>
        <w:rPr>
          <w:rFonts w:ascii="Times New Roman" w:eastAsia="Times New Roman" w:hAnsi="Times New Roman" w:cs="Times New Roman"/>
          <w:sz w:val="22"/>
          <w:szCs w:val="22"/>
        </w:rPr>
      </w:pPr>
      <w:r w:rsidRPr="00F61073">
        <w:rPr>
          <w:rFonts w:ascii="Times New Roman" w:eastAsia="Times New Roman" w:hAnsi="Times New Roman" w:cs="Times New Roman"/>
          <w:sz w:val="22"/>
          <w:szCs w:val="22"/>
        </w:rPr>
        <w:t xml:space="preserve">Using the </w:t>
      </w:r>
      <w:proofErr w:type="spellStart"/>
      <w:r w:rsidRPr="00F61073">
        <w:rPr>
          <w:rFonts w:ascii="Times New Roman" w:eastAsia="Times New Roman" w:hAnsi="Times New Roman" w:cs="Times New Roman"/>
          <w:sz w:val="22"/>
          <w:szCs w:val="22"/>
        </w:rPr>
        <w:t>rKIN</w:t>
      </w:r>
      <w:proofErr w:type="spellEnd"/>
      <w:r w:rsidRPr="00F61073">
        <w:rPr>
          <w:rFonts w:ascii="Times New Roman" w:eastAsia="Times New Roman" w:hAnsi="Times New Roman" w:cs="Times New Roman"/>
          <w:sz w:val="22"/>
          <w:szCs w:val="22"/>
        </w:rPr>
        <w:t xml:space="preserve"> package (</w:t>
      </w:r>
      <w:hyperlink r:id="rId5" w:history="1">
        <w:r w:rsidRPr="00F61073">
          <w:rPr>
            <w:rFonts w:ascii="Times New Roman" w:eastAsia="Times New Roman" w:hAnsi="Times New Roman" w:cs="Times New Roman"/>
            <w:color w:val="0563C1"/>
            <w:sz w:val="22"/>
            <w:szCs w:val="22"/>
            <w:u w:val="single"/>
          </w:rPr>
          <w:t>https://github.com/salbeke/rKIN</w:t>
        </w:r>
      </w:hyperlink>
      <w:r w:rsidRPr="00F61073">
        <w:rPr>
          <w:rFonts w:ascii="Times New Roman" w:eastAsia="Times New Roman" w:hAnsi="Times New Roman" w:cs="Times New Roman"/>
          <w:sz w:val="22"/>
          <w:szCs w:val="22"/>
        </w:rPr>
        <w:t xml:space="preserve">) please create an </w:t>
      </w:r>
      <w:proofErr w:type="spellStart"/>
      <w:r w:rsidRPr="00F61073">
        <w:rPr>
          <w:rFonts w:ascii="Times New Roman" w:eastAsia="Times New Roman" w:hAnsi="Times New Roman" w:cs="Times New Roman"/>
          <w:sz w:val="22"/>
          <w:szCs w:val="22"/>
        </w:rPr>
        <w:t>isospace</w:t>
      </w:r>
      <w:proofErr w:type="spellEnd"/>
      <w:r w:rsidRPr="00F61073">
        <w:rPr>
          <w:rFonts w:ascii="Times New Roman" w:eastAsia="Times New Roman" w:hAnsi="Times New Roman" w:cs="Times New Roman"/>
          <w:sz w:val="22"/>
          <w:szCs w:val="22"/>
        </w:rPr>
        <w:t xml:space="preserve"> for prey in one of your river study sites. You may select any location with 3 or more prey species.</w:t>
      </w:r>
    </w:p>
    <w:p w14:paraId="3026BDB7" w14:textId="77777777" w:rsidR="00D97851" w:rsidRPr="00F61073" w:rsidRDefault="00D97851" w:rsidP="00D97851">
      <w:pPr>
        <w:numPr>
          <w:ilvl w:val="0"/>
          <w:numId w:val="1"/>
        </w:numPr>
        <w:spacing w:after="160" w:line="360" w:lineRule="auto"/>
        <w:rPr>
          <w:rFonts w:ascii="Times New Roman" w:eastAsia="Times New Roman" w:hAnsi="Times New Roman" w:cs="Times New Roman"/>
          <w:sz w:val="22"/>
          <w:szCs w:val="22"/>
        </w:rPr>
      </w:pPr>
      <w:r w:rsidRPr="00F61073">
        <w:rPr>
          <w:rFonts w:ascii="Times New Roman" w:eastAsia="Times New Roman" w:hAnsi="Times New Roman" w:cs="Times New Roman"/>
          <w:sz w:val="22"/>
          <w:szCs w:val="22"/>
        </w:rPr>
        <w:t xml:space="preserve">After modifying the attached </w:t>
      </w:r>
      <w:proofErr w:type="spellStart"/>
      <w:r w:rsidRPr="00F61073">
        <w:rPr>
          <w:rFonts w:ascii="Times New Roman" w:eastAsia="Times New Roman" w:hAnsi="Times New Roman" w:cs="Times New Roman"/>
          <w:sz w:val="22"/>
          <w:szCs w:val="22"/>
        </w:rPr>
        <w:t>MatLab</w:t>
      </w:r>
      <w:proofErr w:type="spellEnd"/>
      <w:r w:rsidRPr="00F61073">
        <w:rPr>
          <w:rFonts w:ascii="Times New Roman" w:eastAsia="Times New Roman" w:hAnsi="Times New Roman" w:cs="Times New Roman"/>
          <w:sz w:val="22"/>
          <w:szCs w:val="22"/>
        </w:rPr>
        <w:t xml:space="preserve"> code to R, please model the feeding behavior of one of your predator species. These are called broken stick models and were first proposed by McArthur (1957, 1961) to describe the packing of species by niche partitioning (see illustration below). Nonetheless, they have been used to model dietary contributions (Flaherty and Ben-David 2010). The model that best fits your assignment is model 4 (one habitat and multiple prey). In the attached </w:t>
      </w:r>
      <w:proofErr w:type="spellStart"/>
      <w:r w:rsidRPr="00F61073">
        <w:rPr>
          <w:rFonts w:ascii="Times New Roman" w:eastAsia="Times New Roman" w:hAnsi="Times New Roman" w:cs="Times New Roman"/>
          <w:sz w:val="22"/>
          <w:szCs w:val="22"/>
        </w:rPr>
        <w:t>MatLab</w:t>
      </w:r>
      <w:proofErr w:type="spellEnd"/>
      <w:r w:rsidRPr="00F61073">
        <w:rPr>
          <w:rFonts w:ascii="Times New Roman" w:eastAsia="Times New Roman" w:hAnsi="Times New Roman" w:cs="Times New Roman"/>
          <w:sz w:val="22"/>
          <w:szCs w:val="22"/>
        </w:rPr>
        <w:t xml:space="preserve"> code the “kestrels” are randomly foraging on each prey type drawing from a normal distribution of prey isotopic signatures. You should be using the results from </w:t>
      </w:r>
      <w:proofErr w:type="spellStart"/>
      <w:r w:rsidRPr="00F61073">
        <w:rPr>
          <w:rFonts w:ascii="Times New Roman" w:eastAsia="Times New Roman" w:hAnsi="Times New Roman" w:cs="Times New Roman"/>
          <w:sz w:val="22"/>
          <w:szCs w:val="22"/>
        </w:rPr>
        <w:t>rKIN</w:t>
      </w:r>
      <w:proofErr w:type="spellEnd"/>
      <w:r w:rsidRPr="00F61073">
        <w:rPr>
          <w:rFonts w:ascii="Times New Roman" w:eastAsia="Times New Roman" w:hAnsi="Times New Roman" w:cs="Times New Roman"/>
          <w:sz w:val="22"/>
          <w:szCs w:val="22"/>
        </w:rPr>
        <w:t xml:space="preserve"> such that the predator consumes prey according to their real distribution. For example, if your predator consumes 20% of prey A, it should be consuming 10% of that prey within the 50% contour of the KUD.</w:t>
      </w:r>
    </w:p>
    <w:p w14:paraId="5948F52A" w14:textId="77777777" w:rsidR="00D97851" w:rsidRPr="00F61073" w:rsidRDefault="00D97851" w:rsidP="00D97851">
      <w:pPr>
        <w:spacing w:after="160" w:line="360" w:lineRule="auto"/>
        <w:rPr>
          <w:rFonts w:ascii="Times New Roman" w:eastAsia="Times New Roman" w:hAnsi="Times New Roman" w:cs="Times New Roman"/>
          <w:sz w:val="22"/>
          <w:szCs w:val="22"/>
        </w:rPr>
      </w:pPr>
      <w:r w:rsidRPr="00F61073">
        <w:rPr>
          <w:rFonts w:ascii="Times New Roman" w:eastAsia="Times New Roman" w:hAnsi="Times New Roman" w:cs="Times New Roman"/>
          <w:noProof/>
          <w:sz w:val="22"/>
          <w:szCs w:val="22"/>
        </w:rPr>
        <w:drawing>
          <wp:inline distT="0" distB="0" distL="0" distR="0" wp14:anchorId="256B4D6D" wp14:editId="0E6DE9E0">
            <wp:extent cx="2509736" cy="1828191"/>
            <wp:effectExtent l="0" t="0" r="5080" b="635"/>
            <wp:docPr id="32" name="Picture 32" descr="Dominance-preemp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inance-preemption.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2873" cy="1874183"/>
                    </a:xfrm>
                    <a:prstGeom prst="rect">
                      <a:avLst/>
                    </a:prstGeom>
                    <a:noFill/>
                    <a:ln>
                      <a:noFill/>
                    </a:ln>
                  </pic:spPr>
                </pic:pic>
              </a:graphicData>
            </a:graphic>
          </wp:inline>
        </w:drawing>
      </w:r>
    </w:p>
    <w:p w14:paraId="5EF2245F" w14:textId="77777777" w:rsidR="00D97851" w:rsidRPr="00F61073" w:rsidRDefault="00D97851" w:rsidP="00D97851">
      <w:pPr>
        <w:numPr>
          <w:ilvl w:val="0"/>
          <w:numId w:val="1"/>
        </w:numPr>
        <w:spacing w:after="160" w:line="360" w:lineRule="auto"/>
        <w:rPr>
          <w:rFonts w:ascii="Times New Roman" w:eastAsia="Times New Roman" w:hAnsi="Times New Roman" w:cs="Times New Roman"/>
          <w:sz w:val="22"/>
          <w:szCs w:val="22"/>
        </w:rPr>
      </w:pPr>
      <w:r w:rsidRPr="00F61073">
        <w:rPr>
          <w:rFonts w:ascii="Times New Roman" w:eastAsia="Times New Roman" w:hAnsi="Times New Roman" w:cs="Times New Roman"/>
          <w:sz w:val="22"/>
          <w:szCs w:val="22"/>
        </w:rPr>
        <w:t>Please generate 25 “virtual” predators. You may repeat this exercise with several discrimination factors as you see fit (at least until you complete your captive experiments). Then compare the simulated data to the OBSERVED isotopic signatures for that species in that location.</w:t>
      </w:r>
    </w:p>
    <w:p w14:paraId="0A6A41BB" w14:textId="77777777" w:rsidR="00D97851" w:rsidRPr="00F61073" w:rsidRDefault="00D97851" w:rsidP="00D97851">
      <w:pPr>
        <w:numPr>
          <w:ilvl w:val="0"/>
          <w:numId w:val="1"/>
        </w:numPr>
        <w:spacing w:after="160" w:line="360" w:lineRule="auto"/>
        <w:rPr>
          <w:rFonts w:ascii="Times New Roman" w:eastAsia="Times New Roman" w:hAnsi="Times New Roman" w:cs="Times New Roman"/>
          <w:sz w:val="22"/>
          <w:szCs w:val="22"/>
        </w:rPr>
      </w:pPr>
      <w:r w:rsidRPr="00F61073">
        <w:rPr>
          <w:rFonts w:ascii="Times New Roman" w:eastAsia="Times New Roman" w:hAnsi="Times New Roman" w:cs="Times New Roman"/>
          <w:sz w:val="22"/>
          <w:szCs w:val="22"/>
        </w:rPr>
        <w:t xml:space="preserve">Please use programs </w:t>
      </w:r>
      <w:proofErr w:type="spellStart"/>
      <w:r w:rsidRPr="00F61073">
        <w:rPr>
          <w:rFonts w:ascii="Times New Roman" w:eastAsia="Times New Roman" w:hAnsi="Times New Roman" w:cs="Times New Roman"/>
          <w:sz w:val="22"/>
          <w:szCs w:val="22"/>
        </w:rPr>
        <w:t>MixSIAR</w:t>
      </w:r>
      <w:proofErr w:type="spellEnd"/>
      <w:r w:rsidRPr="00F61073">
        <w:rPr>
          <w:rFonts w:ascii="Times New Roman" w:eastAsia="Times New Roman" w:hAnsi="Times New Roman" w:cs="Times New Roman"/>
          <w:sz w:val="22"/>
          <w:szCs w:val="22"/>
        </w:rPr>
        <w:t xml:space="preserve"> and SISUS (mixing models) to estimate the relative contribution of the different prey to those of your OBSEREVED predators.</w:t>
      </w:r>
    </w:p>
    <w:p w14:paraId="0EF32B6D" w14:textId="64690262" w:rsidR="00CF7982" w:rsidRDefault="00D97851" w:rsidP="00D97851">
      <w:pPr>
        <w:numPr>
          <w:ilvl w:val="0"/>
          <w:numId w:val="1"/>
        </w:numPr>
        <w:spacing w:after="160" w:line="360" w:lineRule="auto"/>
        <w:rPr>
          <w:rFonts w:ascii="Times New Roman" w:eastAsia="Times New Roman" w:hAnsi="Times New Roman" w:cs="Times New Roman"/>
          <w:sz w:val="22"/>
          <w:szCs w:val="22"/>
        </w:rPr>
      </w:pPr>
      <w:r w:rsidRPr="00F61073">
        <w:rPr>
          <w:rFonts w:ascii="Times New Roman" w:eastAsia="Times New Roman" w:hAnsi="Times New Roman" w:cs="Times New Roman"/>
          <w:sz w:val="22"/>
          <w:szCs w:val="22"/>
        </w:rPr>
        <w:t xml:space="preserve">How does your interpretation of dietary contributions of prey to the OBSERVED predator from the simulation data differ from those of mixing models? In your written response, please explain the problems with mixing models, explain the methods you used, describe your </w:t>
      </w:r>
      <w:proofErr w:type="gramStart"/>
      <w:r w:rsidRPr="00F61073">
        <w:rPr>
          <w:rFonts w:ascii="Times New Roman" w:eastAsia="Times New Roman" w:hAnsi="Times New Roman" w:cs="Times New Roman"/>
          <w:sz w:val="22"/>
          <w:szCs w:val="22"/>
        </w:rPr>
        <w:t>results</w:t>
      </w:r>
      <w:proofErr w:type="gramEnd"/>
      <w:r w:rsidRPr="00F61073">
        <w:rPr>
          <w:rFonts w:ascii="Times New Roman" w:eastAsia="Times New Roman" w:hAnsi="Times New Roman" w:cs="Times New Roman"/>
          <w:sz w:val="22"/>
          <w:szCs w:val="22"/>
        </w:rPr>
        <w:t xml:space="preserve"> and offer an opinion on whether predictive </w:t>
      </w:r>
      <w:proofErr w:type="spellStart"/>
      <w:r w:rsidRPr="00F61073">
        <w:rPr>
          <w:rFonts w:ascii="Times New Roman" w:eastAsia="Times New Roman" w:hAnsi="Times New Roman" w:cs="Times New Roman"/>
          <w:sz w:val="22"/>
          <w:szCs w:val="22"/>
        </w:rPr>
        <w:t>isoscape</w:t>
      </w:r>
      <w:proofErr w:type="spellEnd"/>
      <w:r w:rsidRPr="00F61073">
        <w:rPr>
          <w:rFonts w:ascii="Times New Roman" w:eastAsia="Times New Roman" w:hAnsi="Times New Roman" w:cs="Times New Roman"/>
          <w:sz w:val="22"/>
          <w:szCs w:val="22"/>
        </w:rPr>
        <w:t xml:space="preserve"> analyses are superior (or not) to traditional mixing models.</w:t>
      </w:r>
    </w:p>
    <w:p w14:paraId="2EDECAD8" w14:textId="77777777" w:rsidR="00D97851" w:rsidRPr="00260A57" w:rsidRDefault="00D97851" w:rsidP="00D97851">
      <w:pPr>
        <w:spacing w:after="160" w:line="360" w:lineRule="auto"/>
        <w:rPr>
          <w:rFonts w:ascii="Times New Roman" w:hAnsi="Times New Roman" w:cs="Times New Roman"/>
        </w:rPr>
      </w:pPr>
      <w:r w:rsidRPr="00260A57">
        <w:rPr>
          <w:rFonts w:ascii="Times New Roman" w:hAnsi="Times New Roman" w:cs="Times New Roman"/>
          <w:b/>
        </w:rPr>
        <w:lastRenderedPageBreak/>
        <w:t>Question</w:t>
      </w:r>
      <w:r>
        <w:rPr>
          <w:rFonts w:ascii="Times New Roman" w:hAnsi="Times New Roman" w:cs="Times New Roman"/>
          <w:b/>
        </w:rPr>
        <w:t xml:space="preserve"> 1, </w:t>
      </w:r>
      <w:r w:rsidRPr="00260A57">
        <w:rPr>
          <w:rFonts w:ascii="Times New Roman" w:hAnsi="Times New Roman" w:cs="Times New Roman"/>
          <w:b/>
        </w:rPr>
        <w:t>Part 1-4:</w:t>
      </w:r>
      <w:r>
        <w:rPr>
          <w:rFonts w:ascii="Times New Roman" w:hAnsi="Times New Roman" w:cs="Times New Roman"/>
          <w:b/>
        </w:rPr>
        <w:t xml:space="preserve"> </w:t>
      </w:r>
      <w:r>
        <w:rPr>
          <w:rFonts w:ascii="Times New Roman" w:hAnsi="Times New Roman" w:cs="Times New Roman"/>
        </w:rPr>
        <w:t>Response</w:t>
      </w:r>
      <w:r w:rsidRPr="00260A57">
        <w:rPr>
          <w:rFonts w:ascii="Times New Roman" w:hAnsi="Times New Roman" w:cs="Times New Roman"/>
        </w:rPr>
        <w:t xml:space="preserve"> can be found </w:t>
      </w:r>
      <w:r>
        <w:rPr>
          <w:rFonts w:ascii="Times New Roman" w:hAnsi="Times New Roman" w:cs="Times New Roman"/>
        </w:rPr>
        <w:t>Supplement No. 1</w:t>
      </w:r>
      <w:r w:rsidRPr="00260A57">
        <w:rPr>
          <w:rFonts w:ascii="Times New Roman" w:hAnsi="Times New Roman" w:cs="Times New Roman"/>
        </w:rPr>
        <w:t xml:space="preserve">. </w:t>
      </w:r>
    </w:p>
    <w:p w14:paraId="3418925E" w14:textId="77777777" w:rsidR="00D97851" w:rsidRPr="00260A57" w:rsidRDefault="00D97851" w:rsidP="00D97851">
      <w:pPr>
        <w:spacing w:after="160" w:line="360" w:lineRule="auto"/>
        <w:rPr>
          <w:rFonts w:ascii="Times New Roman" w:hAnsi="Times New Roman" w:cs="Times New Roman"/>
        </w:rPr>
      </w:pPr>
      <w:r w:rsidRPr="00260A57">
        <w:rPr>
          <w:rFonts w:ascii="Times New Roman" w:hAnsi="Times New Roman" w:cs="Times New Roman"/>
          <w:b/>
        </w:rPr>
        <w:t>Question 1</w:t>
      </w:r>
      <w:r>
        <w:rPr>
          <w:rFonts w:ascii="Times New Roman" w:hAnsi="Times New Roman" w:cs="Times New Roman"/>
          <w:b/>
        </w:rPr>
        <w:t>,</w:t>
      </w:r>
      <w:r w:rsidRPr="00260A57">
        <w:rPr>
          <w:rFonts w:ascii="Times New Roman" w:hAnsi="Times New Roman" w:cs="Times New Roman"/>
          <w:b/>
        </w:rPr>
        <w:t xml:space="preserve"> Part 5:</w:t>
      </w:r>
      <w:r>
        <w:rPr>
          <w:rFonts w:ascii="Times New Roman" w:hAnsi="Times New Roman" w:cs="Times New Roman"/>
          <w:b/>
        </w:rPr>
        <w:t xml:space="preserve"> </w:t>
      </w:r>
      <w:r w:rsidRPr="00260A57">
        <w:rPr>
          <w:rFonts w:ascii="Times New Roman" w:hAnsi="Times New Roman" w:cs="Times New Roman"/>
        </w:rPr>
        <w:t>Mixing model</w:t>
      </w:r>
      <w:r>
        <w:rPr>
          <w:rFonts w:ascii="Times New Roman" w:hAnsi="Times New Roman" w:cs="Times New Roman"/>
        </w:rPr>
        <w:t>s</w:t>
      </w:r>
      <w:r w:rsidRPr="00260A57">
        <w:rPr>
          <w:rFonts w:ascii="Times New Roman" w:hAnsi="Times New Roman" w:cs="Times New Roman"/>
        </w:rPr>
        <w:t xml:space="preserve"> that use stable isotope data are a powerful tool for examining animal diets and inferring trophic structure in ecological communities </w:t>
      </w:r>
      <w:r w:rsidRPr="00260A57">
        <w:rPr>
          <w:rFonts w:ascii="Times New Roman" w:hAnsi="Times New Roman" w:cs="Times New Roman"/>
        </w:rPr>
        <w:fldChar w:fldCharType="begin" w:fldLock="1"/>
      </w:r>
      <w:r>
        <w:rPr>
          <w:rFonts w:ascii="Times New Roman" w:hAnsi="Times New Roman" w:cs="Times New Roman"/>
        </w:rPr>
        <w:instrText>ADDIN CSL_CITATION { "citationItems" : [ { "id" : "ITEM-1", "itemData" : { "ISBN" : "1469-185X", "author" : [ { "dropping-particle" : "", "family" : "Mart\u00ednez del Rio", "given" : "Carlos", "non-dropping-particle" : "", "parse-names" : false, "suffix" : "" }, { "dropping-particle" : "", "family" : "Wolf", "given" : "Nathan", "non-dropping-particle" : "", "parse-names" : false, "suffix" : "" }, { "dropping-particle" : "", "family" : "Carleton", "given" : "Scott A", "non-dropping-particle" : "", "parse-names" : false, "suffix" : "" }, { "dropping-particle" : "", "family" : "Gannes", "given" : "Leonard Z", "non-dropping-particle" : "", "parse-names" : false, "suffix" : "" } ], "container-title" : "Biological Reviews", "id" : "ITEM-1", "issue" : "1", "issued" : { "date-parts" : [ [ "2009" ] ] }, "page" : "91-111", "title" : "Isotopic ecology ten years after a call for more laboratory experiments", "type" : "article-journal", "volume" : "84" }, "uris" : [ "http://www.mendeley.com/documents/?uuid=c9571081-906a-4646-b130-d3930d24af3b" ] }, { "id" : "ITEM-2", "itemData" : { "author" : [ { "dropping-particle" : "", "family" : "Phillips", "given" : "Donald L", "non-dropping-particle" : "", "parse-names" : false, "suffix" : "" }, { "dropping-particle" : "", "family" : "Inger", "given" : "Richard", "non-dropping-particle" : "", "parse-names" : false, "suffix" : "" }, { "dropping-particle" : "", "family" : "Bearhop", "given" : "Stuart", "non-dropping-particle" : "", "parse-names" : false, "suffix" : "" }, { "dropping-particle" : "", "family" : "Jackson", "given" : "Andrew L", "non-dropping-particle" : "", "parse-names" : false, "suffix" : "" }, { "dropping-particle" : "", "family" : "Moore", "given" : "Jonathan W", "non-dropping-particle" : "", "parse-names" : false, "suffix" : "" }, { "dropping-particle" : "", "family" : "Parnell", "given" : "Andrew C", "non-dropping-particle" : "", "parse-names" : false, "suffix" : "" }, { "dropping-particle" : "", "family" : "Semmens", "given" : "Brice X", "non-dropping-particle" : "", "parse-names" : false, "suffix" : "" }, { "dropping-particle" : "", "family" : "Ward", "given" : "Eric J", "non-dropping-particle" : "", "parse-names" : false, "suffix" : "" } ], "container-title" : "Canadian Journal of Zoology", "id" : "ITEM-2", "issue" : "10", "issued" : { "date-parts" : [ [ "2014" ] ] }, "page" : "823-835", "title" : "Best practices for use of stable isotope mixing models in food-web studies", "type" : "article-journal", "volume" : "92" }, "uris" : [ "http://www.mendeley.com/documents/?uuid=6b2004e3-5c72-4e47-9186-9b9e49ff088b" ] } ], "mendeley" : { "formattedCitation" : "(Mart\u00ednez del Rio et al. 2009, Phillips et al. 2014)", "plainTextFormattedCitation" : "(Mart\u00ednez del Rio et al. 2009, Phillips et al. 2014)", "previouslyFormattedCitation" : "(Mart\u00ednez del Rio et al. 2009, Phillips et al. 2014)"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(Martínez del Rio et al. 2009, Phillips et al. 2014)</w:t>
      </w:r>
      <w:r w:rsidRPr="00260A57">
        <w:rPr>
          <w:rFonts w:ascii="Times New Roman" w:hAnsi="Times New Roman" w:cs="Times New Roman"/>
        </w:rPr>
        <w:fldChar w:fldCharType="end"/>
      </w:r>
      <w:r w:rsidRPr="00260A57">
        <w:rPr>
          <w:rFonts w:ascii="Times New Roman" w:hAnsi="Times New Roman" w:cs="Times New Roman"/>
        </w:rPr>
        <w:t>. They are also an increasingly common tool used by ecologists, with use rising rapidly since 2008 (Fig.</w:t>
      </w:r>
      <w:r>
        <w:rPr>
          <w:rFonts w:ascii="Times New Roman" w:hAnsi="Times New Roman" w:cs="Times New Roman"/>
        </w:rPr>
        <w:t xml:space="preserve"> </w:t>
      </w:r>
      <w:r w:rsidRPr="00260A57">
        <w:rPr>
          <w:rFonts w:ascii="Times New Roman" w:hAnsi="Times New Roman" w:cs="Times New Roman"/>
        </w:rPr>
        <w:t xml:space="preserve">1). I will begin with a brief background on the use of mixing models in the context of trophic ecology, highlighting key assumptions and drawbacks in their application, before wading into an alternative approach for </w:t>
      </w:r>
      <w:r>
        <w:rPr>
          <w:rFonts w:ascii="Times New Roman" w:hAnsi="Times New Roman" w:cs="Times New Roman"/>
        </w:rPr>
        <w:t xml:space="preserve">examining </w:t>
      </w:r>
      <w:r w:rsidRPr="00260A57">
        <w:rPr>
          <w:rFonts w:ascii="Times New Roman" w:hAnsi="Times New Roman" w:cs="Times New Roman"/>
        </w:rPr>
        <w:t>foraging ecology in animals (i.e.</w:t>
      </w:r>
      <w:r>
        <w:rPr>
          <w:rFonts w:ascii="Times New Roman" w:hAnsi="Times New Roman" w:cs="Times New Roman"/>
        </w:rPr>
        <w:t>,</w:t>
      </w:r>
      <w:r w:rsidRPr="00260A57">
        <w:rPr>
          <w:rFonts w:ascii="Times New Roman" w:hAnsi="Times New Roman" w:cs="Times New Roman"/>
        </w:rPr>
        <w:t xml:space="preserve"> Predictive </w:t>
      </w:r>
      <w:proofErr w:type="spellStart"/>
      <w:r w:rsidRPr="00260A57">
        <w:rPr>
          <w:rFonts w:ascii="Times New Roman" w:hAnsi="Times New Roman" w:cs="Times New Roman"/>
        </w:rPr>
        <w:t>Isoscape</w:t>
      </w:r>
      <w:proofErr w:type="spellEnd"/>
      <w:r w:rsidRPr="00260A57">
        <w:rPr>
          <w:rFonts w:ascii="Times New Roman" w:hAnsi="Times New Roman" w:cs="Times New Roman"/>
        </w:rPr>
        <w:t xml:space="preserve"> Analysis). </w:t>
      </w:r>
    </w:p>
    <w:p w14:paraId="2DB3E815" w14:textId="77777777" w:rsidR="00D97851" w:rsidRPr="00260A57" w:rsidRDefault="00D97851" w:rsidP="00D97851">
      <w:pPr>
        <w:spacing w:after="160" w:line="360" w:lineRule="auto"/>
        <w:ind w:firstLine="720"/>
        <w:rPr>
          <w:rFonts w:ascii="Times New Roman" w:hAnsi="Times New Roman" w:cs="Times New Roman"/>
        </w:rPr>
      </w:pPr>
      <w:r>
        <w:rPr>
          <w:rFonts w:ascii="Times New Roman" w:hAnsi="Times New Roman" w:cs="Times New Roman"/>
        </w:rPr>
        <w:t>P</w:t>
      </w:r>
      <w:r w:rsidRPr="00260A57">
        <w:rPr>
          <w:rFonts w:ascii="Times New Roman" w:hAnsi="Times New Roman" w:cs="Times New Roman"/>
        </w:rPr>
        <w:t xml:space="preserve">redation and other top-down trophic processes can directly and indirectly shape communities </w:t>
      </w:r>
      <w:r w:rsidRPr="00260A57">
        <w:rPr>
          <w:rFonts w:ascii="Times New Roman" w:hAnsi="Times New Roman" w:cs="Times New Roman"/>
        </w:rPr>
        <w:fldChar w:fldCharType="begin" w:fldLock="1"/>
      </w:r>
      <w:r>
        <w:rPr>
          <w:rFonts w:ascii="Times New Roman" w:hAnsi="Times New Roman" w:cs="Times New Roman"/>
        </w:rPr>
        <w:instrText>ADDIN CSL_CITATION { "citationItems" : [ { "id" : "ITEM-1", "itemData" : { "ISBN" : "0169-5347", "author" : [ { "dropping-particle" : "", "family" : "Pace", "given" : "Michael L", "non-dropping-particle" : "", "parse-names" : false, "suffix" : "" }, { "dropping-particle" : "", "family" : "Cole", "given" : "Jonathan J", "non-dropping-particle" : "", "parse-names" : false, "suffix" : "" }, { "dropping-particle" : "", "family" : "Carpenter", "given" : "Stephen R", "non-dropping-particle" : "", "parse-names" : false, "suffix" : "" }, { "dropping-particle" : "", "family" : "Kitchell", "given" : "James F", "non-dropping-particle" : "", "parse-names" : false, "suffix" : "" } ], "container-title" : "Trends in Ecology &amp; Evolution", "id" : "ITEM-1", "issue" : "12", "issued" : { "date-parts" : [ [ "1999" ] ] }, "page" : "483-488", "title" : "Trophic cascades revealed in diverse ecosystems", "type" : "article-journal", "volume" : "14" }, "uris" : [ "http://www.mendeley.com/documents/?uuid=1cd7ebd2-76af-4966-8097-7a84effa1156" ] }, { "id" : "ITEM-2", "itemData" : { "DOI" : "10.1038/ncomms2098", "ISBN" : "2041-1723", "ISSN" : "20411723", "PMID" : "23033081", "abstract" : "Macroscopic ecosystem properties, such as major material pathways and community biomass structure, underlie the ecosystem services on which humans rely. While ecologists have long sought to identify the determinants of the trophic height of food webs (food chain length), it is somewhat surprising how little research effort is invested in understanding changes among other food web properties across environmental conditions. Here we theoretically and empirically show how a suite of fundamental macroscopic food web structures respond, in concert, to changes in habitat accessibility using post-glacial lakes as model ecosystems. We argue that as resource accessibility increases in coupled food webs, food chain length contracts (that is, reduced predator trophic position), habitat coupling expands (that is, increasingly coupled macrohabitats) and biomass pyramid structure becomes more top heavy. Our results further support an emerging theoretical view of flexible food webs that provides a foundation for generally understanding ecosystem responses to changing environmental conditions.", "author" : [ { "dropping-particle" : "", "family" : "Tunney", "given" : "Tyler D.", "non-dropping-particle" : "", "parse-names" : false, "suffix" : "" }, { "dropping-particle" : "", "family" : "McCann", "given" : "Kevin S.", "non-dropping-particle" : "", "parse-names" : false, "suffix" : "" }, { "dropping-particle" : "", "family" : "Lester", "given" : "Nigel P.", "non-dropping-particle" : "", "parse-names" : false, "suffix" : "" }, { "dropping-particle" : "", "family" : "Shuter", "given" : "Brian J.", "non-dropping-particle" : "", "parse-names" : false, "suffix" : "" } ], "container-title" : "Nature Communications", "id" : "ITEM-2", "issued" : { "date-parts" : [ [ "2012" ] ] }, "page" : "1105-1109", "publisher" : "Nature Publishing Group", "title" : "Food web expansion and contraction in response to changing environmental conditions", "type" : "article-journal", "volume" : "3" }, "uris" : [ "http://www.mendeley.com/documents/?uuid=d6542082-306b-42b2-bd36-2795a5cb8b16" ] }, { "id" : "ITEM-3", "itemData" : { "DOI" : "10.1111/geb.12475", "ISSN" : "1466822X", "author" : [ { "dropping-particle" : "", "family" : "Giam", "given" : "Xingli", "non-dropping-particle" : "", "parse-names" : false, "suffix" : "" }, { "dropping-particle" : "", "family" : "Olden", "given" : "Julian D.", "non-dropping-particle" : "", "parse-names" : false, "suffix" : "" } ], "container-title" : "Global Ecology and Biogeography", "id" : "ITEM-3", "issue" : "10", "issued" : { "date-parts" : [ [ "2016" ] ] }, "page" : "1194-1205", "title" : "Environment and predation govern fish community assembly in temperate streams", "type" : "article-journal", "volume" : "25" }, "uris" : [ "http://www.mendeley.com/documents/?uuid=a4283d7c-793e-45c1-9c22-43ef25642888" ] } ], "mendeley" : { "formattedCitation" : "(Pace et al. 1999, Tunney et al. 2012, Giam and Olden 2016)", "plainTextFormattedCitation" : "(Pace et al. 1999, Tunney et al. 2012, Giam and Olden 2016)", "previouslyFormattedCitation" : "(Pace et al. 1999, Tunney et al. 2012, Giam and Olden 2016)"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(Pace et al. 1999, Tunney et al. 2012, Giam and Olden 2016)</w:t>
      </w:r>
      <w:r w:rsidRPr="00260A57">
        <w:rPr>
          <w:rFonts w:ascii="Times New Roman" w:hAnsi="Times New Roman" w:cs="Times New Roman"/>
        </w:rPr>
        <w:fldChar w:fldCharType="end"/>
      </w:r>
      <w:r>
        <w:rPr>
          <w:rFonts w:ascii="Times New Roman" w:hAnsi="Times New Roman" w:cs="Times New Roman"/>
        </w:rPr>
        <w:t xml:space="preserve">. </w:t>
      </w:r>
      <w:proofErr w:type="gramStart"/>
      <w:r>
        <w:rPr>
          <w:rFonts w:ascii="Times New Roman" w:hAnsi="Times New Roman" w:cs="Times New Roman"/>
        </w:rPr>
        <w:t>So</w:t>
      </w:r>
      <w:proofErr w:type="gramEnd"/>
      <w:r w:rsidRPr="00260A57">
        <w:rPr>
          <w:rFonts w:ascii="Times New Roman" w:hAnsi="Times New Roman" w:cs="Times New Roman"/>
        </w:rPr>
        <w:t xml:space="preserve"> a critical first step toward describing community structure is quantifying the proportional contribution of different prey types to </w:t>
      </w:r>
      <w:r>
        <w:rPr>
          <w:rFonts w:ascii="Times New Roman" w:hAnsi="Times New Roman" w:cs="Times New Roman"/>
        </w:rPr>
        <w:t xml:space="preserve">consumer </w:t>
      </w:r>
      <w:r w:rsidRPr="00260A57">
        <w:rPr>
          <w:rFonts w:ascii="Times New Roman" w:hAnsi="Times New Roman" w:cs="Times New Roman"/>
        </w:rPr>
        <w:t>diet</w:t>
      </w:r>
      <w:r>
        <w:rPr>
          <w:rFonts w:ascii="Times New Roman" w:hAnsi="Times New Roman" w:cs="Times New Roman"/>
        </w:rPr>
        <w:t>s</w:t>
      </w:r>
      <w:r w:rsidRPr="00260A57">
        <w:rPr>
          <w:rFonts w:ascii="Times New Roman" w:hAnsi="Times New Roman" w:cs="Times New Roman"/>
        </w:rPr>
        <w:t xml:space="preserve">. </w:t>
      </w:r>
      <w:r>
        <w:rPr>
          <w:rFonts w:ascii="Times New Roman" w:hAnsi="Times New Roman" w:cs="Times New Roman"/>
        </w:rPr>
        <w:t xml:space="preserve">If we know </w:t>
      </w:r>
      <w:r w:rsidRPr="00260A57">
        <w:rPr>
          <w:rFonts w:ascii="Times New Roman" w:hAnsi="Times New Roman" w:cs="Times New Roman"/>
        </w:rPr>
        <w:t xml:space="preserve">something about the isotopic signatures of a predator and its prey, we can estimate the proportional contributions of </w:t>
      </w:r>
      <w:r w:rsidRPr="00260A57">
        <w:rPr>
          <w:rFonts w:ascii="Times New Roman" w:hAnsi="Times New Roman" w:cs="Times New Roman"/>
          <w:i/>
        </w:rPr>
        <w:t>n</w:t>
      </w:r>
      <w:r w:rsidRPr="00260A57">
        <w:rPr>
          <w:rFonts w:ascii="Times New Roman" w:hAnsi="Times New Roman" w:cs="Times New Roman"/>
        </w:rPr>
        <w:t xml:space="preserve"> + 1 prey in that predator’s diet by using </w:t>
      </w:r>
      <w:r w:rsidRPr="00260A57">
        <w:rPr>
          <w:rFonts w:ascii="Times New Roman" w:hAnsi="Times New Roman" w:cs="Times New Roman"/>
          <w:i/>
        </w:rPr>
        <w:t xml:space="preserve">n </w:t>
      </w:r>
      <w:r w:rsidRPr="00260A57">
        <w:rPr>
          <w:rFonts w:ascii="Times New Roman" w:hAnsi="Times New Roman" w:cs="Times New Roman"/>
        </w:rPr>
        <w:t>different isotope systems (e.g.</w:t>
      </w:r>
      <w:r>
        <w:rPr>
          <w:rFonts w:ascii="Times New Roman" w:hAnsi="Times New Roman" w:cs="Times New Roman"/>
        </w:rPr>
        <w:t>,</w:t>
      </w:r>
      <w:r w:rsidRPr="00260A57">
        <w:rPr>
          <w:rFonts w:ascii="Times New Roman" w:hAnsi="Times New Roman" w:cs="Times New Roman"/>
        </w:rPr>
        <w:t xml:space="preserve"> </w:t>
      </w:r>
      <w:r w:rsidRPr="00260A57">
        <w:rPr>
          <w:rFonts w:ascii="Times New Roman" w:hAnsi="Times New Roman" w:cs="Times New Roman"/>
          <w:lang w:val="el-GR"/>
        </w:rPr>
        <w:t>δ</w:t>
      </w:r>
      <w:r w:rsidRPr="00260A57">
        <w:rPr>
          <w:rFonts w:ascii="Times New Roman" w:hAnsi="Times New Roman" w:cs="Times New Roman"/>
          <w:vertAlign w:val="superscript"/>
        </w:rPr>
        <w:t>13</w:t>
      </w:r>
      <w:r w:rsidRPr="00260A57">
        <w:rPr>
          <w:rFonts w:ascii="Times New Roman" w:hAnsi="Times New Roman" w:cs="Times New Roman"/>
        </w:rPr>
        <w:t xml:space="preserve">C, </w:t>
      </w:r>
      <w:r w:rsidRPr="00260A57">
        <w:rPr>
          <w:rFonts w:ascii="Times New Roman" w:hAnsi="Times New Roman" w:cs="Times New Roman"/>
          <w:lang w:val="el-GR"/>
        </w:rPr>
        <w:t>δ</w:t>
      </w:r>
      <w:r w:rsidRPr="00260A57">
        <w:rPr>
          <w:rFonts w:ascii="Times New Roman" w:hAnsi="Times New Roman" w:cs="Times New Roman"/>
          <w:vertAlign w:val="superscript"/>
        </w:rPr>
        <w:t>15</w:t>
      </w:r>
      <w:r w:rsidRPr="00260A57">
        <w:rPr>
          <w:rFonts w:ascii="Times New Roman" w:hAnsi="Times New Roman" w:cs="Times New Roman"/>
        </w:rPr>
        <w:t xml:space="preserve">N, </w:t>
      </w:r>
      <w:r w:rsidRPr="00260A57">
        <w:rPr>
          <w:rFonts w:ascii="Times New Roman" w:hAnsi="Times New Roman" w:cs="Times New Roman"/>
          <w:lang w:val="el-GR"/>
        </w:rPr>
        <w:t>δ</w:t>
      </w:r>
      <w:r w:rsidRPr="00260A57">
        <w:rPr>
          <w:rFonts w:ascii="Times New Roman" w:hAnsi="Times New Roman" w:cs="Times New Roman"/>
          <w:vertAlign w:val="superscript"/>
        </w:rPr>
        <w:t>18</w:t>
      </w:r>
      <w:r w:rsidRPr="00260A57">
        <w:rPr>
          <w:rFonts w:ascii="Times New Roman" w:hAnsi="Times New Roman" w:cs="Times New Roman"/>
        </w:rPr>
        <w:t xml:space="preserve">O) with linear mixing models based on mass balance equations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"DOI" : "10.1007/s00442-003-1218-3", "ISBN" : "0029-8549", "ISSN" : "00298549", "PMID" : "12759813", "abstract" : "Stable isotopes are increasingly being used as tracers in environmental studies. One application is to use isotopic ratios to quantitatively determine the proportional contribution of several sources to a mixture, such as the proportion of various pollution sources in a waste stream. In general, the proportional contributions of n+1 different sources can be uniquely determined by the use of n different isotope system tracers (e.g., \u03b413C, \u03b415N, \u03b418O) with linear mixing models based on mass balance equations. Often, however, the number of potential sources exceeds n+1, which prevents finding a unique solution of source proportions. What can be done in these situations? While no definitive solution exists, we propose a method that is informative in determining bounds for the contributions of each source. In this method, all possible combinations of each source contribution (0-100%) are examined in small increments (e.g., 1%). Combinations that sum to the observed mixture isotopic signatures within a small tolerance (e.g., \u00b10.1\u2030) are considered to be feasible solutions, from which the frequency and range of potential source contributions can be determined. To avoid misrepresenting the results, users of this procedure should report the distribution of feasible solutions rather than focusing on a single value such as the mean. We applied this method to a variety of environmental studies in which stable isotope tracers were used to quantify the relative magnitude of multiple sources, including (1) plant water use, (2) geochemistry, (3) air pollution, and (4) dietary analysis. This method gives the range of isotopically determined source contributions; additional non-isotopic constraints specific to each study may be used to further restrict this range. The breadth of the isotopically determined ranges depends on the geometry of the mixing space and the similarity of source and mixture isotopic signatures. A sensitivity analysis indicated that the estimated ranges vary only modestly with different choices of source increment and mass balance tolerance parameter values. A computer program (IsoSource) to perform these calculations for user-specified data is available at http://www.e-pa.gov/wed/pages/models.htm.", "author" : [ { "dropping-particle" : "", "family" : "Phillips", "given" : "Donald L.", "non-dropping-particle" : "", "parse-names" : false, "suffix" : "" }, { "dropping-particle" : "", "family" : "Gregg", "given" : "Jillian W.", "non-dropping-particle" : "", "parse-names" : false, "suffix" : "" } ], "container-title" : "Oecologia", "id" : "ITEM-1", "issue" : "2", "issued" : { "date-parts" : [ [ "2003" ] ] }, "page" : "261-269", "title" : "Source partitioning using stable isotopes: Coping with too many sources", "type" : "article-journal", "volume" : "136" }, "uris" : [ "http://www.mendeley.com/documents/?uuid=0cc0d3a1-52ee-45c3-bf79-5f49383ab65c" ] } ], "mendeley" : { "formattedCitation" : "(Phillips and Gregg 2003)", "plainTextFormattedCitation" : "(Phillips and Gregg 2003)", "previouslyFormattedCitation" : "(Phillips and Gregg 2003)"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(Phillips and Gregg 2003)</w:t>
      </w:r>
      <w:r w:rsidRPr="00260A57">
        <w:rPr>
          <w:rFonts w:ascii="Times New Roman" w:hAnsi="Times New Roman" w:cs="Times New Roman"/>
        </w:rPr>
        <w:fldChar w:fldCharType="end"/>
      </w:r>
      <w:r w:rsidRPr="00260A57">
        <w:rPr>
          <w:rFonts w:ascii="Times New Roman" w:hAnsi="Times New Roman" w:cs="Times New Roman"/>
        </w:rPr>
        <w:t>. This is because isotopic signatures of prey vary across taxa and trophic levels</w:t>
      </w:r>
      <w:r>
        <w:rPr>
          <w:rFonts w:ascii="Times New Roman" w:hAnsi="Times New Roman" w:cs="Times New Roman"/>
        </w:rPr>
        <w:t>,</w:t>
      </w:r>
      <w:r w:rsidRPr="00260A57">
        <w:rPr>
          <w:rFonts w:ascii="Times New Roman" w:hAnsi="Times New Roman" w:cs="Times New Roman"/>
        </w:rPr>
        <w:t xml:space="preserve"> and are maintained once prey are consumed and incorporated into </w:t>
      </w:r>
      <w:r>
        <w:rPr>
          <w:rFonts w:ascii="Times New Roman" w:hAnsi="Times New Roman" w:cs="Times New Roman"/>
        </w:rPr>
        <w:t xml:space="preserve">consumer </w:t>
      </w:r>
      <w:r w:rsidRPr="00260A57">
        <w:rPr>
          <w:rFonts w:ascii="Times New Roman" w:hAnsi="Times New Roman" w:cs="Times New Roman"/>
        </w:rPr>
        <w:t xml:space="preserve">tissues (after accounting for trophic discrimination; </w:t>
      </w:r>
      <w:r w:rsidRPr="00260A57">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"10.1890/0012-9658(1997)078[1271:SIIAEA]2.0.CO;2", "ISBN" : "0012-9658", "ISSN" : "00129658", "PMID" : "15", "abstract" : "For decades, plant ecologists have used naturally occurring stable isotope ratios to disentangle ecological and physiological processes. The methodology can also become a very powerful tool in animal ecology. However, the application of the technique relies on assumptions that are not widely recognized and that have been rarely tested. The purpose of this communication is to identify these assumptions, to characterize the con-ditions in which they are not met, and to suggest the laboratory experiments that are needed to validate them. The ease with which isotopic data can be gathered and the growing popularity of the method are generating a large amount of data on the isotopic ecology of animals. The proper interpretation of these data demands that we identify the assumptions on which these inferences are based, and that we conduct comparative laboratory experi-ments to assess their validity.", "author" : [ { "dropping-particle" : "", "family" : "Gannes", "given" : "Leonard Z.", "non-dropping-particle" : "", "parse-names" : false, "suffix" : "" }, { "dropping-particle" : "", "family" : "O'Brien", "given" : "Diane M.", "non-dropping-particle" : "", "parse-names" : false, "suffix" : "" }, { "dropping-particle" : "", "family" : "Rio", "given" : "Carlos Mart\u00ednez", "non-dropping-particle" : "Del", "parse-names" : false, "suffix" : "" } ], "container-title" : "Ecology", "id" : "ITEM-1", "issue" : "4", "issued" : { "date-parts" : [ [ "1997" ] ] }, "page" : "1271-1276", "title" : "Stable isotopes in animal ecology: Assumptions, caveats, and a call for more laboratory experiments", "type" : "article-journal", "volume" : "78" }, "uris" : [ "http://www.mendeley.com/documents/?uuid=79f08957-7bc4-4aee-ae64-e25049da6c2d" ] }, { "id" : "ITEM-2", "itemData" : { "author" : [ { "dropping-particle" : "", "family" : "Phillips", "given" : "Donald L", "non-dropping-particle" : "", "parse-names" : false, "suffix" : "" }, { "dropping-particle" : "", "family" : "Inger", "given" : "Richard", "non-dropping-particle" : "", "parse-names" : false, "suffix" : "" }, { "dropping-particle" : "", "family" : "Bearhop", "given" : "Stuart", "non-dropping-particle" : "", "parse-names" : false, "suffix" : "" }, { "dropping-particle" : "", "family" : "Jackson", "given" : "Andrew L", "non-dropping-particle" : "", "parse-names" : false, "suffix" : "" }, { "dropping-particle" : "", "family" : "Moore", "given" : "Jonathan W", "non-dropping-particle" : "", "parse-names" : false, "suffix" : "" }, { "dropping-particle" : "", "family" : "Parnell", "given" : "Andrew C", "non-dropping-particle" : "", "parse-names" : false, "suffix" : "" }, { "dropping-particle" : "", "family" : "Semmens", "given" : "Brice X", "non-dropping-particle" : "", "parse-names" : false, "suffix" : "" }, { "dropping-particle" : "", "family" : "Ward", "given" : "Eric J", "non-dropping-particle" : "", "parse-names" : false, "suffix" : "" } ], "container-title" : "Canadian Journal of Zoology", "id" : "ITEM-2", "issue" : "10", "issued" : { "date-parts" : [ [ "2014" ] ] }, "page" : "823-835", "title" : "Best practices for use of stable isotope mixing models in food-web studies", "type" : "article-journal", "volume" : "92" }, "uris" : [ "http://www.mendeley.com/documents/?uuid=6b2004e3-5c72-4e47-9186-9b9e49ff088b" ] } ], "mendeley" : { "formattedCitation" : "(Gannes et al. 1997, Phillips et al. 2014)", "manualFormatting" : "Gannes et al. 1997, Phillips et al. 2014)", "plainTextFormattedCitation" : "(Gannes et al. 1997, Phillips et al. 2014)", "previouslyFormattedCitation" : "(Gannes et al. 1997, Phillips et al. 2014)"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Gannes et al. 1997, Phillips et al. 2014)</w:t>
      </w:r>
      <w:r w:rsidRPr="00260A57">
        <w:rPr>
          <w:rFonts w:ascii="Times New Roman" w:hAnsi="Times New Roman" w:cs="Times New Roman"/>
        </w:rPr>
        <w:fldChar w:fldCharType="end"/>
      </w:r>
      <w:r w:rsidRPr="00260A57">
        <w:rPr>
          <w:rFonts w:ascii="Times New Roman" w:hAnsi="Times New Roman" w:cs="Times New Roman"/>
        </w:rPr>
        <w:t xml:space="preserve">. For example, consider a mixture (i.e., a predator) and two sources (i.e., </w:t>
      </w:r>
      <w:r>
        <w:rPr>
          <w:rFonts w:ascii="Times New Roman" w:hAnsi="Times New Roman" w:cs="Times New Roman"/>
        </w:rPr>
        <w:t>its prey). A simple one</w:t>
      </w:r>
      <w:r w:rsidRPr="00260A57">
        <w:rPr>
          <w:rFonts w:ascii="Times New Roman" w:hAnsi="Times New Roman" w:cs="Times New Roman"/>
        </w:rPr>
        <w:t xml:space="preserve">-dimensional linear mixing model can estimate the proportional contribution of source </w:t>
      </w:r>
      <w:r>
        <w:rPr>
          <w:rFonts w:ascii="Times New Roman" w:hAnsi="Times New Roman" w:cs="Times New Roman"/>
        </w:rPr>
        <w:t xml:space="preserve">one </w:t>
      </w:r>
      <w:r w:rsidRPr="00260A57">
        <w:rPr>
          <w:rFonts w:ascii="Times New Roman" w:hAnsi="Times New Roman" w:cs="Times New Roman"/>
        </w:rPr>
        <w:t xml:space="preserve">and </w:t>
      </w:r>
      <w:r>
        <w:rPr>
          <w:rFonts w:ascii="Times New Roman" w:hAnsi="Times New Roman" w:cs="Times New Roman"/>
        </w:rPr>
        <w:t xml:space="preserve">two </w:t>
      </w:r>
      <w:r w:rsidRPr="00260A57">
        <w:rPr>
          <w:rFonts w:ascii="Times New Roman" w:hAnsi="Times New Roman" w:cs="Times New Roman"/>
        </w:rPr>
        <w:t xml:space="preserve">to the mixture, given the mixture falls within the mixing space of sources </w:t>
      </w:r>
      <w:r>
        <w:rPr>
          <w:rFonts w:ascii="Times New Roman" w:hAnsi="Times New Roman" w:cs="Times New Roman"/>
        </w:rPr>
        <w:t xml:space="preserve">one </w:t>
      </w:r>
      <w:r w:rsidRPr="00260A57">
        <w:rPr>
          <w:rFonts w:ascii="Times New Roman" w:hAnsi="Times New Roman" w:cs="Times New Roman"/>
        </w:rPr>
        <w:t xml:space="preserve">and </w:t>
      </w:r>
      <w:r>
        <w:rPr>
          <w:rFonts w:ascii="Times New Roman" w:hAnsi="Times New Roman" w:cs="Times New Roman"/>
        </w:rPr>
        <w:t xml:space="preserve">two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"10.1007/s00442-003-1218-3", "ISBN" : "0029-8549", "ISSN" : "00298549", "PMID" : "12759813", "abstract" : "Stable isotopes are increasingly being used as tracers in environmental studies. One application is to use isotopic ratios to quantitatively determine the proportional contribution of several sources to a mixture, such as the proportion of various pollution sources in a waste stream. In general, the proportional contributions of n+1 different sources can be uniquely determined by the use of n different isotope system tracers (e.g., \u03b413C, \u03b415N, \u03b418O) with linear mixing models based on mass balance equations. Often, however, the number of potential sources exceeds n+1, which prevents finding a unique solution of source proportions. What can be done in these situations? While no definitive solution exists, we propose a method that is informative in determining bounds for the contributions of each source. In this method, all possible combinations of each source contribution (0-100%) are examined in small increments (e.g., 1%). Combinations that sum to the observed mixture isotopic signatures within a small tolerance (e.g., \u00b10.1\u2030) are considered to be feasible solutions, from which the frequency and range of potential source contributions can be determined. To avoid misrepresenting the results, users of this procedure should report the distribution of feasible solutions rather than focusing on a single value such as the mean. We applied this method to a variety of environmental studies in which stable isotope tracers were used to quantify the relative magnitude of multiple sources, including (1) plant water use, (2) geochemistry, (3) air pollution, and (4) dietary analysis. This method gives the range of isotopically determined source contributions; additional non-isotopic constraints specific to each study may be used to further restrict this range. The breadth of the isotopically determined ranges depends on the geometry of the mixing space and the similarity of source and mixture isotopic signatures. A sensitivity analysis indicated that the estimated ranges vary only modestly with different choices of source increment and mass balance tolerance parameter values. A computer program (IsoSource) to perform these calculations for user-specified data is available at http://www.e-pa.gov/wed/pages/models.htm.", "author" : [ { "dropping-particle" : "", "family" : "Phillips", "given" : "Donald L.", "non-dropping-particle" : "", "parse-names" : false, "suffix" : "" }, { "dropping-particle" : "", "family" : "Gregg", "given" : "Jillian W.", "non-dropping-particle" : "", "parse-names" : false, "suffix" : "" } ], "container-title" : "Oecologia", "id" : "ITEM-1", "issue" : "2", "issued" : { "date-parts" : [ [ "2003" ] ] }, "page" : "261-269", "title" : "Source partitioning using stable isotopes: Coping with too many sources", "type" : "article-journal", "volume" : "136" }, "uris" : [ "http://www.mendeley.com/documents/?uuid=0cc0d3a1-52ee-45c3-bf79-5f49383ab65c" ] }, { "id" : "ITEM-2", "itemData" : { "DOI" : "10.1007/s00442-002-0977-6", "ISBN" : "0029-8549\\r1432-1939", "ISSN" : "00298549", "PMID" : "24599364", "abstract" : "Stable isotopes are often used as natural labels to quantify the contributions of multiple sources to a mixture. For example, C and N isotopic signatures can be used to determine the fraction of three food sources in a consumer's diet. The standard dual isotope, three source linear mixing model assumes that the proportional contribution of a source to a mixture is the same for both elements (e.g., C, N). This may be a reasonable assumption if the concentrations are similar among all sources. However, one source is often particularly rich or poor in one element (e.g., N), which logically leads to a proportionate increase or decrease in the contribution of that source to the mixture for that element relative to the other element (e.g., C). We have developed a concentration-weighted linear mixing model, which assumes that for each element, a source's contribution is proportional to the contributed mass times the elemental concentration in that source. The model is outlined for two elements and three sources, but can be generalized to n elements and n+1 sources. Sensitivity analyses for C and N in three sources indicated that varying the N concentration of just one source had large and differing effects on the estimated source contributions of mass, C, and N. The same was true for a case study of bears feeding on salmon, moose, and N-poor plants. In this example, the estimated biomass contribution of salmon from the concentration-weighted model was markedly less than the standard model estimate. Application of the model to a captive feeding study of captive mink fed on salmon, lean beef, and C-rich, N-poor beef fat reproduced very closely the known dietary proportions, whereas the standard model failed to yield a set of positive source proportions. Use of this concentration-weighted model is recommended whenever the elemental concentrations vary substantially among the Sources'. which may occur in a variety of ecological and geochemical applications of stable isotope analysis. Possible examples besides dietary and food web Studies include stable isotope analysis of water Sources in soils, plants, or water bodies; geological Sources for soils or marine systems, decomposition and soil organic matter dynamics. and tracing animal migration patterns. A spreadsheet for performing the calculations for this model is available at http://www.epa.gov/wed/pages/models.htm.", "author" : [ { "dropping-particle" : "", "family" : "Koch", "given" : "Paul L.", "non-dropping-particle" : "", "parse-names" : false, "suffix" : "" }, { "dropping-particle" : "", "family" : "Phillips", "given" : "Donald L.", "non-dropping-particle" : "", "parse-names" : false, "suffix" : "" } ], "container-title" : "Oecologia", "id" : "ITEM-2", "issue" : "1", "issued" : { "date-parts" : [ [ "2002" ] ] }, "page" : "14-18", "title" : "Incorporating concentration dependence in stable isotope mixing models: A reply to Robbins, Hilderbrand and Farley (2002)", "type" : "article-journal", "volume" : "133" }, "uris" : [ "http://www.mendeley.com/documents/?uuid=cd9afa47-de82-47fd-9f15-ebc313ad88d6" ] }, { "id" : "ITEM-3", "itemData" : { "author" : [ { "dropping-particle" : "", "family" : "Phillips", "given" : "Donald L", "non-dropping-particle" : "", "parse-names" : false, "suffix" : "" }, { "dropping-particle" : "", "family" : "Inger", "given" : "Richard", "non-dropping-particle" : "", "parse-names" : false, "suffix" : "" }, { "dropping-particle" : "", "family" : "Bearhop", "given" : "Stuart", "non-dropping-particle" : "", "parse-names" : false, "suffix" : "" }, { "dropping-particle" : "", "family" : "Jackson", "given" : "Andrew L", "non-dropping-particle" : "", "parse-names" : false, "suffix" : "" }, { "dropping-particle" : "", "family" : "Moore", "given" : "Jonathan W", "non-dropping-particle" : "", "parse-names" : false, "suffix" : "" }, { "dropping-particle" : "", "family" : "Parnell", "given" : "Andrew C", "non-dropping-particle" : "", "parse-names" : false, "suffix" : "" }, { "dropping-particle" : "", "family" : "Semmens", "given" : "Brice X", "non-dropping-particle" : "", "parse-names" : false, "suffix" : "" }, { "dropping-particle" : "", "family" : "Ward", "given" : "Eric J", "non-dropping-particle" : "", "parse-names" : false, "suffix" : "" } ], "container-title" : "Canadian Journal of Zoology", "id" : "ITEM-3", "issue" : "10", "issued" : { "date-parts" : [ [ "2014" ] ] }, "page" : "823-835", "title" : "Best practices for use of stable isotope mixing models in food-web studies", "type" : "article-journal", "volume" : "92" }, "uris" : [ "http://www.mendeley.com/documents/?uuid=6b2004e3-5c72-4e47-9186-9b9e49ff088b" ] }, { "id" : "ITEM-4", "itemData" : { "DOI" : "10.1111/j.1600-0706.2010.18259.x", "ISBN" : "1600-0706", "ISSN" : "00301299", "abstract" : "Recently, it was proposed that stable isotope patterns can be used to quantify the width of the ecological niche of animals. However, the potential effects of habitat use on isotopic patterns of consumers have not been fully explored and consequently isotopic patterns may yield deceptive estimates of niche width. Here, we simulated four different scenarios of a consumer foraging across an isotopically heterogeneous landscape to test the combined effects of habitat and diet selection on the widths of the isotopic niche. We then modeled the actions of a na\u00efve researcher who randomly sampled consumers from the simulated populations, and used these results to assess the overlap and partitioning of the isotopic and the ecological niches when habitat-derived differences among isotope signatures are not considered. Our results suggest that populations of dietary specialists exhibited broader isotopic niches than populations composed of dietary generalists, and habitat generalists exhibited narrower isotopic niche widths compared with populations of individuals that foraged in specific habitats. The conversion of isotopic niches to ecological niches without knowledge of foraging behavior and habitat-derived isotopic differences transformed an informative \u03b4-space into \u2018a blurry p-space\u2019. Therefore, knowledge of habitat-derived differences in stable isotope values and understanding of habitat use and individual foraging behavior are critical for the correct quantification of the ecological niche.", "author" : [ { "dropping-particle" : "", "family" : "Flaherty", "given" : "Elizabeth A.", "non-dropping-particle" : "", "parse-names" : false, "suffix" : "" }, { "dropping-particle" : "", "family" : "Ben-David", "given" : "Merav", "non-dropping-particle" : "", "parse-names" : false, "suffix" : "" } ], "container-title" : "Oikos", "id" : "ITEM-4", "issue" : "9", "issued" : { "date-parts" : [ [ "2010" ] ] }, "page" : "1409-1416", "title" : "Overlap and partitioning of the ecological and isotopic niches", "type" : "article-journal", "volume" : "119" }, "uris" : [ "http://www.mendeley.com/documents/?uuid=379cd3ae-841d-4c90-8e85-9ce742b56cf4" ] } ], "mendeley" : { "formattedCitation" : "(Koch and Phillips 2002, Phillips and Gregg 2003, Flaherty and Ben-David 2010, Phillips et al. 2014)", "plainTextFormattedCitation" : "(Koch and Phillips 2002, Phillips and Gregg 2003, Flaherty and Ben-David 2010, Phillips et al. 2014)", "previouslyFormattedCitation" : "(Koch and Phillips 2002, Phillips and Gregg 2003, Flaherty and Ben-David 2010, Phillips et al. 2014)" }, "properties" : {  }, "schema" : "https://github.com/citation-style-language/schema/raw/master/csl-citation.json" }</w:instrText>
      </w:r>
      <w:r>
        <w:rPr>
          <w:rFonts w:ascii="Times New Roman" w:hAnsi="Times New Roman" w:cs="Times New Roman"/>
        </w:rPr>
        <w:fldChar w:fldCharType="separate"/>
      </w:r>
      <w:r w:rsidRPr="00CF382F">
        <w:rPr>
          <w:rFonts w:ascii="Times New Roman" w:hAnsi="Times New Roman" w:cs="Times New Roman"/>
          <w:noProof/>
        </w:rPr>
        <w:t>(Koch and Phillips 2002, Phillips and Gregg 2003, Flaherty and Ben-David 2010, Phillips et al. 2014)</w:t>
      </w:r>
      <w:r>
        <w:rPr>
          <w:rFonts w:ascii="Times New Roman" w:hAnsi="Times New Roman" w:cs="Times New Roman"/>
        </w:rPr>
        <w:fldChar w:fldCharType="end"/>
      </w:r>
      <w:r>
        <w:rPr>
          <w:rFonts w:ascii="Times New Roman" w:hAnsi="Times New Roman" w:cs="Times New Roman"/>
        </w:rPr>
        <w:t>.</w:t>
      </w:r>
      <w:r w:rsidRPr="00260A57">
        <w:rPr>
          <w:rFonts w:ascii="Times New Roman" w:hAnsi="Times New Roman" w:cs="Times New Roman"/>
        </w:rPr>
        <w:t xml:space="preserve"> But what if a consumer falls outside of the </w:t>
      </w:r>
      <w:r>
        <w:rPr>
          <w:rFonts w:ascii="Times New Roman" w:hAnsi="Times New Roman" w:cs="Times New Roman"/>
        </w:rPr>
        <w:t xml:space="preserve">prey </w:t>
      </w:r>
      <w:r w:rsidRPr="00260A57">
        <w:rPr>
          <w:rFonts w:ascii="Times New Roman" w:hAnsi="Times New Roman" w:cs="Times New Roman"/>
        </w:rPr>
        <w:t xml:space="preserve">mixing space, or sources have a large degree of variability (uncertainly) about them? </w:t>
      </w:r>
    </w:p>
    <w:p w14:paraId="69DB2F7D" w14:textId="77777777" w:rsidR="00D97851" w:rsidRPr="00260A57" w:rsidRDefault="00D97851" w:rsidP="00D97851">
      <w:pPr>
        <w:spacing w:after="160" w:line="360" w:lineRule="auto"/>
        <w:ind w:firstLine="720"/>
        <w:rPr>
          <w:rFonts w:ascii="Times New Roman" w:hAnsi="Times New Roman" w:cs="Times New Roman"/>
        </w:rPr>
      </w:pPr>
      <w:r w:rsidRPr="00260A57">
        <w:rPr>
          <w:rFonts w:ascii="Times New Roman" w:hAnsi="Times New Roman" w:cs="Times New Roman"/>
        </w:rPr>
        <w:t>Prior to 2008, these sources of uncertainty were not accounted for in mixing models</w:t>
      </w:r>
      <w:r>
        <w:rPr>
          <w:rFonts w:ascii="Times New Roman" w:hAnsi="Times New Roman" w:cs="Times New Roman"/>
        </w:rPr>
        <w:t>,</w:t>
      </w:r>
      <w:r w:rsidRPr="00260A57">
        <w:rPr>
          <w:rFonts w:ascii="Times New Roman" w:hAnsi="Times New Roman" w:cs="Times New Roman"/>
        </w:rPr>
        <w:t xml:space="preserve"> and </w:t>
      </w:r>
      <w:r>
        <w:rPr>
          <w:rFonts w:ascii="Times New Roman" w:hAnsi="Times New Roman" w:cs="Times New Roman"/>
        </w:rPr>
        <w:t xml:space="preserve">thus </w:t>
      </w:r>
      <w:r w:rsidRPr="00260A57">
        <w:rPr>
          <w:rFonts w:ascii="Times New Roman" w:hAnsi="Times New Roman" w:cs="Times New Roman"/>
        </w:rPr>
        <w:t xml:space="preserve">hindered their development and application. </w:t>
      </w:r>
      <w:r>
        <w:rPr>
          <w:rFonts w:ascii="Times New Roman" w:hAnsi="Times New Roman" w:cs="Times New Roman"/>
        </w:rPr>
        <w:t>But s</w:t>
      </w:r>
      <w:r w:rsidRPr="00260A57">
        <w:rPr>
          <w:rFonts w:ascii="Times New Roman" w:hAnsi="Times New Roman" w:cs="Times New Roman"/>
        </w:rPr>
        <w:t xml:space="preserve">ince 2008, Bayesian statistical methods have been incorporated into stable isotope mixing models because they can integrate prior information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"DOI" : "10.1111/j.1461-0248.2008.01163.x", "ISBN" : "1461-0248 (Electronic)\\n1461-023X (Linking)", "ISSN" : "1461023X", "PMID" : "18294213", "abstract" : "Stable isotopes are a powerful tool for ecologists, often used to assess contributions of different sources to a mixture (e.g. prey to a consumer). Mixing models use stable isotope data to estimate the contribution of sources to a mixture. Uncertainty associated with mixing models is often substantial, but has not yet been fully incorporated in models. We developed a Bayesian-mixing model that estimates probability distributions of source contributions to a mixture while explicitly accounting for uncertainty associated with multiple sources, fractionation and isotope signatures. This model also allows for optional incorporation of informative prior information in analyses. We demonstrate our model using a predator-prey case study. Accounting for uncertainty in mixing model inputs can change the variability, magnitude and rank order of estimates of prey (source) contributions to the predator (mixture). Isotope mixing models need to fully account for uncertainty in order to accurately estimate source contributions.", "author" : [ { "dropping-particle" : "", "family" : "Moore", "given" : "Jonathan W.", "non-dropping-particle" : "", "parse-names" : false, "suffix" : "" }, { "dropping-particle" : "", "family" : "Semmens", "given" : "Brice X.", "non-dropping-particle" : "", "parse-names" : false, "suffix" : "" } ], "container-title" : "Ecology Letters", "id" : "ITEM-1", "issue" : "5", "issued" : { "date-parts" : [ [ "2008" ] ] }, "page" : "470-480", "title" : "Incorporating uncertainty and prior information into stable isotope mixing models", "type" : "article-journal", "volume" : "11" }, "uris" : [ "http://www.mendeley.com/documents/?uuid=19820751-343a-4642-ba4f-7d7e6c7db875" ] } ], "mendeley" : { "formattedCitation" : "(Moore and Semmens 2008)", "plainTextFormattedCitation" : "(Moore and Semmens 2008)", "previouslyFormattedCitation" : "(Moore and Semmens 2008)"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(Moore and Semmens 2008)</w:t>
      </w:r>
      <w:r w:rsidRPr="00260A57">
        <w:rPr>
          <w:rFonts w:ascii="Times New Roman" w:hAnsi="Times New Roman" w:cs="Times New Roman"/>
        </w:rPr>
        <w:fldChar w:fldCharType="end"/>
      </w:r>
      <w:r w:rsidRPr="00260A57">
        <w:rPr>
          <w:rFonts w:ascii="Times New Roman" w:hAnsi="Times New Roman" w:cs="Times New Roman"/>
        </w:rPr>
        <w:t xml:space="preserve">, hierarchical data structures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"DOI" : "10.1371/journal.pone.0006187", "ISBN" : "1932-6203", "ISSN" : "1932-6203", "PMID" : "19587790", "abstract" : "Variability in resource use defines the width of a trophic niche occupied by a population. Intra-population variability in resource use may occur across hierarchical levels of population structure from individuals to subpopulations. Understanding how levels of population organization contribute to population niche width is critical to ecology and evolution. Here we describe a hierarchical stable isotope mixing model that can simultaneously estimate both the prey composition of a consumer diet and the diet variability among individuals and across levels of population organization. By explicitly estimating variance components for multiple scales, the model can deconstruct the niche width of a consumer population into relevant levels of population structure. We apply this new approach to stable isotope data from a population of gray wolves from coastal British Columbia, and show support for extensive intra-population niche variability among individuals, social groups, and geographically isolated subpopulations. The analytic method we describe improves mixing models by accounting for diet variability, and improves isotope niche width analysis by quantitatively assessing the contribution of levels of organization to the niche width of a population.", "author" : [ { "dropping-particle" : "", "family" : "Semmens", "given" : "Brice X", "non-dropping-particle" : "", "parse-names" : false, "suffix" : "" }, { "dropping-particle" : "", "family" : "Ward", "given" : "Eric J", "non-dropping-particle" : "", "parse-names" : false, "suffix" : "" }, { "dropping-particle" : "", "family" : "Moore", "given" : "Jonathan W", "non-dropping-particle" : "", "parse-names" : false, "suffix" : "" }, { "dropping-particle" : "", "family" : "Darimont", "given" : "Chris T", "non-dropping-particle" : "", "parse-names" : false, "suffix" : "" } ], "container-title" : "PloS one", "id" : "ITEM-1", "issue" : "7", "issued" : { "date-parts" : [ [ "2009" ] ] }, "page" : "e6187", "title" : "Quantifying inter- and intra-population niche variability using hierarchical bayesian stable isotope mixing models.", "type" : "article-journal", "volume" : "4" }, "uris" : [ "http://www.mendeley.com/documents/?uuid=dec810a8-3ed4-4a30-91c5-4a0956bda9b1" ] } ], "mendeley" : { "formattedCitation" : "(Semmens et al. 2009)", "plainTextFormattedCitation" : "(Semmens et al. 2009)", "previouslyFormattedCitation" : "(Semmens et al. 2009)"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(Semmens et al. 2009)</w:t>
      </w:r>
      <w:r w:rsidRPr="00260A57">
        <w:rPr>
          <w:rFonts w:ascii="Times New Roman" w:hAnsi="Times New Roman" w:cs="Times New Roman"/>
        </w:rPr>
        <w:fldChar w:fldCharType="end"/>
      </w:r>
      <w:r w:rsidRPr="00260A57">
        <w:rPr>
          <w:rFonts w:ascii="Times New Roman" w:hAnsi="Times New Roman" w:cs="Times New Roman"/>
        </w:rPr>
        <w:t xml:space="preserve">, source uncertainly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"DOI" : "10.1021/es100053v", "ISBN" : "0013-936X", "ISSN" : "0013-936X", "PMID" : "20496928", "abstract" : "Stable isotope mixing models offer a statistical framework for estimating the contribution of multiple sources (such as prey) to a mixture distribution. Recent advances in these models have estimated the source proportions using Bayesian methods, but have not explicitly accounted for uncertainty in the mean and variance of sources. We demonstrate that treating these quantities as unknown parameters can reduce bias in the estimated source contributions, although model complexity is increased (thereby increasing the variance of estimates). The advantages of this fully Bayesian approach are particularly apparent when the source geometry is poor or sample sizes are small. A second benefit to treating source quantities as parameters is that prior source information can be included. We present findings from 9 lake food-webs, where the consumer of interest (fish) has a diet composed of 5 sources: aquatic insects, snails, zooplankton, amphipods, and terrestrial insects. We compared the traditional Bayesian stable isotope mixing model with fixed source parameters to our fully Bayesian model-with and without an informative prior. The informative prior has much less impact than the choice of model-the traditional mixing model with fixed source parameters estimates the diet to be dominated by aquatic insects, while the fully Bayesian model estimates the diet to be more balanced but with greater importance of zooplankton. The findings from this example demonstrate that there can be stark differences in inference between the two model approaches, particularly when the source geometry of the mixing model is poor. These analyses also emphasize the importance of investing substantial effort toward characterizing the variation in the isotopic characteristics of source pools to appropriately quantify uncertainties in their contributions to consumers in food webs.", "author" : [ { "dropping-particle" : "", "family" : "Ward", "given" : "Eric J", "non-dropping-particle" : "", "parse-names" : false, "suffix" : "" }, { "dropping-particle" : "", "family" : "Semmens", "given" : "Brice X", "non-dropping-particle" : "", "parse-names" : false, "suffix" : "" }, { "dropping-particle" : "", "family" : "Schindler", "given" : "Daniel E", "non-dropping-particle" : "", "parse-names" : false, "suffix" : "" } ], "container-title" : "Environmental science &amp; technology", "id" : "ITEM-1", "issue" : "12", "issued" : { "date-parts" : [ [ "2010" ] ] }, "page" : "4645-4650", "title" : "Including source uncertainty and prior information in the analysis of stable isotope mixing models.", "type" : "article-journal", "volume" : "44" }, "uris" : [ "http://www.mendeley.com/documents/?uuid=d5e2d2b3-a782-4f6d-9d45-90999818486c" ] } ], "mendeley" : { "formattedCitation" : "(Ward et al. 2010)", "plainTextFormattedCitation" : "(Ward et al. 2010)", "previouslyFormattedCitation" : "(Ward et al. 2010)"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(Ward et al. 2010)</w:t>
      </w:r>
      <w:r w:rsidRPr="00260A57">
        <w:rPr>
          <w:rFonts w:ascii="Times New Roman" w:hAnsi="Times New Roman" w:cs="Times New Roman"/>
        </w:rPr>
        <w:fldChar w:fldCharType="end"/>
      </w:r>
      <w:r>
        <w:rPr>
          <w:rFonts w:ascii="Times New Roman" w:hAnsi="Times New Roman" w:cs="Times New Roman"/>
        </w:rPr>
        <w:t>,</w:t>
      </w:r>
      <w:r w:rsidRPr="00260A57">
        <w:rPr>
          <w:rFonts w:ascii="Times New Roman" w:hAnsi="Times New Roman" w:cs="Times New Roman"/>
        </w:rPr>
        <w:t xml:space="preserve"> and continuous effects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"DOI" : "10.1111/j.1461-0248.2011.01597.x", "ISBN" : "1461-0248", "ISSN" : "1461023X", "PMID" : "21314881", "abstract" : "While the importance of terrestrial linkages to aquatic ecosystems is well appreciated, the degree of terrestrial support of aquatic consumers remains debated. Estimates of terrestrial contributions to lake zooplankton have omitted a key food source, phytoplankton produced below the mixed layer. We used carbon and nitrogen stable isotope data from 25 Pacific Northwest lakes to assess the relative importance of particulate organic matter (POM) from the mixed layer, below the mixed layer and terrestrial detritus to zooplankton. Zooplankton and deep POM were depleted in \u00b9\u00b3C relative to mixed layer POM in lakes that can support deep primary production. A Bayesian stable isotope mixing model estimated that terrestrial detritus contributed &lt;5% to zooplankton production, and confirms the role of lake optical and thermal properties; deep POM accounted for up to 80% of zooplankton production in the clearest lakes. These results suggest terrestrial support of lake zooplankton production is trivial.", "author" : [ { "dropping-particle" : "", "family" : "Francis", "given" : "Tessa B.", "non-dropping-particle" : "", "parse-names" : false, "suffix" : "" }, { "dropping-particle" : "", "family" : "Schindler", "given" : "Daniel E.", "non-dropping-particle" : "", "parse-names" : false, "suffix" : "" }, { "dropping-particle" : "", "family" : "Holtgrieve", "given" : "Gordon W.", "non-dropping-particle" : "", "parse-names" : false, "suffix" : "" }, { "dropping-particle" : "", "family" : "Larson", "given" : "Eric R.", "non-dropping-particle" : "", "parse-names" : false, "suffix" : "" }, { "dropping-particle" : "", "family" : "Scheuerell", "given" : "Mark D.", "non-dropping-particle" : "", "parse-names" : false, "suffix" : "" }, { "dropping-particle" : "", "family" : "Semmens", "given" : "Brice X.", "non-dropping-particle" : "", "parse-names" : false, "suffix" : "" }, { "dropping-particle" : "", "family" : "Ward", "given" : "Eric J.", "non-dropping-particle" : "", "parse-names" : false, "suffix" : "" } ], "container-title" : "Ecology Letters", "id" : "ITEM-1", "issue" : "4", "issued" : { "date-parts" : [ [ "2011" ] ] }, "page" : "364-372", "title" : "Habitat structure determines resource use by zooplankton in temperate lakes", "type" : "article-journal", "volume" : "14" }, "uris" : [ "http://www.mendeley.com/documents/?uuid=7c87e2ff-ae8d-4bf1-ab62-9760797af8a8" ] } ], "mendeley" : { "formattedCitation" : "(Francis et al. 2011)", "plainTextFormattedCitation" : "(Francis et al. 2011)", "previouslyFormattedCitation" : "(Francis et al. 2011)"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(Francis et al. 2011)</w:t>
      </w:r>
      <w:r w:rsidRPr="00260A57">
        <w:rPr>
          <w:rFonts w:ascii="Times New Roman" w:hAnsi="Times New Roman" w:cs="Times New Roman"/>
        </w:rPr>
        <w:fldChar w:fldCharType="end"/>
      </w:r>
      <w:r w:rsidRPr="00260A57">
        <w:rPr>
          <w:rFonts w:ascii="Times New Roman" w:hAnsi="Times New Roman" w:cs="Times New Roman"/>
        </w:rPr>
        <w:t xml:space="preserve">. </w:t>
      </w:r>
      <w:r>
        <w:rPr>
          <w:rFonts w:ascii="Times New Roman" w:hAnsi="Times New Roman" w:cs="Times New Roman"/>
        </w:rPr>
        <w:t xml:space="preserve">Such </w:t>
      </w:r>
      <w:r w:rsidRPr="00260A57">
        <w:rPr>
          <w:rFonts w:ascii="Times New Roman" w:hAnsi="Times New Roman" w:cs="Times New Roman"/>
        </w:rPr>
        <w:t xml:space="preserve">models have been incorporated into numerous packages developed for implementation in Program R </w:t>
      </w:r>
      <w:r w:rsidRPr="00260A57">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"10.1111/j.1461-0248.2008.01233.x", "ISBN" : "1461-023X", "ISSN" : "1461023X", "PMID" : "18691222", "abstract" : "The application of Bayesian methods to stable isotopic mixing problems, including inference of diet has the potential to revolutionise ecological research. Using simulated data we show that a recently published model MixSIR fails to correctly identify the true underlying dietary proportions more than 50% of the time and fails with increasing frequency as additional unquantified error is added. While the source of the fundamental failure remains elusive, mitigating solutions are suggested for dealing with additional unquantified variation. Moreover, MixSIR uses a formulation for a prior distribution that results in an opaque and unintuitive covariance structure.", "author" : [ { "dropping-particle" : "", "family" : "Jackson", "given" : "Andrew L.", "non-dropping-particle" : "", "parse-names" : false, "suffix" : "" }, { "dropping-particle" : "", "family" : "Inger", "given" : "Richard", "non-dropping-particle" : "", "parse-names" : false, "suffix" : "" }, { "dropping-particle" : "", "family" : "Bearhop", "given" : "Stuart", "non-dropping-particle" : "", "parse-names" : false, "suffix" : "" }, { "dropping-particle" : "", "family" : "Parnell", "given" : "Andrew", "non-dropping-particle" : "", "parse-names" : false, "suffix" : "" } ], "container-title" : "Ecology Letters", "id" : "ITEM-1", "issue" : "3", "issued" : { "date-parts" : [ [ "2009" ] ] }, "page" : "E1-E5", "title" : "Erroneous behaviour of MixSIR, a recently published Bayesian isotope mixing model: A discussion of Moore &amp; Semmens (2008)", "type" : "article-journal", "volume" : "12" }, "uris" : [ "http://www.mendeley.com/documents/?uuid=fda58b90-7c16-4e37-b8e6-96281ae96425" ] }, { "id" : "ITEM-2", "itemData" : { "DOI" : "10.1371/journal.pone.0006187", "ISBN" : "1932-6203", "ISSN" : "1932-6203", "PMID" : "19587790", "abstract" : "Variability in resource use defines the width of a trophic niche occupied by a population. Intra-population variability in resource use may occur across hierarchical levels of population structure from individuals to subpopulations. Understanding how levels of population organization contribute to population niche width is critical to ecology and evolution. Here we describe a hierarchical stable isotope mixing model that can simultaneously estimate both the prey composition of a consumer diet and the diet variability among individuals and across levels of population organization. By explicitly estimating variance components for multiple scales, the model can deconstruct the niche width of a consumer population into relevant levels of population structure. We apply this new approach to stable isotope data from a population of gray wolves from coastal British Columbia, and show support for extensive intra-population niche variability among individuals, social groups, and geographically isolated subpopulations. The analytic method we describe improves mixing models by accounting for diet variability, and improves isotope niche width analysis by quantitatively assessing the contribution of levels of organization to the niche width of a population.", "author" : [ { "dropping-particle" : "", "family" : "Semmens", "given" : "Brice X", "non-dropping-particle" : "", "parse-names" : false, "suffix" : "" }, { "dropping-particle" : "", "family" : "Ward", "given" : "Eric J", "non-dropping-particle" : "", "parse-names" : false, "suffix" : "" }, { "dropping-particle" : "", "family" : "Moore", "given" : "Jonathan W", "non-dropping-particle" : "", "parse-names" : false, "suffix" : "" }, { "dropping-particle" : "", "family" : "Darimont", "given" : "Chris T", "non-dropping-particle" : "", "parse-names" : false, "suffix" : "" } ], "container-title" : "PloS one", "id" : "ITEM-2", "issue" : "7", "issued" : { "date-parts" : [ [ "2009" ] ] }, "page" : "e6187", "title" : "Quantifying inter- and intra-population niche variability using hierarchical bayesian stable isotope mixing models.", "type" : "article-journal", "volume" : "4" }, "uris" : [ "http://www.mendeley.com/documents/?uuid=dec810a8-3ed4-4a30-91c5-4a0956bda9b1" ] }, { "id" : "ITEM-3", "itemData" : { "DOI" : "10.1371/journal.pone.0009672", "ISBN" : "1932-6203", "ISSN" : "19326203", "PMID" : "20300637", "abstract" : "BACKGROUND: Stable isotope analysis is increasingly being utilised across broad areas of ecology and biology. Key to much of this work is the use of mixing models to estimate the proportion of sources contributing to a mixture such as in diet estimation.\\n\\nMETHODOLOGY: By accurately reflecting natural variation and uncertainty to generate robust probability estimates of source proportions, the application of Bayesian methods to stable isotope mixing models promises to enable researchers to address an array of new questions, and approach current questions with greater insight and honesty.\\n\\nCONCLUSIONS: We outline a framework that builds on recently published Bayesian isotopic mixing models and present a new open source R package, SIAR. The formulation in R will allow for continued and rapid development of this core model into an all-encompassing single analysis suite for stable isotope research.", "author" : [ { "dropping-particle" : "", "family" : "Parnell", "given" : "Andrew C.", "non-dropping-particle" : "", "parse-names" : false, "suffix" : "" }, { "dropping-particle" : "", "family" : "Inger", "given" : "Richard", "non-dropping-particle" : "", "parse-names" : false, "suffix" : "" }, { "dropping-particle" : "", "family" : "Bearhop", "given" : "Stuart", "non-dropping-particle" : "", "parse-names" : false, "suffix" : "" }, { "dropping-particle" : "", "family" : "Jackson", "given" : "Andrew L.", "non-dropping-particle" : "", "parse-names" : false, "suffix" : "" } ], "container-title" : "PLoS ONE", "id" : "ITEM-3", "issue" : "3", "issued" : { "date-parts" : [ [ "2010" ] ] }, "page" : "1-5", "title" : "Source partitioning using stable isotopes: Coping with too much variation", "type" : "article-journal", "volume" : "5" }, "uris" : [ "http://www.mendeley.com/documents/?uuid=f604b4e2-ad7b-49e6-aec4-27e3e592c4ac" ] }, { "id" : "ITEM-4", "itemData" : { "DOI" : "10.1371/journal.pone.0028478", "ISBN" : "1932-6203 (Electronic)\\n1932-6203 (Linking)", "ISSN" : "19326203", "PMID" : "22235246", "abstract" : "Using stable isotope mixing models (SIMMs) as a tool to investigate the foraging ecology of animals is gaining popularity among researchers. As a result, statistical methods are rapidly evolving and numerous models have been produced to estimate the diets of animals--each with their benefits and their limitations. Deciding which SIMM to use is contingent on factors such as the consumer of interest, its food sources, sample size, the familiarity a user has with a particular framework for statistical analysis, or the level of inference the researcher desires to make (e.g., population- or individual-level). In this paper, we provide a review of commonly used SIMM models and describe a comprehensive SIMM that includes all features commonly used in SIMM analysis and two new features. We used data collected in Yosemite National Park to demonstrate IsotopeR's ability to estimate dietary parameters. We then examined the importance of each feature in the model and compared our results to inferences from commonly used SIMMs. IsotopeR's user interface (in R) will provide researchers a user-friendly tool for SIMM analysis. The model is also applicable for use in paleontology, archaeology, and forensic studies as well as estimating pollution inputs.", "author" : [ { "dropping-particle" : "", "family" : "Hopkins", "given" : "John B.", "non-dropping-particle" : "", "parse-names" : false, "suffix" : "" }, { "dropping-particle" : "", "family" : "Ferguson", "given" : "Jake M.", "non-dropping-particle" : "", "parse-names" : false, "suffix" : "" } ], "container-title" : "PLoS ONE", "id" : "ITEM-4", "issue" : "1", "issued" : { "date-parts" : [ [ "2012" ] ] }, "page" : "e28478", "title" : "Estimating the diets of animals using stable isotopes and a comprehensive Bayesian mixing model", "type" : "article-journal", "volume" : "7" }, "uris" : [ "http://www.mendeley.com/documents/?uuid=385b82d2-66e5-40e0-ad19-2ed0817446e2" ] }, { "id" : "ITEM-5", "itemData" : { "DOI" : "10.1371/journal.pone.0087436", "ISBN" : "1932-6203 (Electronic)\\n1932-6203 (Linking)", "ISSN" : "19326203", "PMID" : "24551057", "abstract" : "Human and animal diet reconstruction studies that rely on tissue chemical signatures aim at providing estimates on the relative intake of potential food groups. However, several sources of uncertainty need to be considered when handling data. Bayesian mixing models provide a natural platform to handle diverse sources of uncertainty while allowing the user to contribute with prior expert information. The Bayesian mixing model FRUITS (Food Reconstruction Using Isotopic Transferred Signals) was developed for use in diet reconstruction studies. FRUITS incorporates the capability to account for dietary routing, that is, the contribution of different food fractions (e.g. macronutrients) towards a dietary proxy signal measured in the consumer. FRUITS also provides relatively straightforward means for the introduction of prior information on the relative dietary contributions of food groups or food fractions. This type of prior may originate, for instance, from physiological or metabolic studies. FRUITS performance was tested using simulated data and data from a published controlled animal feeding experiment. The feeding experiment data was selected to exemplify the application of the novel capabilities incorporated into FRUITS but also to illustrate some of the aspects that need to be considered when handling data within diet reconstruction studies. FRUITS accurately predicted dietary intakes, and more precise estimates were obtained for dietary scenarios in which expert prior information was included. FRUITS represents a useful tool to achieve accurate and precise food intake estimates in diet reconstruction studies within different scientific fields (e.g. ecology, forensics, archaeology, and dietary physiology).", "author" : [ { "dropping-particle" : "", "family" : "Fernandes", "given" : "Ricardo", "non-dropping-particle" : "", "parse-names" : false, "suffix" : "" }, { "dropping-particle" : "", "family" : "Millard", "given" : "Andrew R.", "non-dropping-particle" : "", "parse-names" : false, "suffix" : "" }, { "dropping-particle" : "", "family" : "Brabec", "given" : "Marek", "non-dropping-particle" : "", "parse-names" : false, "suffix" : "" }, { "dropping-particle" : "", "family" : "Nadeau", "given" : "Marie Jos\u00e9e", "non-dropping-particle" : "", "parse-names" : false, "suffix" : "" }, { "dropping-particle" : "", "family" : "Grootes", "given" : "Pieter", "non-dropping-particle" : "", "parse-names" : false, "suffix" : "" } ], "container-title" : "PLoS ONE", "id" : "ITEM-5", "issue" : "2", "issued" : { "date-parts" : [ [ "2014" ] ] }, "page" : "e87436", "title" : "Food reconstruction using isotopic transferred signals (FRUITS): A bayesian model for diet reconstruction", "type" : "article-journal", "volume" : "9" }, "uris" : [ "http://www.mendeley.com/documents/?uuid=6d37dd24-fbda-455b-b0f0-ffb7db95af88" ] }, { "id" : "ITEM-6", "itemData" : { "DOI" : "10.1002/ecy.1517", "ISSN" : "00129658", "author" : [ { "dropping-particle" : "", "family" : "Stock", "given" : "Brian C.", "non-dropping-particle" : "", "parse-names" : false, "suffix" : "" }, { "dropping-particle" : "", "family" : "Semmens", "given" : "Brice X.", "non-dropping-particle" : "", "parse-names" : false, "suffix" : "" } ], "container-title" : "Ecology", "id" : "ITEM-6", "issue" : "10", "issued" : { "date-parts" : [ [ "2016" ] ] }, "page" : "2562-2569", "title" : "Unifying error structures in commonly used biotracer mixing models", "type" : "article-journal", "volume" : "97" }, "uris" : [ "http://www.mendeley.com/documents/?uuid=430e3475-888d-40dc-af90-0e500825dc90" ] } ], "mendeley" : { "formattedCitation" : "(Jackson et al. 2009, Semmens et al. 2009, Parnell et al. 2010, Hopkins and Ferguson 2012, Fernandes et al. 2014, Stock and Semmens 2016a)", "plainTextFormattedCitation" : "(Jackson et al. 2009, Semmens et al. 2009, Parnell et al. 2010, Hopkins and Ferguson 2012, Fernandes et al. 2014, Stock and Semmens 2016a)", "previouslyFormattedCitation" : "(Jackson et al. 2009, Semmens et al. 2009, Parnell et al. 2010, Hopkins and Ferguson 2012, Fernandes et al. 2014, Stock and Semmens 2016a)"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 xml:space="preserve">(Jackson et al. 2009, Semmens et al. 2009, Parnell et al. 2010, Hopkins and Ferguson 2012, </w:t>
      </w:r>
      <w:r w:rsidRPr="00260A57">
        <w:rPr>
          <w:rFonts w:ascii="Times New Roman" w:hAnsi="Times New Roman" w:cs="Times New Roman"/>
          <w:noProof/>
        </w:rPr>
        <w:lastRenderedPageBreak/>
        <w:t>Fernandes et al. 2014, Stock and Semmens 2016a)</w:t>
      </w:r>
      <w:r w:rsidRPr="00260A57">
        <w:rPr>
          <w:rFonts w:ascii="Times New Roman" w:hAnsi="Times New Roman" w:cs="Times New Roman"/>
        </w:rPr>
        <w:fldChar w:fldCharType="end"/>
      </w:r>
      <w:r w:rsidRPr="00260A57">
        <w:rPr>
          <w:rFonts w:ascii="Times New Roman" w:hAnsi="Times New Roman" w:cs="Times New Roman"/>
        </w:rPr>
        <w:t xml:space="preserve">, which produce as output a posterior distribution of possible solutions to a mixing model. Posterior distributions can then be used to estimate 95% credible intervals for the proportional contribution of prey types to consumer diets – which are often very large and thus disregarded in interpretations of dietary contributions, with many researchers relying simply on point estimates such as mean, median, and mode </w:t>
      </w:r>
      <w:r w:rsidRPr="00260A57">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"10.1890/ES13-00297.1", "ISBN" : "2150-8925", "ISSN" : "2150-8925", "abstract" : "Understanding how top predators respond to natural and anthropogenically induced changes in their environment is a major conservation challenge especially in marine environments. We used a multidisciplinary approach to explore the mechanisms through which a typical central-place forager, the Magellanic penguin (Spheniscus magellanicus) from the Chubut province of Argentina, responds to variations in oceanic conditions and prey resources. We combined habitat and species distribution modeling with isotopic dietary reconstructions based on blood \u03b413C and \u03b415N values to quantify the role of bathymetry, sea-surface temperature and chlorophyll-a concentration, abundance of conspecifics, and extent of fisheries activities in explaining the foraging and feeding ecology of individuals breeding at different colonies. The at-sea distribution of penguins was tightly coupled with the spatial distribution of their staple prey species, anchovies (Engraulis anchoita), especially in areas over the continental shelf (&gt;200 ...", "author" : [ { "dropping-particle" : "", "family" : "Ram\u00edrez", "given" : "Francisco", "non-dropping-particle" : "", "parse-names" : false, "suffix" : "" }, { "dropping-particle" : "", "family" : "Af\u00e1n", "given" : "Isabel", "non-dropping-particle" : "", "parse-names" : false, "suffix" : "" }, { "dropping-particle" : "", "family" : "Hobson", "given" : "Keith a. Ka Keith a.", "non-dropping-particle" : "", "parse-names" : false, "suffix" : "" }, { "dropping-particle" : "", "family" : "Bertellotti", "given" : "Marcelo", "non-dropping-particle" : "", "parse-names" : false, "suffix" : "" }, { "dropping-particle" : "", "family" : "Blanco", "given" : "Guillermo", "non-dropping-particle" : "", "parse-names" : false, "suffix" : "" }, { "dropping-particle" : "", "family" : "Forero", "given" : "Manuela G. Mg", "non-dropping-particle" : "", "parse-names" : false, "suffix" : "" } ], "container-title" : "Ecosphere", "id" : "ITEM-1", "issue" : "4", "issued" : { "date-parts" : [ [ "2014" ] ] }, "page" : "1-21", "title" : "Natural and anthropogenic factors affecting the feeding ecology of a top marine predator, the Magellanic penguin", "type" : "article-journal", "volume" : "5" }, "uris" : [ "http://www.mendeley.com/documents/?uuid=b9320ead-43d0-4545-8d3a-8911ae82c4ac" ] }, { "id" : "ITEM-2", "itemData" : { "DOI" : "10.1371/journal.pone.0095320", "ISBN" : "0158-4197", "ISSN" : "19326203", "PMID" : "24743233", "abstract" : "Inter-individual diet variation within populations is likely to have important ecological and evolutionary implications. The diet-fitness relationships at the individual level and the emerging population processes are, however, poorly understood for most avian predators inhabiting complex terrestrial ecosystems. In this study, we use an isotopic approach to assess the trophic ecology of nestlings in a long-lived raptor, the Bonelli's eagle Aquila fasciata, and investigate whether nestling dietary breath and main prey consumption can affect the species' reproductive performance at two spatial scales: territories within populations and populations over a large geographic area. At the territory level, those breeding pairs whose nestlings consumed similar diets to the overall population (i.e. moderate consumption of preferred prey, but complemented by alternative prey categories) or those disproportionally consuming preferred prey were more likely to fledge two chicks. An increase in the diet diversity, however, related negatively with productivity. The age and replacements of breeding pair members had also an influence on productivity, with more fledglings associated to adult pairs with few replacements, as expected in long-lived species. At the population level, mean productivity was higher in those population-years with lower dietary breadth and higher diet similarity among territories, which was related to an overall higher consumption of preferred prey. Thus, we revealed a correspondence in diet-fitness relationships at two spatial scales: territories and populations. We suggest that stable isotope analyses may be a powerful tool to monitor the diet of terrestrial avian predators on large spatio-temporal scales, which could serve to detect potential changes in the availability of those prey on which predators depend for breeding. We encourage ecologists and evolutionary and conservation biologists concerned with the multi-scale fitness consequences of inter-individual variation in resource use to employ similar stable isotope-based approaches, which can be successfully applied to complex ecosystems such as the Mediterranean.", "author" : [ { "dropping-particle" : "", "family" : "Resano-Mayor", "given" : "Jaime", "non-dropping-particle" : "", "parse-names" : false, "suffix" : "" }, { "dropping-particle" : "", "family" : "Hern\u00e1ndez-Mat\u00edas", "given" : "Antonio", "non-dropping-particle" : "", "parse-names" : false, "suffix" : "" }, { "dropping-particle" : "", "family" : "Real", "given" : "Joan", "non-dropping-particle" : "", "parse-names" : false, "suffix" : "" }, { "dropping-particle" : "", "family" : "Mole\u00f3n", "given" : "Marcos", "non-dropping-particle" : "", "parse-names" : false, "suffix" : "" }, { "dropping-particle" : "", "family" : "Par\u00e9s", "given" : "Francesc", "non-dropping-particle" : "", "parse-names" : false, "suffix" : "" }, { "dropping-particle" : "", "family" : "Inger", "given" : "Richard", "non-dropping-particle" : "", "parse-names" : false, "suffix" : "" }, { "dropping-particle" : "", "family" : "Bearhop", "given" : "Stuart", "non-dropping-particle" : "", "parse-names" : false, "suffix" : "" } ], "container-title" : "PLoS ONE", "id" : "ITEM-2", "issue" : "4", "issued" : { "date-parts" : [ [ "2014" ] ] }, "page" : "e95320", "title" : "Multi-scale effects of nestling diet on breeding performance in a terrestrial top predator inferred from stable isotope analysis", "type" : "article-journal", "volume" : "9" }, "uris" : [ "http://www.mendeley.com/documents/?uuid=2998fc91-802f-4d54-a4f8-76aa0692dfc8" ] } ], "mendeley" : { "formattedCitation" : "(Ram\u00edrez et al. 2014, Resano-Mayor et al. 2014)", "plainTextFormattedCitation" : "(Ram\u00edrez et al. 2014, Resano-Mayor et al. 2014)", "previouslyFormattedCitation" : "(Ram\u00edrez et al. 2014, Resano-Mayor et al. 2014)"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(Ramírez et al. 2014, Resano-Mayor et al. 2014)</w:t>
      </w:r>
      <w:r w:rsidRPr="00260A57">
        <w:rPr>
          <w:rFonts w:ascii="Times New Roman" w:hAnsi="Times New Roman" w:cs="Times New Roman"/>
        </w:rPr>
        <w:fldChar w:fldCharType="end"/>
      </w:r>
      <w:r w:rsidRPr="00260A57">
        <w:rPr>
          <w:rFonts w:ascii="Times New Roman" w:hAnsi="Times New Roman" w:cs="Times New Roman"/>
        </w:rPr>
        <w:t xml:space="preserve">.  But uncertainly around point estimates of dietary contributions are key to ecologically meaningful </w:t>
      </w:r>
      <w:r>
        <w:rPr>
          <w:rFonts w:ascii="Times New Roman" w:hAnsi="Times New Roman" w:cs="Times New Roman"/>
        </w:rPr>
        <w:t xml:space="preserve">interpretations, not to mention </w:t>
      </w:r>
      <w:r w:rsidRPr="00260A57">
        <w:rPr>
          <w:rFonts w:ascii="Times New Roman" w:hAnsi="Times New Roman" w:cs="Times New Roman"/>
        </w:rPr>
        <w:t xml:space="preserve">conservation and management efforts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"DOI" : "10.1890/09-2409.1", "ISBN" : "1051-0761", "ISSN" : "10510761", "PMID" : "21774408", "abstract" : "Stable isotopes are now used widely in ecological studies, including diet reconstruction, where quantitative inferences about diet composition are derived from the use of mixing models. Recent Bayesian models (MixSIR, SIAR) allow users to incorporate variability in discrimination factors (delta13C or delta15N), or the amount of change in either delta13C or delta15N between prey and consumer, but to date there has been no systematic assessment of the effect of variation in delta13C or delta15N on model outputs. We used whole blood from Common Terns (Sterna hirundo) and muscle from their common prey items (fish and euphausiids) to build a series of mixing models in SIAR (stable isotope analysis in R) using various discrimination factors from the published literature for marine birds. The estimated proportion of each diet component was affected significantly by delta13C or delta15N. We also use recently published stable-isotope data on the reliance of critically endangered Balearic Shearwaters (Puffinus mauretanicus) on fisheries discards to show that discrimination factor choice can have profound implications for conservation and management actions. It is therefore crucial for researchers wishing to use mixing models to have an accurate estimate of delta13C and delta15N, because quantitative diet estimates can help to direct future research or prioritize conservation and management actions.", "author" : [ { "dropping-particle" : "", "family" : "Bond", "given" : "Alexander L.", "non-dropping-particle" : "", "parse-names" : false, "suffix" : "" }, { "dropping-particle" : "", "family" : "Diamond", "given" : "Antony W.", "non-dropping-particle" : "", "parse-names" : false, "suffix" : "" } ], "container-title" : "Ecological Applications", "id" : "ITEM-1", "issue" : "4", "issued" : { "date-parts" : [ [ "2011" ] ] }, "page" : "1017-1023", "title" : "Recent Bayesian stable-isotope mixing models are highly sensitive to variation in discrimination factors", "type" : "article-journal", "volume" : "21" }, "uris" : [ "http://www.mendeley.com/documents/?uuid=6bd80b78-3381-4e09-8043-692668be6875" ] } ], "mendeley" : { "formattedCitation" : "(Bond and Diamond 2011)", "plainTextFormattedCitation" : "(Bond and Diamond 2011)", "previouslyFormattedCitation" : "(Bond and Diamond 2011)"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(Bond and Diamond 2011)</w:t>
      </w:r>
      <w:r w:rsidRPr="00260A57">
        <w:rPr>
          <w:rFonts w:ascii="Times New Roman" w:hAnsi="Times New Roman" w:cs="Times New Roman"/>
        </w:rPr>
        <w:fldChar w:fldCharType="end"/>
      </w:r>
      <w:r w:rsidRPr="00260A57">
        <w:rPr>
          <w:rFonts w:ascii="Times New Roman" w:hAnsi="Times New Roman" w:cs="Times New Roman"/>
        </w:rPr>
        <w:t>, and is thus a primary benefit of using Bay</w:t>
      </w:r>
      <w:r>
        <w:rPr>
          <w:rFonts w:ascii="Times New Roman" w:hAnsi="Times New Roman" w:cs="Times New Roman"/>
        </w:rPr>
        <w:t xml:space="preserve">esian estimation methods; that is, </w:t>
      </w:r>
      <w:r w:rsidRPr="00260A57">
        <w:rPr>
          <w:rFonts w:ascii="Times New Roman" w:hAnsi="Times New Roman" w:cs="Times New Roman"/>
        </w:rPr>
        <w:t>one can incorporate prior information to inform posterior distributions (</w:t>
      </w:r>
      <w:r>
        <w:rPr>
          <w:rFonts w:ascii="Times New Roman" w:hAnsi="Times New Roman" w:cs="Times New Roman"/>
        </w:rPr>
        <w:t xml:space="preserve">but </w:t>
      </w:r>
      <w:r w:rsidRPr="00260A57">
        <w:rPr>
          <w:rFonts w:ascii="Times New Roman" w:hAnsi="Times New Roman" w:cs="Times New Roman"/>
        </w:rPr>
        <w:t xml:space="preserve">more on this below). </w:t>
      </w:r>
    </w:p>
    <w:p w14:paraId="18B9C1A7" w14:textId="77777777" w:rsidR="00D97851" w:rsidRPr="00260A57" w:rsidRDefault="00D97851" w:rsidP="00D97851">
      <w:pPr>
        <w:spacing w:after="160" w:line="360" w:lineRule="auto"/>
        <w:ind w:firstLine="720"/>
        <w:rPr>
          <w:rFonts w:ascii="Times New Roman" w:hAnsi="Times New Roman" w:cs="Times New Roman"/>
        </w:rPr>
      </w:pPr>
      <w:r w:rsidRPr="00260A57">
        <w:rPr>
          <w:rFonts w:ascii="Times New Roman" w:hAnsi="Times New Roman" w:cs="Times New Roman"/>
        </w:rPr>
        <w:t xml:space="preserve">To use stable isotope mixing models, the following data are required: </w:t>
      </w:r>
      <w:r>
        <w:rPr>
          <w:rFonts w:ascii="Times New Roman" w:hAnsi="Times New Roman" w:cs="Times New Roman"/>
        </w:rPr>
        <w:t>(</w:t>
      </w:r>
      <w:r w:rsidRPr="00260A57">
        <w:rPr>
          <w:rFonts w:ascii="Times New Roman" w:hAnsi="Times New Roman" w:cs="Times New Roman"/>
        </w:rPr>
        <w:t xml:space="preserve">1) isotopic signatures of consumers, </w:t>
      </w:r>
      <w:r>
        <w:rPr>
          <w:rFonts w:ascii="Times New Roman" w:hAnsi="Times New Roman" w:cs="Times New Roman"/>
        </w:rPr>
        <w:t>(</w:t>
      </w:r>
      <w:r w:rsidRPr="00260A57">
        <w:rPr>
          <w:rFonts w:ascii="Times New Roman" w:hAnsi="Times New Roman" w:cs="Times New Roman"/>
        </w:rPr>
        <w:t xml:space="preserve">2) isotopic signatures of sources, </w:t>
      </w:r>
      <w:r>
        <w:rPr>
          <w:rFonts w:ascii="Times New Roman" w:hAnsi="Times New Roman" w:cs="Times New Roman"/>
        </w:rPr>
        <w:t>(</w:t>
      </w:r>
      <w:r w:rsidRPr="00260A57">
        <w:rPr>
          <w:rFonts w:ascii="Times New Roman" w:hAnsi="Times New Roman" w:cs="Times New Roman"/>
        </w:rPr>
        <w:t xml:space="preserve">3) values for trophic discrimination factors (hereafter TDFs), and </w:t>
      </w:r>
      <w:r>
        <w:rPr>
          <w:rFonts w:ascii="Times New Roman" w:hAnsi="Times New Roman" w:cs="Times New Roman"/>
        </w:rPr>
        <w:t>(</w:t>
      </w:r>
      <w:r w:rsidRPr="00260A57">
        <w:rPr>
          <w:rFonts w:ascii="Times New Roman" w:hAnsi="Times New Roman" w:cs="Times New Roman"/>
        </w:rPr>
        <w:t xml:space="preserve">4) optional external </w:t>
      </w:r>
      <w:r>
        <w:rPr>
          <w:rFonts w:ascii="Times New Roman" w:hAnsi="Times New Roman" w:cs="Times New Roman"/>
        </w:rPr>
        <w:t xml:space="preserve">or </w:t>
      </w:r>
      <w:r w:rsidRPr="00260A57">
        <w:rPr>
          <w:rFonts w:ascii="Times New Roman" w:hAnsi="Times New Roman" w:cs="Times New Roman"/>
        </w:rPr>
        <w:t>prior information (e.g.</w:t>
      </w:r>
      <w:r>
        <w:rPr>
          <w:rFonts w:ascii="Times New Roman" w:hAnsi="Times New Roman" w:cs="Times New Roman"/>
        </w:rPr>
        <w:t>,</w:t>
      </w:r>
      <w:r w:rsidRPr="00260A57">
        <w:rPr>
          <w:rFonts w:ascii="Times New Roman" w:hAnsi="Times New Roman" w:cs="Times New Roman"/>
        </w:rPr>
        <w:t xml:space="preserve"> gut contents or observations). TDFs refer to the differences between stable isotope values found in consumer</w:t>
      </w:r>
      <w:r>
        <w:rPr>
          <w:rFonts w:ascii="Times New Roman" w:hAnsi="Times New Roman" w:cs="Times New Roman"/>
        </w:rPr>
        <w:t>s</w:t>
      </w:r>
      <w:r w:rsidRPr="00260A57">
        <w:rPr>
          <w:rFonts w:ascii="Times New Roman" w:hAnsi="Times New Roman" w:cs="Times New Roman"/>
        </w:rPr>
        <w:t xml:space="preserve"> and sources. TDF values should be experimentally determined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"ISBN" : "1469-185X", "author" : [ { "dropping-particle" : "", "family" : "Mart\u00ednez del Rio", "given" : "Carlos", "non-dropping-particle" : "", "parse-names" : false, "suffix" : "" }, { "dropping-particle" : "", "family" : "Wolf", "given" : "Nathan", "non-dropping-particle" : "", "parse-names" : false, "suffix" : "" }, { "dropping-particle" : "", "family" : "Carleton", "given" : "Scott A", "non-dropping-particle" : "", "parse-names" : false, "suffix" : "" }, { "dropping-particle" : "", "family" : "Gannes", "given" : "Leonard Z", "non-dropping-particle" : "", "parse-names" : false, "suffix" : "" } ], "container-title" : "Biological Reviews", "id" : "ITEM-1", "issue" : "1", "issued" : { "date-parts" : [ [ "2009" ] ] }, "page" : "91-111", "title" : "Isotopic ecology ten years after a call for more laboratory experiments", "type" : "article-journal", "volume" : "84" }, "uris" : [ "http://www.mendeley.com/documents/?uuid=c9571081-906a-4646-b130-d3930d24af3b" ] } ], "mendeley" : { "formattedCitation" : "(Mart\u00ednez del Rio et al. 2009)", "plainTextFormattedCitation" : "(Mart\u00ednez del Rio et al. 2009)", "previouslyFormattedCitation" : "(Mart\u00ednez del Rio et al. 2009)"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(Martínez del Rio et al. 2009)</w:t>
      </w:r>
      <w:r w:rsidRPr="00260A57">
        <w:rPr>
          <w:rFonts w:ascii="Times New Roman" w:hAnsi="Times New Roman" w:cs="Times New Roman"/>
        </w:rPr>
        <w:fldChar w:fldCharType="end"/>
      </w:r>
      <w:r w:rsidRPr="00260A57">
        <w:rPr>
          <w:rFonts w:ascii="Times New Roman" w:hAnsi="Times New Roman" w:cs="Times New Roman"/>
        </w:rPr>
        <w:t xml:space="preserve">, but almost always come from literature values (e.g.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"DOI" : "Doi 10.2307/3071875", "ISBN" : "0012-9658", "ISSN" : "0012-9658", "PMID" : "2272947", "abstract" : "Department of Ecology and Evolutionary Biology, Corson Hall, Cornell University, Ithaca, New York 14853 USA. Institute for Ecosystem Studies, Box AB, Millbrook, New York 12545 USA The stable isotopes of nitrogen (\u03b415N) and carbon (\u03b413C)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\u03b415N and \u03b413C of the base of aquatic food webs varies both among lakes and between the littoral and pelagic food webs within lakes. Using data from the literature, I show that the mean trophic fractionation of \u03b415N is 3.4\u2030 (1 sd = 1\u2030) and of \u03b413C is 0.4\u2030 (1 sd = 1.3\u2030), and that both, even though variable, are widely applicable. A sensitivity analysis reveals that estimates of trophic position are very sensitive to assumptions about the trophic fractionation of \u03b415N, moderately sensitive to different methods for generating an isotopic baseline, and not sensitive to assumptions about the trophic fractionation of \u03b413C when \u03b413C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 Keywords: \u03b413C, \u03b415N, isotopic baseline, lake food webs, long-lived consumers, stable isotopes, trophic fractionation, trophic position", "author" : [ { "dropping-particle" : "", "family" : "Post", "given" : "David M.", "non-dropping-particle" : "", "parse-names" : false, "suffix" : "" } ], "container-title" : "Ecology", "id" : "ITEM-1", "issue" : "3", "issued" : { "date-parts" : [ [ "2002" ] ] }, "page" : "703-718", "title" : "Using stable isotopes to estimate trophic position: models, methods, and assumptions", "type" : "article-journal", "volume" : "83" }, "uris" : [ "http://www.mendeley.com/documents/?uuid=bc602552-2642-4a0e-ac3f-d53f33f86f3f" ] } ], "mendeley" : { "formattedCitation" : "(Post 2002)", "manualFormatting" : "Post 2002)", "plainTextFormattedCitation" : "(Post 2002)", "previouslyFormattedCitation" : "(Post 2002)"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Post 2002)</w:t>
      </w:r>
      <w:r w:rsidRPr="00260A57">
        <w:rPr>
          <w:rFonts w:ascii="Times New Roman" w:hAnsi="Times New Roman" w:cs="Times New Roman"/>
        </w:rPr>
        <w:fldChar w:fldCharType="end"/>
      </w:r>
      <w:r w:rsidRPr="00260A57">
        <w:rPr>
          <w:rFonts w:ascii="Times New Roman" w:hAnsi="Times New Roman" w:cs="Times New Roman"/>
        </w:rPr>
        <w:t xml:space="preserve">. This is arguably one of the most important weaknesses in stable isotope mixing models because TDFs vary among species, regions, and diet quality, among other factors </w:t>
      </w:r>
      <w:r w:rsidRPr="00260A57">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"10.1046/j.1365-2435.1999.00301.x", "ISBN" : "1365-2435", "ISSN" : "02698463", "abstract" : "1. Stable isotopes of nitrogen and carbon are widely used in the evaluation and understanding of trophic interactions, and especially so in aquatic food-webs. However, differences among tissues which occur in consumers such as fish may confound resolution of these ecological relationships, and greatly affect dietary compositions calculated through mass-balance equations. 2.\u03b413C and \u03b415N were determined for homogenized whole fry (\u2248 2\u00b77 g) and particular tissues (white muscle, red muscle, liver and heart) of juveniles (\u2248 20\u00b76 g) of Rainbow Trout Oncorhynchus mykiss. 3. Differences in \u03b413C and \u03b415N were observed among tissues; removal of lipid resulted in these tissues becoming statistically indistinguishable but more variable in \u03b413C, particularly in tissues with higher lipid content. Differences in \u03b415N among tissues may be related to the relative composition of \u2018essential\u2019 and \u2018non-essential\u2019 amino acids. 5. Acidification, which is used to reduce variability caused by the presence of inorganic carbonate, had a significant effect on \u03b415N, while having a non-significant effect on the \u03b413C. This was the case for whole ground fish-fry, which contained 22\u00b76% inorganic carbonates in the form of bones and scales, and for individual fish tissues which contained only very small amounts of inorganic carbonate. 6. White muscle was found to be less variable in \u03b413C and \u03b415N than all other tissues, and is probably the best tissue for use in ecological work. Red muscle, which is often closely associated with white muscle, is more variable in \u03b413C and may constitute a source of significant error in source material identification and dietary overlap.", "author" : [ { "dropping-particle" : "", "family" : "Pinnegar", "given" : "J. K.", "non-dropping-particle" : "", "parse-names" : false, "suffix" : "" }, { "dropping-particle" : "", "family" : "Polunin", "given" : "N. V C", "non-dropping-particle" : "", "parse-names" : false, "suffix" : "" } ], "container-title" : "Functional Ecology", "id" : "ITEM-1", "issue" : "2", "issued" : { "date-parts" : [ [ "1999" ] ] }, "page" : "225-231", "title" : "Differential fractionation of \u03b413C and \u03b415N among fish tissues: Implications for the study of trophic interactions", "type" : "article-journal", "volume" : "13" }, "uris" : [ "http://www.mendeley.com/documents/?uuid=6da5ff3e-6453-404f-8eec-9877838aaaa3" ] }, { "id" : "ITEM-2", "itemData" : { "DOI" : "10.1016/j.jembe.2006.07.023", "ISBN" : "0022-0981", "ISSN" : "00220981", "abstract" : "Nitrogen stable isotope natural abundance data are often used in trophodynamic research. The assumed nitrogen diet-tissue fractionation (????15N) determines conclusions about trophic level, potential food sources and ontogenetic diet shifts. ????15N is usually assumed to be 3.0-3.4??? per trophic level and unaffected by the size or age of animals or their environment. To assess the effects of body size, experimental duration and environmental conditions on fish tissue ????15N, two populations of European sea bass (Dicentrarchus labrax) were reared on constant diets of dab (Limanda limanda) muscle or sandeel (Ammodytes marinus) for 2??years under natural light and temperature regimes. Bass were sampled at approximately monthly intervals to determine ????15N for muscle, heart and liver tissue. Mean values of ????15N were 3.83???, 3.54???, 2.05??? (sandeel diet) and 3.98???, 3.32???, 1.95??? (dab diet) for muscle, heart and liver tissue respectively. The assumption that fractionation was independent of body mass was upheld for muscle and heart tissue, but not for liver. Time effects on muscle ????15N were explainable by a sinusoidal function with a period of 1??year and wave height ??? 0.3???. Time resulted in increases in heart ??15N and decreases in liver ??15N which were small compared to background variation, equating to 1/6 of a trophic level over 2??years, and unlikely to have great significance in ecological studies. Heart and liver ??15N were also affected by temperature probably reflecting the metabolic functions of these tissues and their associated rates of turnover. However in heart the explanatory power of temperature appeared tied to that of time. Although the ????15N for bass muscle on both diets approached 4???, the ????15N values from this study, when combined with those from the literature, suggest that where fish species specific data are not available, a mean ????15N for fish muscle of 3.2??? should be applied (mean white muscle ????15N = 3.15). The literature based mean ????15N for whole fish was lower than that of white muscle suggesting that a separate ????15N (2.9???) should be applied when sampling whole fish. ?? 2006 Elsevier B.V. All rights reserved.", "author" : [ { "dropping-particle" : "", "family" : "Sweeting", "given" : "C. J.", "non-dropping-particle" : "", "parse-names" : false, "suffix" : "" }, { "dropping-particle" : "", "family" : "Barry", "given" : "J.", "non-dropping-particle" : "", "parse-names" : false, "suffix" : "" }, { "dropping-particle" : "", "family" : "Barnes", "given" : "C.", "non-dropping-particle" : "", "parse-names" : false, "suffix" : "" }, { "dropping-particle" : "", "family" : "Polunin", "given" : "N. V C", "non-dropping-particle" : "", "parse-names" : false, "suffix" : "" }, { "dropping-particle" : "", "family" : "Jennings", "given" : "S.", "non-dropping-particle" : "", "parse-names" : false, "suffix" : "" } ], "container-title" : "Journal of Experimental Marine Biology and Ecology", "id" : "ITEM-2", "issue" : "1", "issued" : { "date-parts" : [ [ "2007" ] ] }, "page" : "1-10", "title" : "Effects of body size and environment on diet-tissue ??15N fractionation in fishes", "type" : "article-journal", "volume" : "340" }, "uris" : [ "http://www.mendeley.com/documents/?uuid=0c4a9e10-4fa4-4183-a152-24540790ed44" ] }, { "id" : "ITEM-3", "itemData" : { "DOI" : "10.1002/rcm.7922", "author" : [ { "dropping-particle" : "", "family" : "Colborne", "given" : "S F", "non-dropping-particle" : "", "parse-names" : false, "suffix" : "" }, { "dropping-particle" : "", "family" : "Fisk", "given" : "A T", "non-dropping-particle" : "", "parse-names" : false, "suffix" : "" }, { "dropping-particle" : "", "family" : "Johnson", "given" : "T B", "non-dropping-particle" : "", "parse-names" : false, "suffix" : "" } ], "container-title" : "Rapid Communications in Mass Spectrometry", "id" : "ITEM-3", "issue" : "17", "issued" : { "date-parts" : [ [ "2017" ] ] }, "page" : "1405-1414", "title" : "Tissue-specific turnover and diet-tissue discrimination factors of carbon and nitrogen isotopes of a common forage fish held at two temperatures", "type" : "article-journal", "volume" : "31" }, "uris" : [ "http://www.mendeley.com/documents/?uuid=991b9f6c-b919-4f52-9d3b-95a727db6357" ] } ], "mendeley" : { "formattedCitation" : "(Pinnegar and Polunin 1999, Sweeting et al. 2007, Colborne et al. 2017)", "plainTextFormattedCitation" : "(Pinnegar and Polunin 1999, Sweeting et al. 2007, Colborne et al. 2017)", "previouslyFormattedCitation" : "(Pinnegar and Polunin 1999, Sweeting et al. 2007, Colborne et al. 2017)"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(Pinnegar and Polunin 1999, Sweeting et al. 2007, Colborne et al. 2017)</w:t>
      </w:r>
      <w:r w:rsidRPr="00260A57">
        <w:rPr>
          <w:rFonts w:ascii="Times New Roman" w:hAnsi="Times New Roman" w:cs="Times New Roman"/>
        </w:rPr>
        <w:fldChar w:fldCharType="end"/>
      </w:r>
      <w:r>
        <w:rPr>
          <w:rFonts w:ascii="Times New Roman" w:hAnsi="Times New Roman" w:cs="Times New Roman"/>
        </w:rPr>
        <w:t xml:space="preserve">. </w:t>
      </w:r>
      <w:r w:rsidRPr="00260A57">
        <w:rPr>
          <w:rFonts w:ascii="Times New Roman" w:hAnsi="Times New Roman" w:cs="Times New Roman"/>
        </w:rPr>
        <w:t xml:space="preserve">Accordingly, the use of even slightly different TDFs can significantly alter mixing model results and lead to fallacious interpretations of diet. </w:t>
      </w:r>
      <w:r>
        <w:rPr>
          <w:rFonts w:ascii="Times New Roman" w:hAnsi="Times New Roman" w:cs="Times New Roman"/>
        </w:rPr>
        <w:t>But</w:t>
      </w:r>
      <w:r w:rsidRPr="00260A57">
        <w:rPr>
          <w:rFonts w:ascii="Times New Roman" w:hAnsi="Times New Roman" w:cs="Times New Roman"/>
        </w:rPr>
        <w:t xml:space="preserve"> o</w:t>
      </w:r>
      <w:r>
        <w:rPr>
          <w:rFonts w:ascii="Times New Roman" w:hAnsi="Times New Roman" w:cs="Times New Roman"/>
        </w:rPr>
        <w:t>nce TDF</w:t>
      </w:r>
      <w:r w:rsidRPr="00260A57">
        <w:rPr>
          <w:rFonts w:ascii="Times New Roman" w:hAnsi="Times New Roman" w:cs="Times New Roman"/>
        </w:rPr>
        <w:t>s are chosen, they are used to correct consumer isotopic signatures, which are then plotted in dual isotopic niche space to determine whether consumers are within the source mixing space. As mentioned above, consumers must fall within this mixing space, else no solution can be achieved (</w:t>
      </w:r>
      <w:r>
        <w:rPr>
          <w:rFonts w:ascii="Times New Roman" w:hAnsi="Times New Roman" w:cs="Times New Roman"/>
        </w:rPr>
        <w:t xml:space="preserve">e.g., Fig. </w:t>
      </w:r>
      <w:r w:rsidRPr="00260A57">
        <w:rPr>
          <w:rFonts w:ascii="Times New Roman" w:hAnsi="Times New Roman" w:cs="Times New Roman"/>
        </w:rPr>
        <w:t xml:space="preserve">2). Assuming one has reasonable TDF values and confirmed that the consumer falls within the mixing space of prey, a Bayesian mixing model can be </w:t>
      </w:r>
      <w:r>
        <w:rPr>
          <w:rFonts w:ascii="Times New Roman" w:hAnsi="Times New Roman" w:cs="Times New Roman"/>
        </w:rPr>
        <w:t xml:space="preserve">implemented </w:t>
      </w:r>
      <w:r w:rsidRPr="00260A57">
        <w:rPr>
          <w:rFonts w:ascii="Times New Roman" w:hAnsi="Times New Roman" w:cs="Times New Roman"/>
        </w:rPr>
        <w:t xml:space="preserve">given these additional assumptions are met: </w:t>
      </w:r>
      <w:r>
        <w:rPr>
          <w:rFonts w:ascii="Times New Roman" w:hAnsi="Times New Roman" w:cs="Times New Roman"/>
        </w:rPr>
        <w:t>(</w:t>
      </w:r>
      <w:r w:rsidRPr="00260A57">
        <w:rPr>
          <w:rFonts w:ascii="Times New Roman" w:hAnsi="Times New Roman" w:cs="Times New Roman"/>
        </w:rPr>
        <w:t xml:space="preserve">1) all consumers have the same diet, </w:t>
      </w:r>
      <w:r>
        <w:rPr>
          <w:rFonts w:ascii="Times New Roman" w:hAnsi="Times New Roman" w:cs="Times New Roman"/>
        </w:rPr>
        <w:t>(</w:t>
      </w:r>
      <w:r w:rsidRPr="00260A57">
        <w:rPr>
          <w:rFonts w:ascii="Times New Roman" w:hAnsi="Times New Roman" w:cs="Times New Roman"/>
        </w:rPr>
        <w:t xml:space="preserve">2) all sources are equally available (in terms of biomass), </w:t>
      </w:r>
      <w:r>
        <w:rPr>
          <w:rFonts w:ascii="Times New Roman" w:hAnsi="Times New Roman" w:cs="Times New Roman"/>
        </w:rPr>
        <w:t>(</w:t>
      </w:r>
      <w:r w:rsidRPr="00260A57">
        <w:rPr>
          <w:rFonts w:ascii="Times New Roman" w:hAnsi="Times New Roman" w:cs="Times New Roman"/>
        </w:rPr>
        <w:t xml:space="preserve">3) no prey are missing from the analysis, and </w:t>
      </w:r>
      <w:r>
        <w:rPr>
          <w:rFonts w:ascii="Times New Roman" w:hAnsi="Times New Roman" w:cs="Times New Roman"/>
        </w:rPr>
        <w:t>(</w:t>
      </w:r>
      <w:r w:rsidRPr="00260A57">
        <w:rPr>
          <w:rFonts w:ascii="Times New Roman" w:hAnsi="Times New Roman" w:cs="Times New Roman"/>
        </w:rPr>
        <w:t>4) the source parameters are exactly known (i.e.</w:t>
      </w:r>
      <w:r>
        <w:rPr>
          <w:rFonts w:ascii="Times New Roman" w:hAnsi="Times New Roman" w:cs="Times New Roman"/>
        </w:rPr>
        <w:t>,</w:t>
      </w:r>
      <w:r w:rsidRPr="00260A57">
        <w:rPr>
          <w:rFonts w:ascii="Times New Roman" w:hAnsi="Times New Roman" w:cs="Times New Roman"/>
        </w:rPr>
        <w:t xml:space="preserve"> one has a large sample size, generally &gt; 10</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"10.1111/2041-210X.12869", "ISBN" : "4955139574", "ISSN" : "2041210X", "PMID" : "28199780", "abstract" : "Introduction: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\u226560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 "author" : [ { "dropping-particle" : "", "family" : "Nielsen", "given" : "Jens Munk", "non-dropping-particle" : "", "parse-names" : false, "suffix" : "" }, { "dropping-particle" : "", "family" : "Clare", "given" : "Elizabeth L.", "non-dropping-particle" : "", "parse-names" : false, "suffix" : "" }, { "dropping-particle" : "", "family" : "Hayden", "given" : "Brian", "non-dropping-particle" : "", "parse-names" : false, "suffix" : "" }, { "dropping-particle" : "", "family" : "Brett", "given" : "Michael T.", "non-dropping-particle" : "", "parse-names" : false, "suffix" : "" }, { "dropping-particle" : "", "family" : "Kratina", "given" : "Pavel", "non-dropping-particle" : "", "parse-names" : false, "suffix" : "" } ], "container-title" : "Methods in Ecology and Evolution", "id" : "ITEM-1", "issue" : "October", "issued" : { "date-parts" : [ [ "2017" ] ] }, "page" : "0-3", "title" : "Diet tracing in ecology: method comparison and selection", "type" : "article-journal" }, "uris" : [ "http://www.mendeley.com/documents/?uuid=daa03413-53eb-490a-95e2-405312c22dbb" ] }, { "id" : "ITEM-2", "itemData" : { "ISBN" : "1543-592X", "author" : [ { "dropping-particle" : "", "family" : "Boecklen", "given" : "William J", "non-dropping-particle" : "", "parse-names" : false, "suffix" : "" }, { "dropping-particle" : "", "family" : "Yarnes", "given" : "Christopher T", "non-dropping-particle" : "", "parse-names" : false, "suffix" : "" }, { "dropping-particle" : "", "family" : "Cook", "given" : "Bethany A", "non-dropping-particle" : "", "parse-names" : false, "suffix" : "" }, { "dropping-particle" : "", "family" : "James", "given" : "Avis C", "non-dropping-particle" : "", "parse-names" : false, "suffix" : "" } ], "container-title" : "Annual Review of Ecology, Evolution, and Systematics", "id" : "ITEM-2", "issued" : { "date-parts" : [ [ "2011" ] ] }, "note" : "Lipids:\n\n- no consunsus on use or efficacy of extraction despite several reviews\n\n- just looked at mete-analysis of extraction effects\n\n-", "page" : "411-440", "title" : "On the use of stable isotopes in trophic ecology", "type" : "article-journal", "volume" : "42" }, "uris" : [ "http://www.mendeley.com/documents/?uuid=578f7bb5-8e61-49fc-a1d9-232c3caff7f6" ] }, { "id" : "ITEM-3", "itemData" : { "DOI" : "10.1890/0012-9658(1997)078[1271:SIIAEA]2.0.CO;2", "ISBN" : "0012-9658", "ISSN" : "00129658", "PMID" : "15", "abstract" : "For decades, plant ecologists have used naturally occurring stable isotope ratios to disentangle ecological and physiological processes. The methodology can also become a very powerful tool in animal ecology. However, the application of the technique relies on assumptions that are not widely recognized and that have been rarely tested. The purpose of this communication is to identify these assumptions, to characterize the con-ditions in which they are not met, and to suggest the laboratory experiments that are needed to validate them. The ease with which isotopic data can be gathered and the growing popularity of the method are generating a large amount of data on the isotopic ecology of animals. The proper interpretation of these data demands that we identify the assumptions on which these inferences are based, and that we conduct comparative laboratory experi-ments to assess their validity.", "author" : [ { "dropping-particle" : "", "family" : "Gannes", "given" : "Leonard Z.", "non-dropping-particle" : "", "parse-names" : false, "suffix" : "" }, { "dropping-particle" : "", "family" : "O'Brien", "given" : "Diane M.", "non-dropping-particle" : "", "parse-names" : false, "suffix" : "" }, { "dropping-particle" : "", "family" : "Rio", "given" : "Carlos Mart\u00ednez", "non-dropping-particle" : "Del", "parse-names" : false, "suffix" : "" } ], "container-title" : "Ecology", "id" : "ITEM-3", "issue" : "4", "issued" : { "date-parts" : [ [ "1997" ] ] }, "page" : "1271-1276", "title" : "Stable isotopes in animal ecology: Assumptions, caveats, and a call for more laboratory experiments", "type" : "article-journal", "volume" : "78" }, "uris" : [ "http://www.mendeley.com/documents/?uuid=79f08957-7bc4-4aee-ae64-e25049da6c2d" ] } ], "mendeley" : { "formattedCitation" : "(Gannes et al. 1997, Boecklen et al. 2011, Nielsen et al. 2017)", "manualFormatting" : "Gannes et al. 1997, Boecklen et al. 2011, Nielsen et al. 2017)", "plainTextFormattedCitation" : "(Gannes et al. 1997, Boecklen et al. 2011, Nielsen et al. 2017)", "previouslyFormattedCitation" : "(Gannes et al. 1997, Boecklen et al. 2011, Nielsen et al. 2017)" }, "properties" : {  }, "schema" : "https://github.com/citation-style-language/schema/raw/master/csl-citation.json" }</w:instrText>
      </w:r>
      <w:r>
        <w:rPr>
          <w:rFonts w:ascii="Times New Roman" w:hAnsi="Times New Roman" w:cs="Times New Roman"/>
        </w:rPr>
        <w:fldChar w:fldCharType="separate"/>
      </w:r>
      <w:r w:rsidRPr="008525F8">
        <w:rPr>
          <w:rFonts w:ascii="Times New Roman" w:hAnsi="Times New Roman" w:cs="Times New Roman"/>
          <w:noProof/>
        </w:rPr>
        <w:t>Gannes et al. 1997, Boecklen et al. 2011, Nielsen et al. 2017)</w:t>
      </w:r>
      <w:r>
        <w:rPr>
          <w:rFonts w:ascii="Times New Roman" w:hAnsi="Times New Roman" w:cs="Times New Roman"/>
        </w:rPr>
        <w:fldChar w:fldCharType="end"/>
      </w:r>
      <w:r w:rsidRPr="00260A57">
        <w:rPr>
          <w:rFonts w:ascii="Times New Roman" w:hAnsi="Times New Roman" w:cs="Times New Roman"/>
        </w:rPr>
        <w:t xml:space="preserve">.  </w:t>
      </w:r>
      <w:proofErr w:type="gramStart"/>
      <w:r w:rsidRPr="00260A57">
        <w:rPr>
          <w:rFonts w:ascii="Times New Roman" w:hAnsi="Times New Roman" w:cs="Times New Roman"/>
        </w:rPr>
        <w:t>In reality, most</w:t>
      </w:r>
      <w:proofErr w:type="gramEnd"/>
      <w:r w:rsidRPr="00260A57">
        <w:rPr>
          <w:rFonts w:ascii="Times New Roman" w:hAnsi="Times New Roman" w:cs="Times New Roman"/>
        </w:rPr>
        <w:t xml:space="preserve"> of these assumptions are not met, but mixing models are nonetheless used to make inference into the trophic ecology of </w:t>
      </w:r>
      <w:r>
        <w:rPr>
          <w:rFonts w:ascii="Times New Roman" w:hAnsi="Times New Roman" w:cs="Times New Roman"/>
        </w:rPr>
        <w:t>animals</w:t>
      </w:r>
      <w:r w:rsidRPr="00260A57">
        <w:rPr>
          <w:rFonts w:ascii="Times New Roman" w:hAnsi="Times New Roman" w:cs="Times New Roman"/>
        </w:rPr>
        <w:t xml:space="preserve">. </w:t>
      </w:r>
    </w:p>
    <w:p w14:paraId="2946E515" w14:textId="77777777" w:rsidR="00D97851" w:rsidRPr="00260A57" w:rsidRDefault="00D97851" w:rsidP="00D97851">
      <w:pPr>
        <w:spacing w:after="160" w:line="360" w:lineRule="auto"/>
        <w:ind w:firstLine="720"/>
        <w:rPr>
          <w:rFonts w:ascii="Times New Roman" w:hAnsi="Times New Roman" w:cs="Times New Roman"/>
        </w:rPr>
      </w:pPr>
      <w:r w:rsidRPr="00260A57">
        <w:rPr>
          <w:rFonts w:ascii="Times New Roman" w:hAnsi="Times New Roman" w:cs="Times New Roman"/>
        </w:rPr>
        <w:lastRenderedPageBreak/>
        <w:t xml:space="preserve">As alluded to above, perhaps the </w:t>
      </w:r>
      <w:proofErr w:type="gramStart"/>
      <w:r w:rsidRPr="00260A57">
        <w:rPr>
          <w:rFonts w:ascii="Times New Roman" w:hAnsi="Times New Roman" w:cs="Times New Roman"/>
        </w:rPr>
        <w:t>most commonly cited</w:t>
      </w:r>
      <w:proofErr w:type="gramEnd"/>
      <w:r w:rsidRPr="00260A57">
        <w:rPr>
          <w:rFonts w:ascii="Times New Roman" w:hAnsi="Times New Roman" w:cs="Times New Roman"/>
        </w:rPr>
        <w:t xml:space="preserve"> advantage of Bayesian mixing models is the ability to include informative priors, which improve both precision and accuracy of mixing model results.  For example,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"DOI" : "10.1111/j.1461-0248.2008.01163.x", "ISBN" : "1461-0248 (Electronic)\\n1461-023X (Linking)", "ISSN" : "1461023X", "PMID" : "18294213", "abstract" : "Stable isotopes are a powerful tool for ecologists, often used to assess contributions of different sources to a mixture (e.g. prey to a consumer). Mixing models use stable isotope data to estimate the contribution of sources to a mixture. Uncertainty associated with mixing models is often substantial, but has not yet been fully incorporated in models. We developed a Bayesian-mixing model that estimates probability distributions of source contributions to a mixture while explicitly accounting for uncertainty associated with multiple sources, fractionation and isotope signatures. This model also allows for optional incorporation of informative prior information in analyses. We demonstrate our model using a predator-prey case study. Accounting for uncertainty in mixing model inputs can change the variability, magnitude and rank order of estimates of prey (source) contributions to the predator (mixture). Isotope mixing models need to fully account for uncertainty in order to accurately estimate source contributions.", "author" : [ { "dropping-particle" : "", "family" : "Moore", "given" : "Jonathan W.", "non-dropping-particle" : "", "parse-names" : false, "suffix" : "" }, { "dropping-particle" : "", "family" : "Semmens", "given" : "Brice X.", "non-dropping-particle" : "", "parse-names" : false, "suffix" : "" } ], "container-title" : "Ecology Letters", "id" : "ITEM-1", "issue" : "5", "issued" : { "date-parts" : [ [ "2008" ] ] }, "page" : "470-480", "title" : "Incorporating uncertainty and prior information into stable isotope mixing models", "type" : "article-journal", "volume" : "11" }, "uris" : [ "http://www.mendeley.com/documents/?uuid=19820751-343a-4642-ba4f-7d7e6c7db875" ] } ], "mendeley" : { "formattedCitation" : "(Moore and Semmens 2008)", "manualFormatting" : "Moore and Semmens (2008)", "plainTextFormattedCitation" : "(Moore and Semmens 2008)", "previouslyFormattedCitation" : "(Moore and Semmens 2008)"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Moore and Semmens (2008)</w:t>
      </w:r>
      <w:r w:rsidRPr="00260A57">
        <w:rPr>
          <w:rFonts w:ascii="Times New Roman" w:hAnsi="Times New Roman" w:cs="Times New Roman"/>
        </w:rPr>
        <w:fldChar w:fldCharType="end"/>
      </w:r>
      <w:r w:rsidRPr="00260A57">
        <w:rPr>
          <w:rFonts w:ascii="Times New Roman" w:hAnsi="Times New Roman" w:cs="Times New Roman"/>
        </w:rPr>
        <w:t xml:space="preserve"> show how incorporating an informative prior of gut content analysis improved the precision of mixing model results estimating diet to marten on an Alaskan island (</w:t>
      </w:r>
      <w:r>
        <w:rPr>
          <w:rFonts w:ascii="Times New Roman" w:hAnsi="Times New Roman" w:cs="Times New Roman"/>
        </w:rPr>
        <w:t xml:space="preserve">Fig. </w:t>
      </w:r>
      <w:r w:rsidRPr="00260A57">
        <w:rPr>
          <w:rFonts w:ascii="Times New Roman" w:hAnsi="Times New Roman" w:cs="Times New Roman"/>
        </w:rPr>
        <w:t xml:space="preserve">3). But in many ecosystems, factors such as </w:t>
      </w:r>
      <w:proofErr w:type="gramStart"/>
      <w:r w:rsidRPr="00260A57">
        <w:rPr>
          <w:rFonts w:ascii="Times New Roman" w:hAnsi="Times New Roman" w:cs="Times New Roman"/>
        </w:rPr>
        <w:t>a large number of</w:t>
      </w:r>
      <w:proofErr w:type="gramEnd"/>
      <w:r w:rsidRPr="00260A57">
        <w:rPr>
          <w:rFonts w:ascii="Times New Roman" w:hAnsi="Times New Roman" w:cs="Times New Roman"/>
        </w:rPr>
        <w:t xml:space="preserve"> potential prey and variation </w:t>
      </w:r>
      <w:r>
        <w:rPr>
          <w:rFonts w:ascii="Times New Roman" w:hAnsi="Times New Roman" w:cs="Times New Roman"/>
        </w:rPr>
        <w:t xml:space="preserve">or </w:t>
      </w:r>
      <w:r w:rsidRPr="00260A57">
        <w:rPr>
          <w:rFonts w:ascii="Times New Roman" w:hAnsi="Times New Roman" w:cs="Times New Roman"/>
        </w:rPr>
        <w:t xml:space="preserve">correlation among isotopic signatures of prey can lead to erroneous interpretations of model results. To illustrate with a recent example, </w:t>
      </w:r>
      <w:r>
        <w:rPr>
          <w:rFonts w:ascii="Times New Roman" w:hAnsi="Times New Roman" w:cs="Times New Roman"/>
        </w:rPr>
        <w:t xml:space="preserve">take the case </w:t>
      </w:r>
      <w:r w:rsidRPr="00260A57">
        <w:rPr>
          <w:rFonts w:ascii="Times New Roman" w:hAnsi="Times New Roman" w:cs="Times New Roman"/>
        </w:rPr>
        <w:t>in which researchers tested the efficacy of using Bayesian mixing models to estimate the diet of Arctic Peregrine Falcon (</w:t>
      </w:r>
      <w:r w:rsidRPr="00260A57">
        <w:rPr>
          <w:rFonts w:ascii="Times New Roman" w:hAnsi="Times New Roman" w:cs="Times New Roman"/>
          <w:i/>
        </w:rPr>
        <w:t xml:space="preserve">Falco peregrinus </w:t>
      </w:r>
      <w:proofErr w:type="spellStart"/>
      <w:r w:rsidRPr="00260A57">
        <w:rPr>
          <w:rFonts w:ascii="Times New Roman" w:hAnsi="Times New Roman" w:cs="Times New Roman"/>
          <w:i/>
        </w:rPr>
        <w:t>tundrius</w:t>
      </w:r>
      <w:proofErr w:type="spellEnd"/>
      <w:r>
        <w:rPr>
          <w:rFonts w:ascii="Times New Roman" w:hAnsi="Times New Roman" w:cs="Times New Roman"/>
        </w:rPr>
        <w:t>) nestlings in Nunavut, Canada</w:t>
      </w:r>
      <w:r w:rsidRPr="00260A57">
        <w:rPr>
          <w:rFonts w:ascii="Times New Roman" w:hAnsi="Times New Roman" w:cs="Times New Roman"/>
        </w:rPr>
        <w:t xml:space="preserve">.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"DOI" : "10.1642/AUK-17-143.1", "ISSN" : "0004-8038", "author" : [ { "dropping-particle" : "", "family" : "Robinson", "given" : "Barry G.", "non-dropping-particle" : "", "parse-names" : false, "suffix" : "" }, { "dropping-particle" : "", "family" : "Franke", "given" : "Alastair", "non-dropping-particle" : "", "parse-names" : false, "suffix" : "" }, { "dropping-particle" : "", "family" : "Derocher", "given" : "Andrew E.", "non-dropping-particle" : "", "parse-names" : false, "suffix" : "" } ], "container-title" : "The Auk", "id" : "ITEM-1", "issue" : "1", "issued" : { "date-parts" : [ [ "2018" ] ] }, "page" : "60-70", "title" : "Stable isotope mixing models fail to estimate the diet of an avian predator", "type" : "article-journal", "volume" : "135" }, "uris" : [ "http://www.mendeley.com/documents/?uuid=386d3148-01b1-4349-a479-3d50bb67080e" ] } ], "mendeley" : { "formattedCitation" : "(Robinson et al. 2018)", "manualFormatting" : "Robinson et al. (2018)", "plainTextFormattedCitation" : "(Robinson et al. 2018)", "previouslyFormattedCitation" : "(Robinson et al. 2018)"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Robinson et al. (2018)</w:t>
      </w:r>
      <w:r w:rsidRPr="00260A57">
        <w:rPr>
          <w:rFonts w:ascii="Times New Roman" w:hAnsi="Times New Roman" w:cs="Times New Roman"/>
        </w:rPr>
        <w:fldChar w:fldCharType="end"/>
      </w:r>
      <w:r w:rsidRPr="00260A57">
        <w:rPr>
          <w:rFonts w:ascii="Times New Roman" w:hAnsi="Times New Roman" w:cs="Times New Roman"/>
        </w:rPr>
        <w:t xml:space="preserve"> found that when uninformed, mixing models produced wide credible intervals and suggested lemmings (</w:t>
      </w:r>
      <w:proofErr w:type="spellStart"/>
      <w:r w:rsidRPr="00260A57">
        <w:rPr>
          <w:rFonts w:ascii="Times New Roman" w:hAnsi="Times New Roman" w:cs="Times New Roman"/>
          <w:i/>
        </w:rPr>
        <w:t>Lemmus</w:t>
      </w:r>
      <w:proofErr w:type="spellEnd"/>
      <w:r w:rsidRPr="00260A57">
        <w:rPr>
          <w:rFonts w:ascii="Times New Roman" w:hAnsi="Times New Roman" w:cs="Times New Roman"/>
          <w:i/>
        </w:rPr>
        <w:t xml:space="preserve"> </w:t>
      </w:r>
      <w:proofErr w:type="spellStart"/>
      <w:r w:rsidRPr="00260A57">
        <w:rPr>
          <w:rFonts w:ascii="Times New Roman" w:hAnsi="Times New Roman" w:cs="Times New Roman"/>
          <w:i/>
        </w:rPr>
        <w:t>trimucronatus</w:t>
      </w:r>
      <w:proofErr w:type="spellEnd"/>
      <w:r w:rsidRPr="00260A57">
        <w:rPr>
          <w:rFonts w:ascii="Times New Roman" w:hAnsi="Times New Roman" w:cs="Times New Roman"/>
          <w:i/>
        </w:rPr>
        <w:t xml:space="preserve"> </w:t>
      </w:r>
      <w:r w:rsidRPr="00260A57">
        <w:rPr>
          <w:rFonts w:ascii="Times New Roman" w:hAnsi="Times New Roman" w:cs="Times New Roman"/>
        </w:rPr>
        <w:t>and</w:t>
      </w:r>
      <w:r w:rsidRPr="00260A57">
        <w:rPr>
          <w:rFonts w:ascii="Times New Roman" w:hAnsi="Times New Roman" w:cs="Times New Roman"/>
          <w:i/>
        </w:rPr>
        <w:t xml:space="preserve"> </w:t>
      </w:r>
      <w:proofErr w:type="spellStart"/>
      <w:r w:rsidRPr="00260A57">
        <w:rPr>
          <w:rFonts w:ascii="Times New Roman" w:hAnsi="Times New Roman" w:cs="Times New Roman"/>
          <w:i/>
        </w:rPr>
        <w:t>Dicrostonyx</w:t>
      </w:r>
      <w:proofErr w:type="spellEnd"/>
      <w:r w:rsidRPr="00260A57">
        <w:rPr>
          <w:rFonts w:ascii="Times New Roman" w:hAnsi="Times New Roman" w:cs="Times New Roman"/>
          <w:i/>
        </w:rPr>
        <w:t xml:space="preserve"> </w:t>
      </w:r>
      <w:proofErr w:type="spellStart"/>
      <w:r w:rsidRPr="00260A57">
        <w:rPr>
          <w:rFonts w:ascii="Times New Roman" w:hAnsi="Times New Roman" w:cs="Times New Roman"/>
          <w:i/>
        </w:rPr>
        <w:t>groenlandicus</w:t>
      </w:r>
      <w:proofErr w:type="spellEnd"/>
      <w:r w:rsidRPr="00260A57">
        <w:rPr>
          <w:rFonts w:ascii="Times New Roman" w:hAnsi="Times New Roman" w:cs="Times New Roman"/>
        </w:rPr>
        <w:t>) were the main contributors to falcon diets (Fig. 4). Conversely, diets estimated using observational methods had high precision and suggested insectivorous birds were the dominant prey of falcons. Finally, when informative priors were incorporated from observational analyses into the mixing models, diet estimates, while precise, were simply a reflection of the priors. Thus, stable isotope mixing models failed to estimate the diet of these avian predators, and when given prior information, simply reflect</w:t>
      </w:r>
      <w:r>
        <w:rPr>
          <w:rFonts w:ascii="Times New Roman" w:hAnsi="Times New Roman" w:cs="Times New Roman"/>
        </w:rPr>
        <w:t>ed</w:t>
      </w:r>
      <w:r w:rsidRPr="00260A57">
        <w:rPr>
          <w:rFonts w:ascii="Times New Roman" w:hAnsi="Times New Roman" w:cs="Times New Roman"/>
        </w:rPr>
        <w:t xml:space="preserve"> those distributions, ostensibly because the weight of the prior </w:t>
      </w:r>
      <w:r>
        <w:rPr>
          <w:rFonts w:ascii="Times New Roman" w:hAnsi="Times New Roman" w:cs="Times New Roman"/>
        </w:rPr>
        <w:t xml:space="preserve">outweighed </w:t>
      </w:r>
      <w:r w:rsidRPr="00260A57">
        <w:rPr>
          <w:rFonts w:ascii="Times New Roman" w:hAnsi="Times New Roman" w:cs="Times New Roman"/>
        </w:rPr>
        <w:t xml:space="preserve">the likelihood of the observed data. </w:t>
      </w:r>
    </w:p>
    <w:p w14:paraId="1FCF2010" w14:textId="77777777" w:rsidR="00D97851" w:rsidRPr="00260A57" w:rsidRDefault="00D97851" w:rsidP="00D97851">
      <w:pPr>
        <w:spacing w:after="160" w:line="360" w:lineRule="auto"/>
        <w:ind w:firstLine="720"/>
        <w:rPr>
          <w:rFonts w:ascii="Times New Roman" w:hAnsi="Times New Roman" w:cs="Times New Roman"/>
        </w:rPr>
      </w:pPr>
      <w:r w:rsidRPr="00260A57">
        <w:rPr>
          <w:rFonts w:ascii="Times New Roman" w:hAnsi="Times New Roman" w:cs="Times New Roman"/>
        </w:rPr>
        <w:t xml:space="preserve">It is therefore evident that, </w:t>
      </w:r>
      <w:r>
        <w:rPr>
          <w:rFonts w:ascii="Times New Roman" w:hAnsi="Times New Roman" w:cs="Times New Roman"/>
        </w:rPr>
        <w:t xml:space="preserve">despite </w:t>
      </w:r>
      <w:r w:rsidRPr="00260A57">
        <w:rPr>
          <w:rFonts w:ascii="Times New Roman" w:hAnsi="Times New Roman" w:cs="Times New Roman"/>
        </w:rPr>
        <w:t>growing in popularity and use (</w:t>
      </w:r>
      <w:r>
        <w:rPr>
          <w:rFonts w:ascii="Times New Roman" w:hAnsi="Times New Roman" w:cs="Times New Roman"/>
        </w:rPr>
        <w:t xml:space="preserve">e.g., </w:t>
      </w:r>
      <w:r w:rsidRPr="00260A57">
        <w:rPr>
          <w:rFonts w:ascii="Times New Roman" w:hAnsi="Times New Roman" w:cs="Times New Roman"/>
        </w:rPr>
        <w:t xml:space="preserve">Fig. 1), mixing model analyses still suffer from assumptions and methodological choices that can, and do, affect the interpretations researchers make into the trophic ecology of animals. This is a non-trivial problem that requires a novel solution, and </w:t>
      </w:r>
      <w:proofErr w:type="gramStart"/>
      <w:r w:rsidRPr="00260A57">
        <w:rPr>
          <w:rFonts w:ascii="Times New Roman" w:hAnsi="Times New Roman" w:cs="Times New Roman"/>
        </w:rPr>
        <w:t>in particular one</w:t>
      </w:r>
      <w:proofErr w:type="gramEnd"/>
      <w:r w:rsidRPr="00260A57">
        <w:rPr>
          <w:rFonts w:ascii="Times New Roman" w:hAnsi="Times New Roman" w:cs="Times New Roman"/>
        </w:rPr>
        <w:t xml:space="preserve"> which moves away from an </w:t>
      </w:r>
      <w:r w:rsidRPr="00260A57">
        <w:rPr>
          <w:rFonts w:ascii="Times New Roman" w:hAnsi="Times New Roman" w:cs="Times New Roman"/>
          <w:i/>
        </w:rPr>
        <w:t>a posteriori</w:t>
      </w:r>
      <w:r w:rsidRPr="00260A57">
        <w:rPr>
          <w:rFonts w:ascii="Times New Roman" w:hAnsi="Times New Roman" w:cs="Times New Roman"/>
        </w:rPr>
        <w:t xml:space="preserve"> approach and instead focuses on an </w:t>
      </w:r>
      <w:r w:rsidRPr="00260A57">
        <w:rPr>
          <w:rFonts w:ascii="Times New Roman" w:hAnsi="Times New Roman" w:cs="Times New Roman"/>
          <w:i/>
        </w:rPr>
        <w:t>a priori</w:t>
      </w:r>
      <w:r w:rsidRPr="00260A57">
        <w:rPr>
          <w:rFonts w:ascii="Times New Roman" w:hAnsi="Times New Roman" w:cs="Times New Roman"/>
        </w:rPr>
        <w:t xml:space="preserve">, predictive approach. One such alternative approach is Predictive </w:t>
      </w:r>
      <w:proofErr w:type="spellStart"/>
      <w:r w:rsidRPr="00260A57">
        <w:rPr>
          <w:rFonts w:ascii="Times New Roman" w:hAnsi="Times New Roman" w:cs="Times New Roman"/>
        </w:rPr>
        <w:t>Isoscape</w:t>
      </w:r>
      <w:proofErr w:type="spellEnd"/>
      <w:r w:rsidRPr="00260A57">
        <w:rPr>
          <w:rFonts w:ascii="Times New Roman" w:hAnsi="Times New Roman" w:cs="Times New Roman"/>
        </w:rPr>
        <w:t xml:space="preserve"> Analysis (hereafter PIA). Rather than simply inferring trophic ecology from observed data, PIA allows researcher</w:t>
      </w:r>
      <w:r>
        <w:rPr>
          <w:rFonts w:ascii="Times New Roman" w:hAnsi="Times New Roman" w:cs="Times New Roman"/>
        </w:rPr>
        <w:t>s</w:t>
      </w:r>
      <w:r w:rsidRPr="00260A57">
        <w:rPr>
          <w:rFonts w:ascii="Times New Roman" w:hAnsi="Times New Roman" w:cs="Times New Roman"/>
        </w:rPr>
        <w:t xml:space="preserve"> to predict the isotopic niche and dietary contributions of prey to </w:t>
      </w:r>
      <w:r>
        <w:rPr>
          <w:rFonts w:ascii="Times New Roman" w:hAnsi="Times New Roman" w:cs="Times New Roman"/>
        </w:rPr>
        <w:t xml:space="preserve">a population of </w:t>
      </w:r>
      <w:r w:rsidRPr="00260A57">
        <w:rPr>
          <w:rFonts w:ascii="Times New Roman" w:hAnsi="Times New Roman" w:cs="Times New Roman"/>
        </w:rPr>
        <w:t>predator</w:t>
      </w:r>
      <w:r>
        <w:rPr>
          <w:rFonts w:ascii="Times New Roman" w:hAnsi="Times New Roman" w:cs="Times New Roman"/>
        </w:rPr>
        <w:t>s</w:t>
      </w:r>
      <w:r w:rsidRPr="00260A57">
        <w:rPr>
          <w:rFonts w:ascii="Times New Roman" w:hAnsi="Times New Roman" w:cs="Times New Roman"/>
        </w:rPr>
        <w:t xml:space="preserve"> given observed prey isotopic signatures. These predictions can then be compared to observed predators, from which inferences about deviation from the observed can be made. Details of a first implementation of this approach are in the accompany R Markdown HTML document</w:t>
      </w:r>
      <w:r>
        <w:rPr>
          <w:rFonts w:ascii="Times New Roman" w:hAnsi="Times New Roman" w:cs="Times New Roman"/>
        </w:rPr>
        <w:t xml:space="preserve"> (Supplement No. 1)</w:t>
      </w:r>
      <w:r w:rsidRPr="00260A57">
        <w:rPr>
          <w:rFonts w:ascii="Times New Roman" w:hAnsi="Times New Roman" w:cs="Times New Roman"/>
        </w:rPr>
        <w:t xml:space="preserve">. In the following paragraphs, I highlight key methods and results from </w:t>
      </w:r>
      <w:r>
        <w:rPr>
          <w:rFonts w:ascii="Times New Roman" w:hAnsi="Times New Roman" w:cs="Times New Roman"/>
        </w:rPr>
        <w:t>this first implementation</w:t>
      </w:r>
      <w:r w:rsidRPr="00260A57">
        <w:rPr>
          <w:rFonts w:ascii="Times New Roman" w:hAnsi="Times New Roman" w:cs="Times New Roman"/>
        </w:rPr>
        <w:t xml:space="preserve">, compare results to those </w:t>
      </w:r>
      <w:r w:rsidRPr="00260A57">
        <w:rPr>
          <w:rFonts w:ascii="Times New Roman" w:hAnsi="Times New Roman" w:cs="Times New Roman"/>
        </w:rPr>
        <w:lastRenderedPageBreak/>
        <w:t xml:space="preserve">obtained through traditional mixing models, and offer an opinion on the relative advantages of this novel approach. </w:t>
      </w:r>
    </w:p>
    <w:p w14:paraId="680DB996" w14:textId="77777777" w:rsidR="00D97851" w:rsidRPr="00260A57" w:rsidRDefault="00D97851" w:rsidP="00D97851">
      <w:pPr>
        <w:spacing w:after="160" w:line="360" w:lineRule="auto"/>
        <w:ind w:firstLine="720"/>
        <w:rPr>
          <w:rFonts w:ascii="Times New Roman" w:hAnsi="Times New Roman" w:cs="Times New Roman"/>
        </w:rPr>
      </w:pPr>
      <w:r w:rsidRPr="00260A57">
        <w:rPr>
          <w:rFonts w:ascii="Times New Roman" w:hAnsi="Times New Roman" w:cs="Times New Roman"/>
        </w:rPr>
        <w:t>Stable isotope data were compiled for one study site, LR05, located on the Laramie River in Laramie</w:t>
      </w:r>
      <w:r>
        <w:rPr>
          <w:rFonts w:ascii="Times New Roman" w:hAnsi="Times New Roman" w:cs="Times New Roman"/>
        </w:rPr>
        <w:t>, Wyoming</w:t>
      </w:r>
      <w:r w:rsidRPr="00260A57">
        <w:rPr>
          <w:rFonts w:ascii="Times New Roman" w:hAnsi="Times New Roman" w:cs="Times New Roman"/>
        </w:rPr>
        <w:t>. Fish and invertebrate samples were collected during summer 2016. For the purpos</w:t>
      </w:r>
      <w:r>
        <w:rPr>
          <w:rFonts w:ascii="Times New Roman" w:hAnsi="Times New Roman" w:cs="Times New Roman"/>
        </w:rPr>
        <w:t>es of this exam question, I cho</w:t>
      </w:r>
      <w:r w:rsidRPr="00260A57">
        <w:rPr>
          <w:rFonts w:ascii="Times New Roman" w:hAnsi="Times New Roman" w:cs="Times New Roman"/>
        </w:rPr>
        <w:t>se to focus on Brown Trout (</w:t>
      </w:r>
      <w:r w:rsidRPr="00260A57">
        <w:rPr>
          <w:rFonts w:ascii="Times New Roman" w:hAnsi="Times New Roman" w:cs="Times New Roman"/>
          <w:i/>
        </w:rPr>
        <w:t>Salmo trutta</w:t>
      </w:r>
      <w:r w:rsidRPr="00260A57">
        <w:rPr>
          <w:rFonts w:ascii="Times New Roman" w:hAnsi="Times New Roman" w:cs="Times New Roman"/>
        </w:rPr>
        <w:t xml:space="preserve">) as the predator species of interest, and five putative prey items previously identified to be important to Laramie River Brown Trout diets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"author" : [ { "dropping-particle" : "", "family" : "Dugan", "given" : "Jessica", "non-dropping-particle" : "", "parse-names" : false, "suffix" : "" } ], "id" : "ITEM-1", "issued" : { "date-parts" : [ [ "2015" ] ] }, "number-of-pages" : "108", "publisher" : "University of Wyoming", "title" : "Influence of added habitat structures on the ecology of fishes in the Laramie River", "type" : "thesis" }, "uris" : [ "http://www.mendeley.com/documents/?uuid=e66bd361-1576-471e-b824-d12768293e6a" ] } ], "mendeley" : { "formattedCitation" : "(Dugan 2015)", "plainTextFormattedCitation" : "(Dugan 2015)", "previouslyFormattedCitation" : "(Dugan 2015)"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(Dugan 2015)</w:t>
      </w:r>
      <w:r w:rsidRPr="00260A57">
        <w:rPr>
          <w:rFonts w:ascii="Times New Roman" w:hAnsi="Times New Roman" w:cs="Times New Roman"/>
        </w:rPr>
        <w:fldChar w:fldCharType="end"/>
      </w:r>
      <w:r w:rsidRPr="00260A57">
        <w:rPr>
          <w:rFonts w:ascii="Times New Roman" w:hAnsi="Times New Roman" w:cs="Times New Roman"/>
        </w:rPr>
        <w:t xml:space="preserve">. </w:t>
      </w:r>
      <w:r>
        <w:rPr>
          <w:rFonts w:ascii="Times New Roman" w:hAnsi="Times New Roman" w:cs="Times New Roman"/>
        </w:rPr>
        <w:t>P</w:t>
      </w:r>
      <w:r w:rsidRPr="00260A57">
        <w:rPr>
          <w:rFonts w:ascii="Times New Roman" w:hAnsi="Times New Roman" w:cs="Times New Roman"/>
        </w:rPr>
        <w:t>rey categories included</w:t>
      </w:r>
      <w:r>
        <w:rPr>
          <w:rFonts w:ascii="Times New Roman" w:hAnsi="Times New Roman" w:cs="Times New Roman"/>
        </w:rPr>
        <w:t>:</w:t>
      </w:r>
      <w:r w:rsidRPr="00260A57">
        <w:rPr>
          <w:rFonts w:ascii="Times New Roman" w:hAnsi="Times New Roman" w:cs="Times New Roman"/>
        </w:rPr>
        <w:t xml:space="preserve"> </w:t>
      </w:r>
      <w:r>
        <w:rPr>
          <w:rFonts w:ascii="Times New Roman" w:hAnsi="Times New Roman" w:cs="Times New Roman"/>
        </w:rPr>
        <w:t>(1) c</w:t>
      </w:r>
      <w:r w:rsidRPr="00260A57">
        <w:rPr>
          <w:rFonts w:ascii="Times New Roman" w:hAnsi="Times New Roman" w:cs="Times New Roman"/>
        </w:rPr>
        <w:t xml:space="preserve">rayfish (Crustacea: </w:t>
      </w:r>
      <w:proofErr w:type="spellStart"/>
      <w:r w:rsidRPr="00260A57">
        <w:rPr>
          <w:rFonts w:ascii="Times New Roman" w:hAnsi="Times New Roman" w:cs="Times New Roman"/>
          <w:i/>
        </w:rPr>
        <w:t>Orconectes</w:t>
      </w:r>
      <w:proofErr w:type="spellEnd"/>
      <w:r w:rsidRPr="00260A57">
        <w:rPr>
          <w:rFonts w:ascii="Times New Roman" w:hAnsi="Times New Roman" w:cs="Times New Roman"/>
        </w:rPr>
        <w:t xml:space="preserve"> spp.), </w:t>
      </w:r>
      <w:r>
        <w:rPr>
          <w:rFonts w:ascii="Times New Roman" w:hAnsi="Times New Roman" w:cs="Times New Roman"/>
        </w:rPr>
        <w:t>(2) “m</w:t>
      </w:r>
      <w:r w:rsidRPr="00260A57">
        <w:rPr>
          <w:rFonts w:ascii="Times New Roman" w:hAnsi="Times New Roman" w:cs="Times New Roman"/>
        </w:rPr>
        <w:t>innows” (</w:t>
      </w:r>
      <w:r>
        <w:rPr>
          <w:rFonts w:ascii="Times New Roman" w:hAnsi="Times New Roman" w:cs="Times New Roman"/>
        </w:rPr>
        <w:t xml:space="preserve">i.e., a </w:t>
      </w:r>
      <w:r w:rsidRPr="00260A57">
        <w:rPr>
          <w:rFonts w:ascii="Times New Roman" w:hAnsi="Times New Roman" w:cs="Times New Roman"/>
        </w:rPr>
        <w:t>prey</w:t>
      </w:r>
      <w:r>
        <w:rPr>
          <w:rFonts w:ascii="Times New Roman" w:hAnsi="Times New Roman" w:cs="Times New Roman"/>
        </w:rPr>
        <w:t xml:space="preserve"> </w:t>
      </w:r>
      <w:r w:rsidRPr="00260A57">
        <w:rPr>
          <w:rFonts w:ascii="Times New Roman" w:hAnsi="Times New Roman" w:cs="Times New Roman"/>
        </w:rPr>
        <w:t>fish category composed of Brassy Minnow [</w:t>
      </w:r>
      <w:r w:rsidRPr="00260A57">
        <w:rPr>
          <w:rFonts w:ascii="Times New Roman" w:hAnsi="Times New Roman" w:cs="Times New Roman"/>
          <w:i/>
        </w:rPr>
        <w:t>Hybognathus hankinsoni</w:t>
      </w:r>
      <w:r w:rsidRPr="00260A57">
        <w:rPr>
          <w:rFonts w:ascii="Times New Roman" w:hAnsi="Times New Roman" w:cs="Times New Roman"/>
        </w:rPr>
        <w:t>] and Fathead Minnow [</w:t>
      </w:r>
      <w:r w:rsidRPr="00260A57">
        <w:rPr>
          <w:rFonts w:ascii="Times New Roman" w:hAnsi="Times New Roman" w:cs="Times New Roman"/>
          <w:i/>
        </w:rPr>
        <w:t>Pimephales promelas</w:t>
      </w:r>
      <w:r w:rsidRPr="00260A57">
        <w:rPr>
          <w:rFonts w:ascii="Times New Roman" w:hAnsi="Times New Roman" w:cs="Times New Roman"/>
        </w:rPr>
        <w:t xml:space="preserve">]), </w:t>
      </w:r>
      <w:r>
        <w:rPr>
          <w:rFonts w:ascii="Times New Roman" w:hAnsi="Times New Roman" w:cs="Times New Roman"/>
        </w:rPr>
        <w:t>(</w:t>
      </w:r>
      <w:r w:rsidRPr="00260A57">
        <w:rPr>
          <w:rFonts w:ascii="Times New Roman" w:hAnsi="Times New Roman" w:cs="Times New Roman"/>
        </w:rPr>
        <w:t xml:space="preserve">3) flathead mayflies (Ephemeroptera: </w:t>
      </w:r>
      <w:proofErr w:type="spellStart"/>
      <w:r w:rsidRPr="00260A57">
        <w:rPr>
          <w:rFonts w:ascii="Times New Roman" w:hAnsi="Times New Roman" w:cs="Times New Roman"/>
        </w:rPr>
        <w:t>Baetidae</w:t>
      </w:r>
      <w:proofErr w:type="spellEnd"/>
      <w:r w:rsidRPr="00260A57">
        <w:rPr>
          <w:rFonts w:ascii="Times New Roman" w:hAnsi="Times New Roman" w:cs="Times New Roman"/>
        </w:rPr>
        <w:t xml:space="preserve">), </w:t>
      </w:r>
      <w:r>
        <w:rPr>
          <w:rFonts w:ascii="Times New Roman" w:hAnsi="Times New Roman" w:cs="Times New Roman"/>
        </w:rPr>
        <w:t>(</w:t>
      </w:r>
      <w:r w:rsidRPr="00260A57">
        <w:rPr>
          <w:rFonts w:ascii="Times New Roman" w:hAnsi="Times New Roman" w:cs="Times New Roman"/>
        </w:rPr>
        <w:t>4) net-spinning caddisflies (</w:t>
      </w:r>
      <w:proofErr w:type="spellStart"/>
      <w:r w:rsidRPr="00260A57">
        <w:rPr>
          <w:rFonts w:ascii="Times New Roman" w:hAnsi="Times New Roman" w:cs="Times New Roman"/>
        </w:rPr>
        <w:t>Tricoptera</w:t>
      </w:r>
      <w:proofErr w:type="spellEnd"/>
      <w:r w:rsidRPr="00260A57">
        <w:rPr>
          <w:rFonts w:ascii="Times New Roman" w:hAnsi="Times New Roman" w:cs="Times New Roman"/>
        </w:rPr>
        <w:t xml:space="preserve">: </w:t>
      </w:r>
      <w:proofErr w:type="spellStart"/>
      <w:r w:rsidRPr="00260A57">
        <w:rPr>
          <w:rFonts w:ascii="Times New Roman" w:hAnsi="Times New Roman" w:cs="Times New Roman"/>
        </w:rPr>
        <w:t>Hydropsychidae</w:t>
      </w:r>
      <w:proofErr w:type="spellEnd"/>
      <w:r w:rsidRPr="00260A57">
        <w:rPr>
          <w:rFonts w:ascii="Times New Roman" w:hAnsi="Times New Roman" w:cs="Times New Roman"/>
        </w:rPr>
        <w:t xml:space="preserve">), and </w:t>
      </w:r>
      <w:r>
        <w:rPr>
          <w:rFonts w:ascii="Times New Roman" w:hAnsi="Times New Roman" w:cs="Times New Roman"/>
        </w:rPr>
        <w:t>(5) i</w:t>
      </w:r>
      <w:r w:rsidRPr="00260A57">
        <w:rPr>
          <w:rFonts w:ascii="Times New Roman" w:hAnsi="Times New Roman" w:cs="Times New Roman"/>
        </w:rPr>
        <w:t xml:space="preserve">sopods (Crustacea: Isopoda). Brassy Minnows and Fathead Minnows were grouped together given their similar trophic ecology and overlapping isotopic signatures. </w:t>
      </w:r>
    </w:p>
    <w:p w14:paraId="71959D09" w14:textId="77777777" w:rsidR="00D97851" w:rsidRPr="00260A57" w:rsidRDefault="00D97851" w:rsidP="00D97851">
      <w:pPr>
        <w:spacing w:after="160" w:line="360" w:lineRule="auto"/>
        <w:ind w:firstLine="720"/>
        <w:rPr>
          <w:rFonts w:ascii="Times New Roman" w:hAnsi="Times New Roman" w:cs="Times New Roman"/>
        </w:rPr>
      </w:pPr>
      <w:r w:rsidRPr="00260A57">
        <w:rPr>
          <w:rFonts w:ascii="Times New Roman" w:hAnsi="Times New Roman" w:cs="Times New Roman"/>
        </w:rPr>
        <w:t xml:space="preserve">The R package </w:t>
      </w:r>
      <w:proofErr w:type="spellStart"/>
      <w:r w:rsidRPr="00260A57">
        <w:rPr>
          <w:rFonts w:ascii="Times New Roman" w:hAnsi="Times New Roman" w:cs="Times New Roman"/>
          <w:i/>
        </w:rPr>
        <w:t>rKIN</w:t>
      </w:r>
      <w:proofErr w:type="spellEnd"/>
      <w:r w:rsidRPr="00260A57">
        <w:rPr>
          <w:rFonts w:ascii="Times New Roman" w:hAnsi="Times New Roman" w:cs="Times New Roman"/>
        </w:rPr>
        <w:t xml:space="preserve">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"author" : [ { "dropping-particle" : "", "family" : "Albeke", "given" : "Shannon E.", "non-dropping-particle" : "", "parse-names" : false, "suffix" : "" } ], "id" : "ITEM-1", "issued" : { "date-parts" : [ [ "2017" ] ] }, "number" : "0.2", "publisher-place" : "Laramie, WY, USA", "title" : "rKIN: (Kernel) Isotope Niche Estimation", "type" : "article" }, "uris" : [ "http://www.mendeley.com/documents/?uuid=405f978a-21a9-4529-a7c0-f4aa9bcbae14" ] }, { "id" : "ITEM-2", "itemData" : { "author" : [ { "dropping-particle" : "", "family" : "Eckrich", "given" : "Carolyn", "non-dropping-particle" : "", "parse-names" : false, "suffix" : "" }, { "dropping-particle" : "", "family" : "Albeke", "given" : "Shannon", "non-dropping-particle" : "", "parse-names" : false, "suffix" : "" }, { "dropping-particle" : "", "family" : "Flaherty", "given" : "Elizabeth A.", "non-dropping-particle" : "", "parse-names" : false, "suffix" : "" }, { "dropping-particle" : "", "family" : "Bowyer", "given" : "R", "non-dropping-particle" : "", "parse-names" : false, "suffix" : "" }, { "dropping-particle" : "", "family" : "Ben-David", "given" : "Merav", "non-dropping-particle" : "", "parse-names" : false, "suffix" : "" } ], "container-title" : "Journal of Animal Ecology", "id" : "ITEM-2", "issued" : { "date-parts" : [ [ "0" ] ] }, "title" : "rKIN: Kernel-based method for estimating isotopic niche size and overlap Manuscript", "type" : "article-journal" }, "uris" : [ "http://www.mendeley.com/documents/?uuid=81a430f5-55ef-4961-b79f-455d3d4cb29b" ] } ], "mendeley" : { "formattedCitation" : "(Eckrich et al. n.d., Albeke 2017)", "manualFormatting" : "(Eckrich et al. in revision, Albeke 2017)", "plainTextFormattedCitation" : "(Eckrich et al. n.d., Albeke 2017)", "previouslyFormattedCitation" : "(Eckrich et al. n.d., Albeke 2017)"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 xml:space="preserve">(Eckrich et al. </w:t>
      </w:r>
      <w:r w:rsidRPr="00260A57">
        <w:rPr>
          <w:rFonts w:ascii="Times New Roman" w:hAnsi="Times New Roman" w:cs="Times New Roman"/>
          <w:i/>
          <w:noProof/>
        </w:rPr>
        <w:t>in revision</w:t>
      </w:r>
      <w:r w:rsidRPr="00260A57">
        <w:rPr>
          <w:rFonts w:ascii="Times New Roman" w:hAnsi="Times New Roman" w:cs="Times New Roman"/>
          <w:noProof/>
        </w:rPr>
        <w:t>, Albeke 2017)</w:t>
      </w:r>
      <w:r w:rsidRPr="00260A57">
        <w:rPr>
          <w:rFonts w:ascii="Times New Roman" w:hAnsi="Times New Roman" w:cs="Times New Roman"/>
        </w:rPr>
        <w:fldChar w:fldCharType="end"/>
      </w:r>
      <w:r>
        <w:rPr>
          <w:rFonts w:ascii="Times New Roman" w:hAnsi="Times New Roman" w:cs="Times New Roman"/>
        </w:rPr>
        <w:t xml:space="preserve"> was then used to create an</w:t>
      </w:r>
      <w:r w:rsidRPr="00260A57">
        <w:rPr>
          <w:rFonts w:ascii="Times New Roman" w:hAnsi="Times New Roman" w:cs="Times New Roman"/>
        </w:rPr>
        <w:t xml:space="preserve"> </w:t>
      </w:r>
      <w:proofErr w:type="spellStart"/>
      <w:r w:rsidRPr="00260A57">
        <w:rPr>
          <w:rFonts w:ascii="Times New Roman" w:hAnsi="Times New Roman" w:cs="Times New Roman"/>
        </w:rPr>
        <w:t>isospace</w:t>
      </w:r>
      <w:proofErr w:type="spellEnd"/>
      <w:r w:rsidRPr="00260A57">
        <w:rPr>
          <w:rFonts w:ascii="Times New Roman" w:hAnsi="Times New Roman" w:cs="Times New Roman"/>
        </w:rPr>
        <w:t xml:space="preserve"> for prey at this study site (Fig. 5). </w:t>
      </w:r>
      <w:proofErr w:type="spellStart"/>
      <w:r w:rsidRPr="00260A57">
        <w:rPr>
          <w:rFonts w:ascii="Times New Roman" w:hAnsi="Times New Roman" w:cs="Times New Roman"/>
          <w:i/>
        </w:rPr>
        <w:t>rKIN</w:t>
      </w:r>
      <w:proofErr w:type="spellEnd"/>
      <w:r w:rsidRPr="00260A57">
        <w:rPr>
          <w:rFonts w:ascii="Times New Roman" w:hAnsi="Times New Roman" w:cs="Times New Roman"/>
          <w:i/>
        </w:rPr>
        <w:t xml:space="preserve"> </w:t>
      </w:r>
      <w:r w:rsidRPr="00260A57">
        <w:rPr>
          <w:rFonts w:ascii="Times New Roman" w:hAnsi="Times New Roman" w:cs="Times New Roman"/>
        </w:rPr>
        <w:t>uses the Kernel U</w:t>
      </w:r>
      <w:r>
        <w:rPr>
          <w:rFonts w:ascii="Times New Roman" w:hAnsi="Times New Roman" w:cs="Times New Roman"/>
        </w:rPr>
        <w:t>tilization Density (KUD) method</w:t>
      </w:r>
      <w:r w:rsidRPr="00260A57">
        <w:rPr>
          <w:rFonts w:ascii="Times New Roman" w:hAnsi="Times New Roman" w:cs="Times New Roman"/>
        </w:rPr>
        <w:t xml:space="preserve"> to estimate isotopic niche metrics. In contrast to other niche-estimation methods such as convex hulls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"DOI" : "10.1890/0012-9658(2007)88[42:CSIRPF]2.0.CO;2", "ISBN" : "0012-9658", "ISSN" : "00129658", "PMID" : "17489452", "abstract" : "Stable isotope ratios (typically of carbon and nitrogen) provide one representation of an organism's trophic niche and are widely used to examine aspects of food web structure. Yet stable isotopes have not been applied to quantitatively characterize community-wide aspects of trophic structure (i.e., at the level of an entire food web). We propose quantitative metrics that can be used to this end, drawing on similar approaches from ecomorphology research. For example, the convex hull area occupied by species in delta13C-delta15N niche space is a representation of the total extent of trophic diversity within a food web, whereas mean nearest neighbor distance among all species pairs is a measure of species packing within trophic niche space. To facilitate discussion of opportunities and limitations of the metrics, we provide empirical and conceptual examples drawn from Bahamian tidal creek food webs. These examples illustrate how this methodology can be used to quantify trophic diversity and trophic redundancy in food webs, as well as to link individual species to characteristics of the food web in which they are embedded. Building from extensive applications of stable isotope ratios by ecologists, the community-wide metrics may provide a new perspective on food web structure, function, and dynamics.", "author" : [ { "dropping-particle" : "", "family" : "Layman", "given" : "Craig A", "non-dropping-particle" : "", "parse-names" : false, "suffix" : "" }, { "dropping-particle" : "", "family" : "Arrington", "given" : "D. Albrey", "non-dropping-particle" : "", "parse-names" : false, "suffix" : "" }, { "dropping-particle" : "", "family" : "Monta\u00f1a", "given" : "Carmen G.", "non-dropping-particle" : "", "parse-names" : false, "suffix" : "" }, { "dropping-particle" : "", "family" : "Post", "given" : "David M.", "non-dropping-particle" : "", "parse-names" : false, "suffix" : "" }, { "dropping-particle" : "", "family" : "Montan\u0303a", "given" : "Carmen G.", "non-dropping-particle" : "", "parse-names" : false, "suffix" : "" }, { "dropping-particle" : "", "family" : "Post", "given" : "David M.", "non-dropping-particle" : "", "parse-names" : false, "suffix" : "" } ], "container-title" : "Ecology", "id" : "ITEM-1", "issue" : "1", "issued" : { "date-parts" : [ [ "2007" ] ] }, "note" : "Community-wide niche metrics", "page" : "42-48", "title" : "Can stable isotope ratios provide for community-wide measures of trophic structure?", "type" : "article-journal", "volume" : "88" }, "uris" : [ "http://www.mendeley.com/documents/?uuid=d3989107-3764-4da1-b174-c79cb76d3e02" ] } ], "mendeley" : { "formattedCitation" : "(Layman et al. 2007)", "plainTextFormattedCitation" : "(Layman et al. 2007)", "previouslyFormattedCitation" : "(Layman et al. 2007)"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(Layman et al. 2007)</w:t>
      </w:r>
      <w:r w:rsidRPr="00260A57">
        <w:rPr>
          <w:rFonts w:ascii="Times New Roman" w:hAnsi="Times New Roman" w:cs="Times New Roman"/>
        </w:rPr>
        <w:fldChar w:fldCharType="end"/>
      </w:r>
      <w:r w:rsidRPr="00260A57">
        <w:rPr>
          <w:rFonts w:ascii="Times New Roman" w:hAnsi="Times New Roman" w:cs="Times New Roman"/>
        </w:rPr>
        <w:t xml:space="preserve"> or standard ellipses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"DOI" : "10.1111/j.1365-2656.2011.01806.x", "ISBN" : "0021-8790", "ISSN" : "00218790", "PMID" : "21401589", "abstract" : "1. The use of stable isotope data to infer characteristics of community structure and niche width of community members has become increasingly common. Although these developments have provided ecologists with new perspectives, their full impact has been hampered by an inability to statistically compare individual communities using descriptive metrics. 2. We solve these issues by reformulating the metrics in a Bayesian framework. This reformulation takes account of uncertainty in the sampled data and naturally incorporates error arising from the sampling process, propagating it through to the derived metrics. 3. Furthermore, we develop novel multivariate ellipse-based metrics as an alternative to the currently employed Convex Hull methods when applied to single community members. We show that unlike Convex Hulls, the ellipses are unbiased with respect to sample size, and their estimation via Bayesian inference allows robust comparison to be made among data sets comprising different sample sizes. 4. These new metrics, which we call SIBER (Stable Isotope Bayesian Ellipses in R), open up more avenues for direct comparison of isotopic niches across communities. The computational code to calculate the new metrics is implemented in the free-to-download package Stable Isotope Analysis for the R statistical environment.", "author" : [ { "dropping-particle" : "", "family" : "Jackson", "given" : "Andrew L.", "non-dropping-particle" : "", "parse-names" : false, "suffix" : "" }, { "dropping-particle" : "", "family" : "Inger", "given" : "Richard", "non-dropping-particle" : "", "parse-names" : false, "suffix" : "" }, { "dropping-particle" : "", "family" : "Parnell", "given" : "Andrew C.", "non-dropping-particle" : "", "parse-names" : false, "suffix" : "" }, { "dropping-particle" : "", "family" : "Bearhop", "given" : "Stuart", "non-dropping-particle" : "", "parse-names" : false, "suffix" : "" } ], "container-title" : "Journal of Animal Ecology", "id" : "ITEM-1", "issue" : "3", "issued" : { "date-parts" : [ [ "2011" ] ] }, "page" : "595-602", "title" : "Comparing isotopic niche widths among and within communities: SIBER - Stable Isotope Bayesian Ellipses in R", "type" : "article-journal", "volume" : "80" }, "uris" : [ "http://www.mendeley.com/documents/?uuid=1398ae33-991f-47af-ae8b-f63d61ccf2d8" ] } ], "mendeley" : { "formattedCitation" : "(Jackson et al. 2011)", "plainTextFormattedCitation" : "(Jackson et al. 2011)", "previouslyFormattedCitation" : "(Jackson et al. 2011)"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(Jackson et al. 2011)</w:t>
      </w:r>
      <w:r w:rsidRPr="00260A57">
        <w:rPr>
          <w:rFonts w:ascii="Times New Roman" w:hAnsi="Times New Roman" w:cs="Times New Roman"/>
        </w:rPr>
        <w:fldChar w:fldCharType="end"/>
      </w:r>
      <w:r w:rsidRPr="00260A57">
        <w:rPr>
          <w:rFonts w:ascii="Times New Roman" w:hAnsi="Times New Roman" w:cs="Times New Roman"/>
        </w:rPr>
        <w:t xml:space="preserve">, the KUD precisely describes the distribution of bivariate isotopic data using a nonparametric estimator, yielding an accurate delineation of isotopic niche space </w:t>
      </w:r>
      <w:r w:rsidRPr="00260A57">
        <w:rPr>
          <w:rFonts w:ascii="Times New Roman" w:hAnsi="Times New Roman" w:cs="Times New Roman"/>
        </w:rPr>
        <w:fldChar w:fldCharType="begin" w:fldLock="1"/>
      </w:r>
      <w:r w:rsidRPr="00260A57">
        <w:rPr>
          <w:rFonts w:ascii="Times New Roman" w:hAnsi="Times New Roman" w:cs="Times New Roman"/>
        </w:rPr>
        <w:instrText>ADDIN CSL_CITATION { "citationItems" : [ { "id" : "ITEM-1", "itemData" : { "author" : [ { "dropping-particle" : "", "family" : "Eckrich", "given" : "Carolyn", "non-dropping-particle" : "", "parse-names" : false, "suffix" : "" }, { "dropping-particle" : "", "family" : "Albeke", "given" : "Shannon", "non-dropping-particle" : "", "parse-names" : false, "suffix" : "" }, { "dropping-particle" : "", "family" : "Flaherty", "given" : "Elizabeth A.", "non-dropping-particle" : "", "parse-names" : false, "suffix" : "" }, { "dropping-particle" : "", "family" : "Bowyer", "given" : "R", "non-dropping-particle" : "", "parse-names" : false, "suffix" : "" }, { "dropping-particle" : "", "family" : "Ben-David", "given" : "Merav", "non-dropping-particle" : "", "parse-names" : false, "suffix" : "" } ], "container-title" : "Journal of Animal Ecology", "id" : "ITEM-1", "issued" : { "date-parts" : [ [ "0" ] ] }, "title" : "rKIN: Kernel-based method for estimating isotopic niche size and overlap Manuscript", "type" : "article-journal" }, "uris" : [ "http://www.mendeley.com/documents/?uuid=81a430f5-55ef-4961-b79f-455d3d4cb29b" ] } ], "mendeley" : { "formattedCitation" : "(Eckrich et al. n.d.)", "manualFormatting" : "(Eckrich et al. in revision)", "plainTextFormattedCitation" : "(Eckrich et al. n.d.)", "previouslyFormattedCitation" : "(Eckrich et al. n.d.)"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 xml:space="preserve">(Eckrich et al. </w:t>
      </w:r>
      <w:r w:rsidRPr="00260A57">
        <w:rPr>
          <w:rFonts w:ascii="Times New Roman" w:hAnsi="Times New Roman" w:cs="Times New Roman"/>
          <w:i/>
          <w:noProof/>
        </w:rPr>
        <w:t>in revision</w:t>
      </w:r>
      <w:r w:rsidRPr="00260A57">
        <w:rPr>
          <w:rFonts w:ascii="Times New Roman" w:hAnsi="Times New Roman" w:cs="Times New Roman"/>
          <w:noProof/>
        </w:rPr>
        <w:t>)</w:t>
      </w:r>
      <w:r w:rsidRPr="00260A57">
        <w:rPr>
          <w:rFonts w:ascii="Times New Roman" w:hAnsi="Times New Roman" w:cs="Times New Roman"/>
        </w:rPr>
        <w:fldChar w:fldCharType="end"/>
      </w:r>
      <w:r w:rsidRPr="00260A57">
        <w:rPr>
          <w:rFonts w:ascii="Times New Roman" w:hAnsi="Times New Roman" w:cs="Times New Roman"/>
        </w:rPr>
        <w:t xml:space="preserve">. Once the prey utilization density kernels were estimated, I randomly sampled </w:t>
      </w:r>
      <w:r>
        <w:rPr>
          <w:rFonts w:ascii="Times New Roman" w:hAnsi="Times New Roman" w:cs="Times New Roman"/>
        </w:rPr>
        <w:t xml:space="preserve">100 times </w:t>
      </w:r>
      <w:r w:rsidRPr="00260A57">
        <w:rPr>
          <w:rFonts w:ascii="Times New Roman" w:hAnsi="Times New Roman" w:cs="Times New Roman"/>
        </w:rPr>
        <w:t xml:space="preserve">each prey’s kernel to generate true distributions of isotopic values for each prey category, which were then used to simulate the expected isotopic signatures of </w:t>
      </w:r>
      <w:r>
        <w:rPr>
          <w:rFonts w:ascii="Times New Roman" w:hAnsi="Times New Roman" w:cs="Times New Roman"/>
        </w:rPr>
        <w:t xml:space="preserve">individual Brown Trout </w:t>
      </w:r>
      <w:r w:rsidRPr="00260A57">
        <w:rPr>
          <w:rFonts w:ascii="Times New Roman" w:hAnsi="Times New Roman" w:cs="Times New Roman"/>
        </w:rPr>
        <w:t xml:space="preserve">(as opposed to drawing isotopic values from a </w:t>
      </w:r>
      <w:r>
        <w:rPr>
          <w:rFonts w:ascii="Times New Roman" w:hAnsi="Times New Roman" w:cs="Times New Roman"/>
        </w:rPr>
        <w:t xml:space="preserve">standard </w:t>
      </w:r>
      <w:r w:rsidRPr="00260A57">
        <w:rPr>
          <w:rFonts w:ascii="Times New Roman" w:hAnsi="Times New Roman" w:cs="Times New Roman"/>
        </w:rPr>
        <w:t>normal distribution</w:t>
      </w:r>
      <w:r>
        <w:rPr>
          <w:rFonts w:ascii="Times New Roman" w:hAnsi="Times New Roman" w:cs="Times New Roman"/>
        </w:rPr>
        <w:t>)</w:t>
      </w:r>
      <w:r w:rsidRPr="00260A57">
        <w:rPr>
          <w:rFonts w:ascii="Times New Roman" w:hAnsi="Times New Roman" w:cs="Times New Roman"/>
        </w:rPr>
        <w:t xml:space="preserve">. </w:t>
      </w:r>
    </w:p>
    <w:p w14:paraId="13B6518B" w14:textId="77777777" w:rsidR="00D97851" w:rsidRPr="00260A57" w:rsidRDefault="00D97851" w:rsidP="00D97851">
      <w:pPr>
        <w:spacing w:after="160" w:line="360" w:lineRule="auto"/>
        <w:ind w:firstLine="720"/>
        <w:rPr>
          <w:rFonts w:ascii="Times New Roman" w:hAnsi="Times New Roman" w:cs="Times New Roman"/>
        </w:rPr>
      </w:pPr>
      <w:r w:rsidRPr="00260A57">
        <w:rPr>
          <w:rFonts w:ascii="Times New Roman" w:hAnsi="Times New Roman" w:cs="Times New Roman"/>
        </w:rPr>
        <w:t xml:space="preserve">To simulate Brown Trout dietary contributions and isotopic niches, I adapted </w:t>
      </w:r>
      <w:proofErr w:type="spellStart"/>
      <w:r w:rsidRPr="00260A57">
        <w:rPr>
          <w:rFonts w:ascii="Times New Roman" w:hAnsi="Times New Roman" w:cs="Times New Roman"/>
        </w:rPr>
        <w:t>Matlab</w:t>
      </w:r>
      <w:proofErr w:type="spellEnd"/>
      <w:r w:rsidRPr="00260A57">
        <w:rPr>
          <w:rFonts w:ascii="Times New Roman" w:hAnsi="Times New Roman" w:cs="Times New Roman"/>
        </w:rPr>
        <w:t xml:space="preserve"> code written to model the foraging behavior of a consumer across an isotopically heterogeneous landscape and the dietary contributions of different prey items to simulated predators </w:t>
      </w:r>
      <w:r w:rsidRPr="00260A57">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"10.1111/j.1600-0706.2010.18259.x", "ISBN" : "1600-0706", "ISSN" : "00301299", "abstract" : "Recently, it was proposed that stable isotope patterns can be used to quantify the width of the ecological niche of animals. However, the potential effects of habitat use on isotopic patterns of consumers have not been fully explored and consequently isotopic patterns may yield deceptive estimates of niche width. Here, we simulated four different scenarios of a consumer foraging across an isotopically heterogeneous landscape to test the combined effects of habitat and diet selection on the widths of the isotopic niche. We then modeled the actions of a na\u00efve researcher who randomly sampled consumers from the simulated populations, and used these results to assess the overlap and partitioning of the isotopic and the ecological niches when habitat-derived differences among isotope signatures are not considered. Our results suggest that populations of dietary specialists exhibited broader isotopic niches than populations composed of dietary generalists, and habitat generalists exhibited narrower isotopic niche widths compared with populations of individuals that foraged in specific habitats. The conversion of isotopic niches to ecological niches without knowledge of foraging behavior and habitat-derived isotopic differences transformed an informative \u03b4-space into \u2018a blurry p-space\u2019. Therefore, knowledge of habitat-derived differences in stable isotope values and understanding of habitat use and individual foraging behavior are critical for the correct quantification of the ecological niche.", "author" : [ { "dropping-particle" : "", "family" : "Flaherty", "given" : "Elizabeth A.", "non-dropping-particle" : "", "parse-names" : false, "suffix" : "" }, { "dropping-particle" : "", "family" : "Ben-David", "given" : "Merav", "non-dropping-particle" : "", "parse-names" : false, "suffix" : "" } ], "container-title" : "Oikos", "id" : "ITEM-1", "issue" : "9", "issued" : { "date-parts" : [ [ "2010" ] ] }, "page" : "1409-1416", "title" : "Overlap and partitioning of the ecological and isotopic niches", "type" : "article-journal", "volume" : "119" }, "uris" : [ "http://www.mendeley.com/documents/?uuid=379cd3ae-841d-4c90-8e85-9ce742b56cf4" ] }, { "id" : "ITEM-2", "itemData" : { "DOI" : "10.1073/pnas.43.3.293", "ISBN" : "00278424", "ISSN" : "0027-8424", "PMID" : "16590018", "author" : [ { "dropping-particle" : "", "family" : "MacArthur", "given" : "Robert H", "non-dropping-particle" : "", "parse-names" : false, "suffix" : "" } ], "container-title" : "Proceedings of the National Academy of Sciences", "id" : "ITEM-2", "issue" : "3", "issued" : { "date-parts" : [ [ "1957" ] ] }, "page" : "293-295", "title" : "On the relative abundance of bird species", "type" : "article-journal", "volume" : "43" }, "uris" : [ "http://www.mendeley.com/documents/?uuid=f356121d-4d6e-48e5-b66b-164094012761" ] } ], "mendeley" : { "formattedCitation" : "(MacArthur 1957, Flaherty and Ben-David 2010)", "plainTextFormattedCitation" : "(MacArthur 1957, Flaherty and Ben-David 2010)", "previouslyFormattedCitation" : "(MacArthur 1957, Flaherty and Ben-David 2010)" }, "properties" : {  }, "schema" : "https://github.com/citation-style-language/schema/raw/master/csl-citation.json" }</w:instrText>
      </w:r>
      <w:r w:rsidRPr="00260A57">
        <w:rPr>
          <w:rFonts w:ascii="Times New Roman" w:hAnsi="Times New Roman" w:cs="Times New Roman"/>
        </w:rPr>
        <w:fldChar w:fldCharType="separate"/>
      </w:r>
      <w:r w:rsidRPr="006C53D8">
        <w:rPr>
          <w:rFonts w:ascii="Times New Roman" w:hAnsi="Times New Roman" w:cs="Times New Roman"/>
          <w:noProof/>
        </w:rPr>
        <w:t>(MacArthur 1957, Flaherty and Ben-David 2010)</w:t>
      </w:r>
      <w:r w:rsidRPr="00260A57">
        <w:rPr>
          <w:rFonts w:ascii="Times New Roman" w:hAnsi="Times New Roman" w:cs="Times New Roman"/>
        </w:rPr>
        <w:fldChar w:fldCharType="end"/>
      </w:r>
      <w:r w:rsidRPr="00260A57">
        <w:rPr>
          <w:rFonts w:ascii="Times New Roman" w:hAnsi="Times New Roman" w:cs="Times New Roman"/>
        </w:rPr>
        <w:t>. Specifically, Model 4 (</w:t>
      </w:r>
      <w:r>
        <w:rPr>
          <w:rFonts w:ascii="Times New Roman" w:hAnsi="Times New Roman" w:cs="Times New Roman"/>
        </w:rPr>
        <w:t xml:space="preserve">a </w:t>
      </w:r>
      <w:r w:rsidRPr="00260A57">
        <w:rPr>
          <w:rFonts w:ascii="Times New Roman" w:hAnsi="Times New Roman" w:cs="Times New Roman"/>
        </w:rPr>
        <w:t xml:space="preserve">predator foraging in one habitat on multiple prey) was coded in </w:t>
      </w:r>
      <w:r>
        <w:rPr>
          <w:rFonts w:ascii="Times New Roman" w:hAnsi="Times New Roman" w:cs="Times New Roman"/>
        </w:rPr>
        <w:t>P</w:t>
      </w:r>
      <w:r w:rsidRPr="00260A57">
        <w:rPr>
          <w:rFonts w:ascii="Times New Roman" w:hAnsi="Times New Roman" w:cs="Times New Roman"/>
        </w:rPr>
        <w:t xml:space="preserve">rogram R, where </w:t>
      </w:r>
      <w:r w:rsidRPr="00260A57">
        <w:rPr>
          <w:rFonts w:ascii="Times New Roman" w:eastAsia="Times New Roman" w:hAnsi="Times New Roman" w:cs="Times New Roman"/>
        </w:rPr>
        <w:t>“Brown Trout” are randomly foraging on each of five prey types such that the predator consumes prey according to their real isotopic distributions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sensu</w:t>
      </w:r>
      <w:proofErr w:type="spellEnd"/>
      <w:r>
        <w:rPr>
          <w:rFonts w:ascii="Times New Roman" w:eastAsia="Times New Roman" w:hAnsi="Times New Roman" w:cs="Times New Roman"/>
          <w:i/>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 "citationItems" : [ { "id" : "ITEM-1", "itemData" : { "DOI" : "10.1073/pnas.43.3.293", "ISBN" : "00278424", "ISSN" : "0027-8424", "PMID" : "16590018", "author" : [ { "dropping-particle" : "", "family" : "MacArthur", "given" : "Robert H", "non-dropping-particle" : "", "parse-names" : false, "suffix" : "" } ], "container-title" : "Proceedings of the National Academy of Sciences", "id" : "ITEM-1", "issue" : "3", "issued" : { "date-parts" : [ [ "1957" ] ] }, "page" : "293-295", "title" : "On the relative abundance of bird species", "type" : "article-journal", "volume" : "43" }, "uris" : [ "http://www.mendeley.com/documents/?uuid=f356121d-4d6e-48e5-b66b-164094012761" ] } ], "mendeley" : { "formattedCitation" : "(MacArthur 1957)", "manualFormatting" : "MacArthur 1957)", "plainTextFormattedCitation" : "(MacArthur 1957)", "previouslyFormattedCitation" : "(MacArthur 1957)" }, "properties" : {  }, "schema" : "https://github.com/citation-style-language/schema/raw/master/csl-citation.json" }</w:instrText>
      </w:r>
      <w:r>
        <w:rPr>
          <w:rFonts w:ascii="Times New Roman" w:eastAsia="Times New Roman" w:hAnsi="Times New Roman" w:cs="Times New Roman"/>
        </w:rPr>
        <w:fldChar w:fldCharType="separate"/>
      </w:r>
      <w:r w:rsidRPr="00DC18E1">
        <w:rPr>
          <w:rFonts w:ascii="Times New Roman" w:eastAsia="Times New Roman" w:hAnsi="Times New Roman" w:cs="Times New Roman"/>
          <w:noProof/>
        </w:rPr>
        <w:t>MacArthur 1957)</w:t>
      </w:r>
      <w:r>
        <w:rPr>
          <w:rFonts w:ascii="Times New Roman" w:eastAsia="Times New Roman" w:hAnsi="Times New Roman" w:cs="Times New Roman"/>
        </w:rPr>
        <w:fldChar w:fldCharType="end"/>
      </w:r>
      <w:r w:rsidRPr="00260A57">
        <w:rPr>
          <w:rFonts w:ascii="Times New Roman" w:eastAsia="Times New Roman" w:hAnsi="Times New Roman" w:cs="Times New Roman"/>
        </w:rPr>
        <w:t xml:space="preserve">. </w:t>
      </w:r>
      <w:r w:rsidRPr="00260A57">
        <w:rPr>
          <w:rFonts w:ascii="Times New Roman" w:hAnsi="Times New Roman" w:cs="Times New Roman"/>
        </w:rPr>
        <w:t xml:space="preserve">This model (1) simulates the relative dietary proportions of the five prey items to 25 simulated Brown Trout individuals, and (2) estimates the </w:t>
      </w:r>
      <w:r w:rsidRPr="00260A57">
        <w:rPr>
          <w:rFonts w:ascii="Times New Roman" w:hAnsi="Times New Roman" w:cs="Times New Roman"/>
        </w:rPr>
        <w:lastRenderedPageBreak/>
        <w:t xml:space="preserve">expected isotopic signature of each Brown Trout given isotopic distributions estimated though </w:t>
      </w:r>
      <w:proofErr w:type="spellStart"/>
      <w:r w:rsidRPr="00260A57">
        <w:rPr>
          <w:rFonts w:ascii="Times New Roman" w:hAnsi="Times New Roman" w:cs="Times New Roman"/>
          <w:i/>
        </w:rPr>
        <w:t>rKIN</w:t>
      </w:r>
      <w:proofErr w:type="spellEnd"/>
      <w:r w:rsidRPr="00260A57">
        <w:rPr>
          <w:rFonts w:ascii="Times New Roman" w:hAnsi="Times New Roman" w:cs="Times New Roman"/>
          <w:i/>
        </w:rPr>
        <w:t xml:space="preserve"> </w:t>
      </w:r>
      <w:r>
        <w:rPr>
          <w:rFonts w:ascii="Times New Roman" w:hAnsi="Times New Roman" w:cs="Times New Roman"/>
        </w:rPr>
        <w:t>KUDs</w:t>
      </w:r>
      <w:r w:rsidRPr="00260A57">
        <w:rPr>
          <w:rFonts w:ascii="Times New Roman" w:hAnsi="Times New Roman" w:cs="Times New Roman"/>
        </w:rPr>
        <w:t>. The simulated predator population’</w:t>
      </w:r>
      <w:r>
        <w:rPr>
          <w:rFonts w:ascii="Times New Roman" w:hAnsi="Times New Roman" w:cs="Times New Roman"/>
        </w:rPr>
        <w:t>s</w:t>
      </w:r>
      <w:r w:rsidRPr="00260A57">
        <w:rPr>
          <w:rFonts w:ascii="Times New Roman" w:hAnsi="Times New Roman" w:cs="Times New Roman"/>
        </w:rPr>
        <w:t xml:space="preserve"> isotopic niche </w:t>
      </w:r>
      <w:r>
        <w:rPr>
          <w:rFonts w:ascii="Times New Roman" w:hAnsi="Times New Roman" w:cs="Times New Roman"/>
        </w:rPr>
        <w:t>was then</w:t>
      </w:r>
      <w:r w:rsidRPr="00260A57">
        <w:rPr>
          <w:rFonts w:ascii="Times New Roman" w:hAnsi="Times New Roman" w:cs="Times New Roman"/>
        </w:rPr>
        <w:t xml:space="preserve"> visually compared to the observed predator</w:t>
      </w:r>
      <w:r>
        <w:rPr>
          <w:rFonts w:ascii="Times New Roman" w:hAnsi="Times New Roman" w:cs="Times New Roman"/>
        </w:rPr>
        <w:t xml:space="preserve"> population’s</w:t>
      </w:r>
      <w:r w:rsidRPr="00260A57">
        <w:rPr>
          <w:rFonts w:ascii="Times New Roman" w:hAnsi="Times New Roman" w:cs="Times New Roman"/>
        </w:rPr>
        <w:t xml:space="preserve"> isoto</w:t>
      </w:r>
      <w:r>
        <w:rPr>
          <w:rFonts w:ascii="Times New Roman" w:hAnsi="Times New Roman" w:cs="Times New Roman"/>
        </w:rPr>
        <w:t>pic niche</w:t>
      </w:r>
      <w:r w:rsidRPr="00260A57">
        <w:rPr>
          <w:rFonts w:ascii="Times New Roman" w:hAnsi="Times New Roman" w:cs="Times New Roman"/>
        </w:rPr>
        <w:t xml:space="preserve"> (Fig. 6). This </w:t>
      </w:r>
      <w:r>
        <w:rPr>
          <w:rFonts w:ascii="Times New Roman" w:hAnsi="Times New Roman" w:cs="Times New Roman"/>
        </w:rPr>
        <w:t>P</w:t>
      </w:r>
      <w:r w:rsidRPr="00260A57">
        <w:rPr>
          <w:rFonts w:ascii="Times New Roman" w:hAnsi="Times New Roman" w:cs="Times New Roman"/>
        </w:rPr>
        <w:t xml:space="preserve">redictive </w:t>
      </w:r>
      <w:proofErr w:type="spellStart"/>
      <w:r>
        <w:rPr>
          <w:rFonts w:ascii="Times New Roman" w:hAnsi="Times New Roman" w:cs="Times New Roman"/>
        </w:rPr>
        <w:t>I</w:t>
      </w:r>
      <w:r w:rsidRPr="00260A57">
        <w:rPr>
          <w:rFonts w:ascii="Times New Roman" w:hAnsi="Times New Roman" w:cs="Times New Roman"/>
        </w:rPr>
        <w:t>soscape</w:t>
      </w:r>
      <w:proofErr w:type="spellEnd"/>
      <w:r w:rsidRPr="00260A57">
        <w:rPr>
          <w:rFonts w:ascii="Times New Roman" w:hAnsi="Times New Roman" w:cs="Times New Roman"/>
        </w:rPr>
        <w:t xml:space="preserve"> </w:t>
      </w:r>
      <w:r>
        <w:rPr>
          <w:rFonts w:ascii="Times New Roman" w:hAnsi="Times New Roman" w:cs="Times New Roman"/>
        </w:rPr>
        <w:t>A</w:t>
      </w:r>
      <w:r w:rsidRPr="00260A57">
        <w:rPr>
          <w:rFonts w:ascii="Times New Roman" w:hAnsi="Times New Roman" w:cs="Times New Roman"/>
        </w:rPr>
        <w:t xml:space="preserve">nalysis indicated that crayfish and “minnows” were the greatest contributor to </w:t>
      </w:r>
      <w:r>
        <w:rPr>
          <w:rFonts w:ascii="Times New Roman" w:hAnsi="Times New Roman" w:cs="Times New Roman"/>
        </w:rPr>
        <w:t xml:space="preserve">Brown Trout </w:t>
      </w:r>
      <w:r w:rsidRPr="00260A57">
        <w:rPr>
          <w:rFonts w:ascii="Times New Roman" w:hAnsi="Times New Roman" w:cs="Times New Roman"/>
        </w:rPr>
        <w:t xml:space="preserve">diets, but mayflies and caddisflies also contributed small portions (Table 1). </w:t>
      </w:r>
    </w:p>
    <w:p w14:paraId="5462EAEE" w14:textId="77777777" w:rsidR="00D97851" w:rsidRPr="00260A57" w:rsidRDefault="00D97851" w:rsidP="00D97851">
      <w:pPr>
        <w:spacing w:after="160" w:line="360" w:lineRule="auto"/>
        <w:ind w:firstLine="720"/>
        <w:rPr>
          <w:rFonts w:ascii="Times New Roman" w:hAnsi="Times New Roman" w:cs="Times New Roman"/>
        </w:rPr>
      </w:pPr>
      <w:r w:rsidRPr="00260A57">
        <w:rPr>
          <w:rFonts w:ascii="Times New Roman" w:hAnsi="Times New Roman" w:cs="Times New Roman"/>
        </w:rPr>
        <w:t xml:space="preserve">The Bayesian mixing model analysis was implemented in Program R with the </w:t>
      </w:r>
      <w:proofErr w:type="spellStart"/>
      <w:r w:rsidRPr="00260A57">
        <w:rPr>
          <w:rFonts w:ascii="Times New Roman" w:hAnsi="Times New Roman" w:cs="Times New Roman"/>
        </w:rPr>
        <w:t>MixSIAR</w:t>
      </w:r>
      <w:proofErr w:type="spellEnd"/>
      <w:r w:rsidRPr="00260A57">
        <w:rPr>
          <w:rFonts w:ascii="Times New Roman" w:hAnsi="Times New Roman" w:cs="Times New Roman"/>
        </w:rPr>
        <w:t xml:space="preserve"> package </w:t>
      </w:r>
      <w:r w:rsidRPr="00260A57">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"Stock", "given" : "Brian C.", "non-dropping-particle" : "", "parse-names" : false, "suffix" : "" }, { "dropping-particle" : "", "family" : "Semmens", "given" : "Brice X.", "non-dropping-particle" : "", "parse-names" : false, "suffix" : "" } ], "id" : "ITEM-1", "issued" : { "date-parts" : [ [ "2016" ] ] }, "number" : "3.1", "title" : "MixSIAR GUI User Manual", "type" : "article" }, "uris" : [ "http://www.mendeley.com/documents/?uuid=19798f8e-38f1-45a0-bb48-f4a1a21f42db" ] } ], "mendeley" : { "formattedCitation" : "(Stock and Semmens 2016b)", "plainTextFormattedCitation" : "(Stock and Semmens 2016b)", "previouslyFormattedCitation" : "(Stock and Semmens 2016b)"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(Stock and Semmens 2016b)</w:t>
      </w:r>
      <w:r w:rsidRPr="00260A57">
        <w:rPr>
          <w:rFonts w:ascii="Times New Roman" w:hAnsi="Times New Roman" w:cs="Times New Roman"/>
        </w:rPr>
        <w:fldChar w:fldCharType="end"/>
      </w:r>
      <w:r w:rsidRPr="00260A57">
        <w:rPr>
          <w:rFonts w:ascii="Times New Roman" w:hAnsi="Times New Roman" w:cs="Times New Roman"/>
        </w:rPr>
        <w:t xml:space="preserve">. Wholly uninformative priors were used, as well </w:t>
      </w:r>
      <w:r>
        <w:rPr>
          <w:rFonts w:ascii="Times New Roman" w:hAnsi="Times New Roman" w:cs="Times New Roman"/>
        </w:rPr>
        <w:t>as</w:t>
      </w:r>
      <w:r w:rsidRPr="00260A57">
        <w:rPr>
          <w:rFonts w:ascii="Times New Roman" w:hAnsi="Times New Roman" w:cs="Times New Roman"/>
        </w:rPr>
        <w:t xml:space="preserve"> TDFs of 1.5 ‰ and 3.4 ‰ (</w:t>
      </w:r>
      <w:r>
        <w:rPr>
          <w:rFonts w:ascii="Times New Roman" w:hAnsi="Times New Roman" w:cs="Times New Roman"/>
        </w:rPr>
        <w:t xml:space="preserve">for </w:t>
      </w:r>
      <w:r w:rsidRPr="00260A57">
        <w:rPr>
          <w:rFonts w:ascii="Times New Roman" w:hAnsi="Times New Roman" w:cs="Times New Roman"/>
          <w:lang w:val="el-GR"/>
        </w:rPr>
        <w:t>δ</w:t>
      </w:r>
      <w:r w:rsidRPr="00260A57">
        <w:rPr>
          <w:rFonts w:ascii="Times New Roman" w:hAnsi="Times New Roman" w:cs="Times New Roman"/>
          <w:vertAlign w:val="superscript"/>
        </w:rPr>
        <w:t>13</w:t>
      </w:r>
      <w:r w:rsidRPr="00260A57">
        <w:rPr>
          <w:rFonts w:ascii="Times New Roman" w:hAnsi="Times New Roman" w:cs="Times New Roman"/>
        </w:rPr>
        <w:t>C</w:t>
      </w:r>
      <w:r w:rsidRPr="00CB69C8">
        <w:rPr>
          <w:rFonts w:ascii="Times New Roman" w:hAnsi="Times New Roman" w:cs="Times New Roman"/>
        </w:rPr>
        <w:t xml:space="preserve"> </w:t>
      </w:r>
      <w:r>
        <w:rPr>
          <w:rFonts w:ascii="Times New Roman" w:hAnsi="Times New Roman" w:cs="Times New Roman"/>
        </w:rPr>
        <w:t xml:space="preserve">and </w:t>
      </w:r>
      <w:r w:rsidRPr="00260A57">
        <w:rPr>
          <w:rFonts w:ascii="Times New Roman" w:hAnsi="Times New Roman" w:cs="Times New Roman"/>
          <w:lang w:val="el-GR"/>
        </w:rPr>
        <w:t>δ</w:t>
      </w:r>
      <w:r w:rsidRPr="00260A57">
        <w:rPr>
          <w:rFonts w:ascii="Times New Roman" w:hAnsi="Times New Roman" w:cs="Times New Roman"/>
          <w:vertAlign w:val="superscript"/>
        </w:rPr>
        <w:t>15</w:t>
      </w:r>
      <w:r w:rsidRPr="00260A57">
        <w:rPr>
          <w:rFonts w:ascii="Times New Roman" w:hAnsi="Times New Roman" w:cs="Times New Roman"/>
        </w:rPr>
        <w:t>N</w:t>
      </w:r>
      <w:r>
        <w:rPr>
          <w:rFonts w:ascii="Times New Roman" w:hAnsi="Times New Roman" w:cs="Times New Roman"/>
        </w:rPr>
        <w:t>, respectively</w:t>
      </w:r>
      <w:r w:rsidRPr="00260A57">
        <w:rPr>
          <w:rFonts w:ascii="Times New Roman" w:hAnsi="Times New Roman" w:cs="Times New Roman"/>
        </w:rPr>
        <w:t xml:space="preserve">). The TDFs chosen are commonly cited </w:t>
      </w:r>
      <w:r>
        <w:rPr>
          <w:rFonts w:ascii="Times New Roman" w:hAnsi="Times New Roman" w:cs="Times New Roman"/>
        </w:rPr>
        <w:t xml:space="preserve">TDF </w:t>
      </w:r>
      <w:r w:rsidRPr="00260A57">
        <w:rPr>
          <w:rFonts w:ascii="Times New Roman" w:hAnsi="Times New Roman" w:cs="Times New Roman"/>
        </w:rPr>
        <w:t xml:space="preserve">values for freshwater fish </w:t>
      </w:r>
      <w:r>
        <w:rPr>
          <w:rFonts w:ascii="Times New Roman" w:hAnsi="Times New Roman" w:cs="Times New Roman"/>
        </w:rPr>
        <w:t xml:space="preserve">from the </w:t>
      </w:r>
      <w:r w:rsidRPr="00260A57">
        <w:rPr>
          <w:rFonts w:ascii="Times New Roman" w:hAnsi="Times New Roman" w:cs="Times New Roman"/>
        </w:rPr>
        <w:t xml:space="preserve">literature </w:t>
      </w:r>
      <w:r w:rsidRPr="00260A57">
        <w:rPr>
          <w:rFonts w:ascii="Times New Roman" w:hAnsi="Times New Roman" w:cs="Times New Roman"/>
        </w:rPr>
        <w:fldChar w:fldCharType="begin" w:fldLock="1"/>
      </w:r>
      <w:r>
        <w:rPr>
          <w:rFonts w:ascii="Times New Roman" w:hAnsi="Times New Roman" w:cs="Times New Roman"/>
        </w:rPr>
        <w:instrText>ADDIN CSL_CITATION { "citationItems" : [ { "id" : "ITEM-1", "itemData" : { "ISBN" : "0016-7037", "author" : [ { "dropping-particle" : "", "family" : "DeNiro", "given" : "Michael J", "non-dropping-particle" : "", "parse-names" : false, "suffix" : "" }, { "dropping-particle" : "", "family" : "Epstein", "given" : "Samuel", "non-dropping-particle" : "", "parse-names" : false, "suffix" : "" } ], "container-title" : "Geochimica et cosmochimica acta", "id" : "ITEM-1", "issue" : "3", "issued" : { "date-parts" : [ [ "1981" ] ] }, "page" : "341-351", "title" : "Influence of diet on the distribution of nitrogen isotopes in animals", "type" : "article-journal", "volume" : "45" }, "uris" : [ "http://www.mendeley.com/documents/?uuid=e54df1b3-a33b-45cc-8806-fd916d26cb6c" ] }, { "id" : "ITEM-2", "itemData" : { "DOI" : "10.1016/0016-7037(84)90204-7", "ISBN" : "0016-7037", "ISSN" : "00167037", "PMID" : "12", "abstract" : "The isotopic composition of nitrogen was measured in marine and fresh-water animals from the East China Sea, The Bering Sea, Lake Ashinoko and Usujiri intertidal zone. Primary producers, showed average ??15N versus atmospheric nitrogen of +5.0%. (+3.4 to +7.5) in the Bering Sea and Lake Ashinoko, and +6.8%. (+6.0 to +7.6) in Usujiri intertidal zone. Blue green algae from the East China Sea show an average -0.55%. (-0.8 to +1.2). All consumers, Zooplankton, fish and bird exhibited Stepwise enrichment of 15N with increasing trophic level. The 15N enrichment at a single feeding process ranged from +1.3 to +5.3 averaging +3.4 ?? 1.1%.. This isotopic fractionation seems to be independent of habitat. The effect of age in animals was obtained by analyzing two marine mussels. The soft tissue nitrogen showed +2.0%. enrichment relative to that of primary producers, and the magnitude was almost constant with shell ages ranging from 0 to 8 years. A similar 15N enrichment occurs in all Molluscs, Crustaceans, Insecta, Amphibia, Fish, Ave and Mammal species regardless of the difference in the form of excreted nitrogen and in laboratory cultured fish, brine shrimp and mice (+2.9 to +4.9%.). The excreted ammonia from guppy was sufficiently light to balance the concentration of 15N to animal body. ?? 1984.", "author" : [ { "dropping-particle" : "", "family" : "Minagawa", "given" : "Masao", "non-dropping-particle" : "", "parse-names" : false, "suffix" : "" }, { "dropping-particle" : "", "family" : "Wada", "given" : "Eitaro", "non-dropping-particle" : "", "parse-names" : false, "suffix" : "" } ], "container-title" : "Geochimica et Cosmochimica Acta", "id" : "ITEM-2", "issue" : "5", "issued" : { "date-parts" : [ [ "1984" ] ] }, "page" : "1135-1140", "title" : "Stepwise enrichment of 15N along food chains: Further evidence and the relation between \u03b415N and animal age", "type" : "article-journal", "volume" : "48" }, "uris" : [ "http://www.mendeley.com/documents/?uuid=48c2aee3-6500-4943-a9a1-c20f185c3dcf" ] }, { "id" : "ITEM-3", "itemData" : { "DOI" : "Doi 10.2307/3071875", "ISBN" : "0012-9658", "ISSN" : "0012-9658", "PMID" : "2272947", "abstract" : "Department of Ecology and Evolutionary Biology, Corson Hall, Cornell University, Ithaca, New York 14853 USA. Institute for Ecosystem Studies, Box AB, Millbrook, New York 12545 USA The stable isotopes of nitrogen (\u03b415N) and carbon (\u03b413C)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\u03b415N and \u03b413C of the base of aquatic food webs varies both among lakes and between the littoral and pelagic food webs within lakes. Using data from the literature, I show that the mean trophic fractionation of \u03b415N is 3.4\u2030 (1 sd = 1\u2030) and of \u03b413C is 0.4\u2030 (1 sd = 1.3\u2030), and that both, even though variable, are widely applicable. A sensitivity analysis reveals that estimates of trophic position are very sensitive to assumptions about the trophic fractionation of \u03b415N, moderately sensitive to different methods for generating an isotopic baseline, and not sensitive to assumptions about the trophic fractionation of \u03b413C when \u03b413C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 Keywords: \u03b413C, \u03b415N, isotopic baseline, lake food webs, long-lived consumers, stable isotopes, trophic fractionation, trophic position", "author" : [ { "dropping-particle" : "", "family" : "Post", "given" : "David M.", "non-dropping-particle" : "", "parse-names" : false, "suffix" : "" } ], "container-title" : "Ecology", "id" : "ITEM-3", "issue" : "3", "issued" : { "date-parts" : [ [ "2002" ] ] }, "page" : "703-718", "title" : "Using stable isotopes to estimate trophic position: models, methods, and assumptions", "type" : "article-journal", "volume" : "83" }, "uris" : [ "http://www.mendeley.com/documents/?uuid=bc602552-2642-4a0e-ac3f-d53f33f86f3f" ] } ], "mendeley" : { "formattedCitation" : "(DeNiro and Epstein 1981, Minagawa and Wada 1984, Post 2002)", "plainTextFormattedCitation" : "(DeNiro and Epstein 1981, Minagawa and Wada 1984, Post 2002)", "previouslyFormattedCitation" : "(DeNiro and Epstein 1981, Minagawa and Wada 1984, Post 2002)" }, "properties" : {  }, "schema" : "https://github.com/citation-style-language/schema/raw/master/csl-citation.json" }</w:instrText>
      </w:r>
      <w:r w:rsidRPr="00260A57">
        <w:rPr>
          <w:rFonts w:ascii="Times New Roman" w:hAnsi="Times New Roman" w:cs="Times New Roman"/>
        </w:rPr>
        <w:fldChar w:fldCharType="separate"/>
      </w:r>
      <w:r w:rsidRPr="00260A57">
        <w:rPr>
          <w:rFonts w:ascii="Times New Roman" w:hAnsi="Times New Roman" w:cs="Times New Roman"/>
          <w:noProof/>
        </w:rPr>
        <w:t>(DeNiro and Epstein 1981, Minagawa and Wada 1984, Post 2002)</w:t>
      </w:r>
      <w:r w:rsidRPr="00260A57">
        <w:rPr>
          <w:rFonts w:ascii="Times New Roman" w:hAnsi="Times New Roman" w:cs="Times New Roman"/>
        </w:rPr>
        <w:fldChar w:fldCharType="end"/>
      </w:r>
      <w:r w:rsidRPr="00260A57">
        <w:rPr>
          <w:rFonts w:ascii="Times New Roman" w:hAnsi="Times New Roman" w:cs="Times New Roman"/>
        </w:rPr>
        <w:t xml:space="preserve"> but note </w:t>
      </w:r>
      <w:r>
        <w:rPr>
          <w:rFonts w:ascii="Times New Roman" w:hAnsi="Times New Roman" w:cs="Times New Roman"/>
        </w:rPr>
        <w:t xml:space="preserve">here </w:t>
      </w:r>
      <w:r w:rsidRPr="00260A57">
        <w:rPr>
          <w:rFonts w:ascii="Times New Roman" w:hAnsi="Times New Roman" w:cs="Times New Roman"/>
        </w:rPr>
        <w:t xml:space="preserve">that they are likely erroneous. MCMC </w:t>
      </w:r>
      <w:r>
        <w:rPr>
          <w:rFonts w:ascii="Times New Roman" w:hAnsi="Times New Roman" w:cs="Times New Roman"/>
        </w:rPr>
        <w:t xml:space="preserve">sampling </w:t>
      </w:r>
      <w:r w:rsidRPr="00260A57">
        <w:rPr>
          <w:rFonts w:ascii="Times New Roman" w:hAnsi="Times New Roman" w:cs="Times New Roman"/>
        </w:rPr>
        <w:t>parameters included 3 chains of length 10,000 with a burn-in of 5,000. Model diagnostics suggested chains were fully converged. Posterior distributions were diffuse with most 95% credible intervals as large as 0.4 (</w:t>
      </w:r>
      <w:r>
        <w:rPr>
          <w:rFonts w:ascii="Times New Roman" w:hAnsi="Times New Roman" w:cs="Times New Roman"/>
        </w:rPr>
        <w:t xml:space="preserve">Table 1, </w:t>
      </w:r>
      <w:r w:rsidRPr="00260A57">
        <w:rPr>
          <w:rFonts w:ascii="Times New Roman" w:hAnsi="Times New Roman" w:cs="Times New Roman"/>
        </w:rPr>
        <w:t>Fig. 7). Bayesian mixing models indicated that crayfish and “minnows” dominated Brown Trout diet</w:t>
      </w:r>
      <w:r>
        <w:rPr>
          <w:rFonts w:ascii="Times New Roman" w:hAnsi="Times New Roman" w:cs="Times New Roman"/>
        </w:rPr>
        <w:t>s</w:t>
      </w:r>
      <w:r w:rsidRPr="00260A57">
        <w:rPr>
          <w:rFonts w:ascii="Times New Roman" w:hAnsi="Times New Roman" w:cs="Times New Roman"/>
        </w:rPr>
        <w:t xml:space="preserve">, with negligible contributions </w:t>
      </w:r>
      <w:r>
        <w:rPr>
          <w:rFonts w:ascii="Times New Roman" w:hAnsi="Times New Roman" w:cs="Times New Roman"/>
        </w:rPr>
        <w:t xml:space="preserve">from </w:t>
      </w:r>
      <w:r w:rsidRPr="00260A57">
        <w:rPr>
          <w:rFonts w:ascii="Times New Roman" w:hAnsi="Times New Roman" w:cs="Times New Roman"/>
        </w:rPr>
        <w:t xml:space="preserve">other prey types (Table 1). </w:t>
      </w:r>
    </w:p>
    <w:p w14:paraId="71DB9775" w14:textId="77777777" w:rsidR="00D97851" w:rsidRPr="00260A57" w:rsidRDefault="00D97851" w:rsidP="00D97851">
      <w:pPr>
        <w:spacing w:after="160" w:line="360" w:lineRule="auto"/>
        <w:ind w:firstLine="720"/>
        <w:rPr>
          <w:rFonts w:ascii="Times New Roman" w:eastAsia="Times New Roman" w:hAnsi="Times New Roman" w:cs="Times New Roman"/>
        </w:rPr>
      </w:pPr>
      <w:r w:rsidRPr="00260A57">
        <w:rPr>
          <w:rFonts w:ascii="Times New Roman" w:eastAsia="Times New Roman" w:hAnsi="Times New Roman" w:cs="Times New Roman"/>
        </w:rPr>
        <w:t xml:space="preserve">Point estimates of dietary proportions from the </w:t>
      </w:r>
      <w:r>
        <w:rPr>
          <w:rFonts w:ascii="Times New Roman" w:eastAsia="Times New Roman" w:hAnsi="Times New Roman" w:cs="Times New Roman"/>
        </w:rPr>
        <w:t>P</w:t>
      </w:r>
      <w:r w:rsidRPr="00260A57">
        <w:rPr>
          <w:rFonts w:ascii="Times New Roman" w:eastAsia="Times New Roman" w:hAnsi="Times New Roman" w:cs="Times New Roman"/>
        </w:rPr>
        <w:t xml:space="preserve">redictive </w:t>
      </w:r>
      <w:proofErr w:type="spellStart"/>
      <w:r>
        <w:rPr>
          <w:rFonts w:ascii="Times New Roman" w:eastAsia="Times New Roman" w:hAnsi="Times New Roman" w:cs="Times New Roman"/>
        </w:rPr>
        <w:t>I</w:t>
      </w:r>
      <w:r w:rsidRPr="00260A57">
        <w:rPr>
          <w:rFonts w:ascii="Times New Roman" w:eastAsia="Times New Roman" w:hAnsi="Times New Roman" w:cs="Times New Roman"/>
        </w:rPr>
        <w:t>soscape</w:t>
      </w:r>
      <w:proofErr w:type="spellEnd"/>
      <w:r w:rsidRPr="00260A57">
        <w:rPr>
          <w:rFonts w:ascii="Times New Roman" w:eastAsia="Times New Roman" w:hAnsi="Times New Roman" w:cs="Times New Roman"/>
        </w:rPr>
        <w:t xml:space="preserve"> </w:t>
      </w:r>
      <w:r>
        <w:rPr>
          <w:rFonts w:ascii="Times New Roman" w:eastAsia="Times New Roman" w:hAnsi="Times New Roman" w:cs="Times New Roman"/>
        </w:rPr>
        <w:t>A</w:t>
      </w:r>
      <w:r w:rsidRPr="00260A57">
        <w:rPr>
          <w:rFonts w:ascii="Times New Roman" w:eastAsia="Times New Roman" w:hAnsi="Times New Roman" w:cs="Times New Roman"/>
        </w:rPr>
        <w:t xml:space="preserve">nalysis (PIA) were </w:t>
      </w:r>
      <w:proofErr w:type="gramStart"/>
      <w:r w:rsidRPr="00260A57">
        <w:rPr>
          <w:rFonts w:ascii="Times New Roman" w:eastAsia="Times New Roman" w:hAnsi="Times New Roman" w:cs="Times New Roman"/>
        </w:rPr>
        <w:t>similar to</w:t>
      </w:r>
      <w:proofErr w:type="gramEnd"/>
      <w:r w:rsidRPr="00260A57">
        <w:rPr>
          <w:rFonts w:ascii="Times New Roman" w:eastAsia="Times New Roman" w:hAnsi="Times New Roman" w:cs="Times New Roman"/>
        </w:rPr>
        <w:t xml:space="preserve"> those produced using the uninformed Bayesian mixing model. Both indicated that crayfish and “minnows” dominated Brown Trout diets, however the PIA produced higher proportional estimates of the remaining prey categories than </w:t>
      </w:r>
      <w:r>
        <w:rPr>
          <w:rFonts w:ascii="Times New Roman" w:eastAsia="Times New Roman" w:hAnsi="Times New Roman" w:cs="Times New Roman"/>
        </w:rPr>
        <w:t xml:space="preserve">did </w:t>
      </w:r>
      <w:proofErr w:type="spellStart"/>
      <w:r w:rsidRPr="00260A57">
        <w:rPr>
          <w:rFonts w:ascii="Times New Roman" w:eastAsia="Times New Roman" w:hAnsi="Times New Roman" w:cs="Times New Roman"/>
        </w:rPr>
        <w:t>MixSIAR</w:t>
      </w:r>
      <w:proofErr w:type="spellEnd"/>
      <w:r w:rsidRPr="00260A57">
        <w:rPr>
          <w:rFonts w:ascii="Times New Roman" w:eastAsia="Times New Roman" w:hAnsi="Times New Roman" w:cs="Times New Roman"/>
        </w:rPr>
        <w:t xml:space="preserve">, which effectively indicated a negligible contribution of benthic macroinvertebrates to diet.  </w:t>
      </w:r>
      <w:r>
        <w:rPr>
          <w:rFonts w:ascii="Times New Roman" w:eastAsia="Times New Roman" w:hAnsi="Times New Roman" w:cs="Times New Roman"/>
        </w:rPr>
        <w:t>N</w:t>
      </w:r>
      <w:r w:rsidRPr="00260A57">
        <w:rPr>
          <w:rFonts w:ascii="Times New Roman" w:eastAsia="Times New Roman" w:hAnsi="Times New Roman" w:cs="Times New Roman"/>
        </w:rPr>
        <w:t xml:space="preserve">ot surprisingly, both methods indicated a high degree of variability around point estimates, perhaps due to small sample sizes in some prey groups. In reality, Brown Trout likely rely heavily on crayfish, but also to a lesser extent on small fish, benthic macroinvertebrates, and anurans </w:t>
      </w:r>
      <w:r w:rsidRPr="00260A57">
        <w:rPr>
          <w:rFonts w:ascii="Times New Roman" w:eastAsia="Times New Roman" w:hAnsi="Times New Roman" w:cs="Times New Roman"/>
        </w:rPr>
        <w:fldChar w:fldCharType="begin" w:fldLock="1"/>
      </w:r>
      <w:r w:rsidRPr="00260A57">
        <w:rPr>
          <w:rFonts w:ascii="Times New Roman" w:eastAsia="Times New Roman" w:hAnsi="Times New Roman" w:cs="Times New Roman"/>
        </w:rPr>
        <w:instrText>ADDIN CSL_CITATION { "citationItems" : [ { "id" : "ITEM-1", "itemData" : { "author" : [ { "dropping-particle" : "", "family" : "Dugan", "given" : "Jessica", "non-dropping-particle" : "", "parse-names" : false, "suffix" : "" } ], "id" : "ITEM-1", "issued" : { "date-parts" : [ [ "2015" ] ] }, "number-of-pages" : "108", "publisher" : "University of Wyoming", "title" : "Influence of added habitat structures on the ecology of fishes in the Laramie River", "type" : "thesis" }, "uris" : [ "http://www.mendeley.com/documents/?uuid=e66bd361-1576-471e-b824-d12768293e6a" ] } ], "mendeley" : { "formattedCitation" : "(Dugan 2015)", "plainTextFormattedCitation" : "(Dugan 2015)", "previouslyFormattedCitation" : "(Dugan 2015)" }, "properties" : {  }, "schema" : "https://github.com/citation-style-language/schema/raw/master/csl-citation.json" }</w:instrText>
      </w:r>
      <w:r w:rsidRPr="00260A57">
        <w:rPr>
          <w:rFonts w:ascii="Times New Roman" w:eastAsia="Times New Roman" w:hAnsi="Times New Roman" w:cs="Times New Roman"/>
        </w:rPr>
        <w:fldChar w:fldCharType="separate"/>
      </w:r>
      <w:r w:rsidRPr="00260A57">
        <w:rPr>
          <w:rFonts w:ascii="Times New Roman" w:eastAsia="Times New Roman" w:hAnsi="Times New Roman" w:cs="Times New Roman"/>
          <w:noProof/>
        </w:rPr>
        <w:t>(Dugan 2015)</w:t>
      </w:r>
      <w:r w:rsidRPr="00260A57">
        <w:rPr>
          <w:rFonts w:ascii="Times New Roman" w:eastAsia="Times New Roman" w:hAnsi="Times New Roman" w:cs="Times New Roman"/>
        </w:rPr>
        <w:fldChar w:fldCharType="end"/>
      </w:r>
      <w:r w:rsidRPr="00260A57">
        <w:rPr>
          <w:rFonts w:ascii="Times New Roman" w:eastAsia="Times New Roman" w:hAnsi="Times New Roman" w:cs="Times New Roman"/>
        </w:rPr>
        <w:t xml:space="preserve">. Thus, solely using a traditional mixing model would lead to the interpretation that benthic macroinvertebrates are not important to Brown Trout diets, whereas the PIA suggested a more realistic dietary breakdown among the different prey types. </w:t>
      </w:r>
    </w:p>
    <w:p w14:paraId="104E4C08" w14:textId="77777777" w:rsidR="00D97851" w:rsidRPr="00260A57" w:rsidRDefault="00D97851" w:rsidP="00D97851">
      <w:pPr>
        <w:spacing w:after="160" w:line="360" w:lineRule="auto"/>
        <w:ind w:firstLine="720"/>
        <w:rPr>
          <w:rFonts w:ascii="Times New Roman" w:eastAsia="Times New Roman" w:hAnsi="Times New Roman" w:cs="Times New Roman"/>
        </w:rPr>
      </w:pPr>
      <w:r w:rsidRPr="00260A57">
        <w:rPr>
          <w:rFonts w:ascii="Times New Roman" w:eastAsia="Times New Roman" w:hAnsi="Times New Roman" w:cs="Times New Roman"/>
        </w:rPr>
        <w:t xml:space="preserve">Importantly, each method employed very different approaches to the problem of investigating </w:t>
      </w:r>
      <w:r>
        <w:rPr>
          <w:rFonts w:ascii="Times New Roman" w:eastAsia="Times New Roman" w:hAnsi="Times New Roman" w:cs="Times New Roman"/>
        </w:rPr>
        <w:t xml:space="preserve">consumer </w:t>
      </w:r>
      <w:r w:rsidRPr="00260A57">
        <w:rPr>
          <w:rFonts w:ascii="Times New Roman" w:eastAsia="Times New Roman" w:hAnsi="Times New Roman" w:cs="Times New Roman"/>
        </w:rPr>
        <w:t xml:space="preserve">trophic ecology; one </w:t>
      </w:r>
      <w:proofErr w:type="spellStart"/>
      <w:r w:rsidRPr="00260A57">
        <w:rPr>
          <w:rFonts w:ascii="Times New Roman" w:eastAsia="Times New Roman" w:hAnsi="Times New Roman" w:cs="Times New Roman"/>
        </w:rPr>
        <w:t>an</w:t>
      </w:r>
      <w:proofErr w:type="spellEnd"/>
      <w:r w:rsidRPr="00260A57">
        <w:rPr>
          <w:rFonts w:ascii="Times New Roman" w:eastAsia="Times New Roman" w:hAnsi="Times New Roman" w:cs="Times New Roman"/>
        </w:rPr>
        <w:t xml:space="preserve"> </w:t>
      </w:r>
      <w:r w:rsidRPr="00260A57">
        <w:rPr>
          <w:rFonts w:ascii="Times New Roman" w:eastAsia="Times New Roman" w:hAnsi="Times New Roman" w:cs="Times New Roman"/>
          <w:i/>
        </w:rPr>
        <w:t>a priori</w:t>
      </w:r>
      <w:r w:rsidRPr="00260A57">
        <w:rPr>
          <w:rFonts w:ascii="Times New Roman" w:eastAsia="Times New Roman" w:hAnsi="Times New Roman" w:cs="Times New Roman"/>
        </w:rPr>
        <w:t xml:space="preserve"> framework in which predictions are made about the isotopic/ecological niche of consumer species and then compared to observed data, while the other operates in an </w:t>
      </w:r>
      <w:r w:rsidRPr="00260A57">
        <w:rPr>
          <w:rFonts w:ascii="Times New Roman" w:eastAsia="Times New Roman" w:hAnsi="Times New Roman" w:cs="Times New Roman"/>
          <w:i/>
        </w:rPr>
        <w:t>a posteriori</w:t>
      </w:r>
      <w:r w:rsidRPr="00260A57">
        <w:rPr>
          <w:rFonts w:ascii="Times New Roman" w:eastAsia="Times New Roman" w:hAnsi="Times New Roman" w:cs="Times New Roman"/>
        </w:rPr>
        <w:t xml:space="preserve"> framework, in which the observed data are simply used </w:t>
      </w:r>
      <w:r>
        <w:rPr>
          <w:rFonts w:ascii="Times New Roman" w:eastAsia="Times New Roman" w:hAnsi="Times New Roman" w:cs="Times New Roman"/>
        </w:rPr>
        <w:t xml:space="preserve">to </w:t>
      </w:r>
      <w:r w:rsidRPr="00260A57">
        <w:rPr>
          <w:rFonts w:ascii="Times New Roman" w:eastAsia="Times New Roman" w:hAnsi="Times New Roman" w:cs="Times New Roman"/>
        </w:rPr>
        <w:t xml:space="preserve">estimate the diet of consumers, from which interpretations about foraging ecology </w:t>
      </w:r>
      <w:r w:rsidRPr="00260A57">
        <w:rPr>
          <w:rFonts w:ascii="Times New Roman" w:eastAsia="Times New Roman" w:hAnsi="Times New Roman" w:cs="Times New Roman"/>
        </w:rPr>
        <w:lastRenderedPageBreak/>
        <w:t xml:space="preserve">are made. </w:t>
      </w:r>
      <w:r>
        <w:rPr>
          <w:rFonts w:ascii="Times New Roman" w:eastAsia="Times New Roman" w:hAnsi="Times New Roman" w:cs="Times New Roman"/>
        </w:rPr>
        <w:t>T</w:t>
      </w:r>
      <w:r w:rsidRPr="00260A57">
        <w:rPr>
          <w:rFonts w:ascii="Times New Roman" w:eastAsia="Times New Roman" w:hAnsi="Times New Roman" w:cs="Times New Roman"/>
        </w:rPr>
        <w:t xml:space="preserve">he PIA allows visual comparison of </w:t>
      </w:r>
      <w:r>
        <w:rPr>
          <w:rFonts w:ascii="Times New Roman" w:eastAsia="Times New Roman" w:hAnsi="Times New Roman" w:cs="Times New Roman"/>
        </w:rPr>
        <w:t xml:space="preserve">a </w:t>
      </w:r>
      <w:r w:rsidRPr="00260A57">
        <w:rPr>
          <w:rFonts w:ascii="Times New Roman" w:eastAsia="Times New Roman" w:hAnsi="Times New Roman" w:cs="Times New Roman"/>
        </w:rPr>
        <w:t xml:space="preserve">simulated </w:t>
      </w:r>
      <w:r>
        <w:rPr>
          <w:rFonts w:ascii="Times New Roman" w:eastAsia="Times New Roman" w:hAnsi="Times New Roman" w:cs="Times New Roman"/>
        </w:rPr>
        <w:t xml:space="preserve">consumer population </w:t>
      </w:r>
      <w:r w:rsidRPr="00260A57">
        <w:rPr>
          <w:rFonts w:ascii="Times New Roman" w:eastAsia="Times New Roman" w:hAnsi="Times New Roman" w:cs="Times New Roman"/>
        </w:rPr>
        <w:t xml:space="preserve">to </w:t>
      </w:r>
      <w:r>
        <w:rPr>
          <w:rFonts w:ascii="Times New Roman" w:eastAsia="Times New Roman" w:hAnsi="Times New Roman" w:cs="Times New Roman"/>
        </w:rPr>
        <w:t xml:space="preserve">an </w:t>
      </w:r>
      <w:r w:rsidRPr="00260A57">
        <w:rPr>
          <w:rFonts w:ascii="Times New Roman" w:eastAsia="Times New Roman" w:hAnsi="Times New Roman" w:cs="Times New Roman"/>
        </w:rPr>
        <w:t xml:space="preserve">observed </w:t>
      </w:r>
      <w:r>
        <w:rPr>
          <w:rFonts w:ascii="Times New Roman" w:eastAsia="Times New Roman" w:hAnsi="Times New Roman" w:cs="Times New Roman"/>
        </w:rPr>
        <w:t xml:space="preserve">population </w:t>
      </w:r>
      <w:r w:rsidRPr="00260A57">
        <w:rPr>
          <w:rFonts w:ascii="Times New Roman" w:eastAsia="Times New Roman" w:hAnsi="Times New Roman" w:cs="Times New Roman"/>
        </w:rPr>
        <w:t>(</w:t>
      </w:r>
      <w:r>
        <w:rPr>
          <w:rFonts w:ascii="Times New Roman" w:eastAsia="Times New Roman" w:hAnsi="Times New Roman" w:cs="Times New Roman"/>
        </w:rPr>
        <w:t xml:space="preserve">e.g., </w:t>
      </w:r>
      <w:r w:rsidRPr="00260A57">
        <w:rPr>
          <w:rFonts w:ascii="Times New Roman" w:eastAsia="Times New Roman" w:hAnsi="Times New Roman" w:cs="Times New Roman"/>
        </w:rPr>
        <w:t xml:space="preserve">Fig. 6), from which </w:t>
      </w:r>
      <w:r>
        <w:rPr>
          <w:rFonts w:ascii="Times New Roman" w:eastAsia="Times New Roman" w:hAnsi="Times New Roman" w:cs="Times New Roman"/>
        </w:rPr>
        <w:t xml:space="preserve">in this example </w:t>
      </w:r>
      <w:r w:rsidRPr="00260A57">
        <w:rPr>
          <w:rFonts w:ascii="Times New Roman" w:eastAsia="Times New Roman" w:hAnsi="Times New Roman" w:cs="Times New Roman"/>
        </w:rPr>
        <w:t xml:space="preserve">we might infer that most Brown Trout individuals feed predominately on crayfish, with some also relying on small minnows, mayflies, and caddisflies. In contrast, results from the Bayesian mixing model leave little room for interpretation, and simply suggest crayfish and small minnow </w:t>
      </w:r>
      <w:r>
        <w:rPr>
          <w:rFonts w:ascii="Times New Roman" w:eastAsia="Times New Roman" w:hAnsi="Times New Roman" w:cs="Times New Roman"/>
        </w:rPr>
        <w:t xml:space="preserve">constitute </w:t>
      </w:r>
      <w:r w:rsidRPr="00260A57">
        <w:rPr>
          <w:rFonts w:ascii="Times New Roman" w:eastAsia="Times New Roman" w:hAnsi="Times New Roman" w:cs="Times New Roman"/>
        </w:rPr>
        <w:t>Brown Trout diet</w:t>
      </w:r>
      <w:r>
        <w:rPr>
          <w:rFonts w:ascii="Times New Roman" w:eastAsia="Times New Roman" w:hAnsi="Times New Roman" w:cs="Times New Roman"/>
        </w:rPr>
        <w:t>s</w:t>
      </w:r>
      <w:r w:rsidRPr="00260A57">
        <w:rPr>
          <w:rFonts w:ascii="Times New Roman" w:eastAsia="Times New Roman" w:hAnsi="Times New Roman" w:cs="Times New Roman"/>
        </w:rPr>
        <w:t xml:space="preserve">. </w:t>
      </w:r>
    </w:p>
    <w:p w14:paraId="26C7915F" w14:textId="77777777" w:rsidR="00D97851" w:rsidRPr="00260A57" w:rsidRDefault="00D97851" w:rsidP="00D97851">
      <w:pPr>
        <w:spacing w:after="160" w:line="360" w:lineRule="auto"/>
        <w:ind w:firstLine="720"/>
        <w:rPr>
          <w:rFonts w:ascii="Times New Roman" w:hAnsi="Times New Roman" w:cs="Times New Roman"/>
        </w:rPr>
      </w:pPr>
      <w:r w:rsidRPr="00260A57">
        <w:rPr>
          <w:rFonts w:ascii="Times New Roman" w:hAnsi="Times New Roman" w:cs="Times New Roman"/>
        </w:rPr>
        <w:t xml:space="preserve">Thus, the PIA approach </w:t>
      </w:r>
      <w:r w:rsidRPr="00260A57">
        <w:rPr>
          <w:rFonts w:ascii="Times New Roman" w:eastAsia="Times New Roman" w:hAnsi="Times New Roman" w:cs="Times New Roman"/>
        </w:rPr>
        <w:t>offers a more robust framework in which to predict and interpret stable isotope data</w:t>
      </w:r>
      <w:r w:rsidRPr="00260A57">
        <w:rPr>
          <w:rFonts w:ascii="Times New Roman" w:hAnsi="Times New Roman" w:cs="Times New Roman"/>
        </w:rPr>
        <w:t xml:space="preserve"> and </w:t>
      </w:r>
      <w:r>
        <w:rPr>
          <w:rFonts w:ascii="Times New Roman" w:hAnsi="Times New Roman" w:cs="Times New Roman"/>
        </w:rPr>
        <w:t xml:space="preserve">examine </w:t>
      </w:r>
      <w:r w:rsidRPr="00260A57">
        <w:rPr>
          <w:rFonts w:ascii="Times New Roman" w:hAnsi="Times New Roman" w:cs="Times New Roman"/>
        </w:rPr>
        <w:t>foraging behavior than traditional mixing models. Particularly given the numerous limitations and assumptions required to perform mixing model analyses, and the increasing rate at which studies suggest mixing models provide fallacious interpretations of diet contributions and foraging behavior</w:t>
      </w:r>
      <w:r>
        <w:rPr>
          <w:rFonts w:ascii="Times New Roman" w:hAnsi="Times New Roman" w:cs="Times New Roman"/>
        </w:rPr>
        <w:t xml:space="preserve"> (e.g.,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"10.1642/AUK-17-143.1", "ISSN" : "0004-8038", "author" : [ { "dropping-particle" : "", "family" : "Robinson", "given" : "Barry G.", "non-dropping-particle" : "", "parse-names" : false, "suffix" : "" }, { "dropping-particle" : "", "family" : "Franke", "given" : "Alastair", "non-dropping-particle" : "", "parse-names" : false, "suffix" : "" }, { "dropping-particle" : "", "family" : "Derocher", "given" : "Andrew E.", "non-dropping-particle" : "", "parse-names" : false, "suffix" : "" } ], "container-title" : "The Auk", "id" : "ITEM-1", "issue" : "1", "issued" : { "date-parts" : [ [ "2018" ] ] }, "page" : "60-70", "title" : "Stable isotope mixing models fail to estimate the diet of an avian predator", "type" : "article-journal", "volume" : "135" }, "uris" : [ "http://www.mendeley.com/documents/?uuid=386d3148-01b1-4349-a479-3d50bb67080e" ] } ], "mendeley" : { "formattedCitation" : "(Robinson et al. 2018)", "manualFormatting" : "Robinson et al. 2018)", "plainTextFormattedCitation" : "(Robinson et al. 2018)", "previouslyFormattedCitation" : "(Robinson et al. 2018)" }, "properties" : {  }, "schema" : "https://github.com/citation-style-language/schema/raw/master/csl-citation.json" }</w:instrText>
      </w:r>
      <w:r>
        <w:rPr>
          <w:rFonts w:ascii="Times New Roman" w:hAnsi="Times New Roman" w:cs="Times New Roman"/>
        </w:rPr>
        <w:fldChar w:fldCharType="separate"/>
      </w:r>
      <w:r w:rsidRPr="007B150F">
        <w:rPr>
          <w:rFonts w:ascii="Times New Roman" w:hAnsi="Times New Roman" w:cs="Times New Roman"/>
          <w:noProof/>
        </w:rPr>
        <w:t>Robinson et al. 2018)</w:t>
      </w:r>
      <w:r>
        <w:rPr>
          <w:rFonts w:ascii="Times New Roman" w:hAnsi="Times New Roman" w:cs="Times New Roman"/>
        </w:rPr>
        <w:fldChar w:fldCharType="end"/>
      </w:r>
      <w:r w:rsidRPr="00260A57">
        <w:rPr>
          <w:rFonts w:ascii="Times New Roman" w:hAnsi="Times New Roman" w:cs="Times New Roman"/>
        </w:rPr>
        <w:t xml:space="preserve">. </w:t>
      </w:r>
    </w:p>
    <w:p w14:paraId="2B8D581F" w14:textId="77777777" w:rsidR="00D97851" w:rsidRPr="00D97851" w:rsidRDefault="00D97851" w:rsidP="00D97851">
      <w:pPr>
        <w:spacing w:after="160" w:line="360" w:lineRule="auto"/>
        <w:rPr>
          <w:rFonts w:ascii="Times New Roman" w:eastAsia="Times New Roman" w:hAnsi="Times New Roman" w:cs="Times New Roman"/>
          <w:sz w:val="22"/>
          <w:szCs w:val="22"/>
        </w:rPr>
      </w:pPr>
    </w:p>
    <w:sectPr w:rsidR="00D97851" w:rsidRPr="00D97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F775D"/>
    <w:multiLevelType w:val="hybridMultilevel"/>
    <w:tmpl w:val="9A3A222A"/>
    <w:lvl w:ilvl="0" w:tplc="A57C2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4551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51"/>
    <w:rsid w:val="00BB1FC1"/>
    <w:rsid w:val="00CF7982"/>
    <w:rsid w:val="00D9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AF48D2"/>
  <w15:chartTrackingRefBased/>
  <w15:docId w15:val="{6F4DAC8F-8F7A-3F41-B032-E90B9136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8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albeke/rK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18131</Words>
  <Characters>103348</Characters>
  <Application>Microsoft Office Word</Application>
  <DocSecurity>0</DocSecurity>
  <Lines>861</Lines>
  <Paragraphs>242</Paragraphs>
  <ScaleCrop>false</ScaleCrop>
  <Company/>
  <LinksUpToDate>false</LinksUpToDate>
  <CharactersWithSpaces>121237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 Maitland</dc:creator>
  <cp:keywords/>
  <dc:description/>
  <cp:lastModifiedBy>Bryan M Maitland</cp:lastModifiedBy>
  <cp:revision>1</cp:revision>
  <dcterms:created xsi:type="dcterms:W3CDTF">2022-05-31T13:29:00Z</dcterms:created>
  <dcterms:modified xsi:type="dcterms:W3CDTF">2022-05-31T13:31:00Z</dcterms:modified>
</cp:coreProperties>
</file>