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8"/>
    <w:p>
      <w:pPr>
        <w:pStyle w:val="Heading1"/>
      </w:pPr>
      <w:r>
        <w:t xml:space="preserve">Quiz 8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Name one R function we have used to find the best-fitting parameter values</w:t>
      </w:r>
      <w:r>
        <w:t xml:space="preserve"> </w:t>
      </w:r>
      <w:r>
        <w:t xml:space="preserve">of a model.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On Tuesday, a value of a parameter was inside the 95% confidence interval if</w:t>
      </w:r>
      <w:r>
        <w:t xml:space="preserve"> </w:t>
      </w:r>
      <w:r>
        <w:t xml:space="preserve">its negative log-likelihood was within how many units of the minimum?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The 95% confidence interval for</w:t>
      </w:r>
      <w:r>
        <w:t xml:space="preserve"> </w:t>
      </w:r>
      <m:oMath>
        <m:r>
          <m:t>b</m:t>
        </m:r>
      </m:oMath>
      <w:r>
        <w:t xml:space="preserve">, the yearly change in bobwhite occupancy,</w:t>
      </w:r>
      <w:r>
        <w:t xml:space="preserve"> </w:t>
      </w:r>
      <w:r>
        <w:t xml:space="preserve">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zero. In plain words, what does that tell you about</w:t>
      </w:r>
      <w:r>
        <w:t xml:space="preserve"> </w:t>
      </w:r>
      <w:r>
        <w:t xml:space="preserve">bobwhite?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From the reading: what does it mean for one model to be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</w:t>
      </w:r>
      <w:r>
        <w:t xml:space="preserve"> </w:t>
      </w:r>
      <w:r>
        <w:t xml:space="preserve">another?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AIC = 2 × NLL + 2 × (number of parameters), and lower is better. Model B is</w:t>
      </w:r>
      <w:r>
        <w:t xml:space="preserve"> </w:t>
      </w:r>
      <w:r>
        <w:t xml:space="preserve">model A with one extra parameter, and B’s negative log-likelihood is</w:t>
      </w:r>
      <w:r>
        <w:t xml:space="preserve"> </w:t>
      </w:r>
      <w:r>
        <w:rPr>
          <w:b/>
          <w:bCs/>
        </w:rPr>
        <w:t xml:space="preserve">0.4</w:t>
      </w:r>
      <w:r>
        <w:t xml:space="preserve"> </w:t>
      </w:r>
      <w:r>
        <w:t xml:space="preserve">lower than A’s. Which model has the lower AIC, and which would you keep?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2026-10-22T02:38:06Z</dcterms:created>
  <dcterms:modified xsi:type="dcterms:W3CDTF">2026-10-22T02:38:06Z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