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2FB76" w14:textId="1E443DF8" w:rsidR="00907410" w:rsidRDefault="00A62127">
      <w:r>
        <w:t xml:space="preserve">From BOEM PNNL Draft Report </w:t>
      </w:r>
    </w:p>
    <w:p w14:paraId="16B8142E" w14:textId="1D6F60BD" w:rsidR="00A62127" w:rsidRDefault="00A62127">
      <w:pPr>
        <w:rPr>
          <w:rFonts w:cs="Times New Roman"/>
          <w:color w:val="333333"/>
          <w:shd w:val="clear" w:color="auto" w:fill="FFFFFF"/>
        </w:rPr>
      </w:pPr>
      <w:r>
        <w:rPr>
          <w:rFonts w:cs="Times New Roman"/>
          <w:color w:val="333333"/>
          <w:shd w:val="clear" w:color="auto" w:fill="FFFFFF"/>
        </w:rPr>
        <w:t>“</w:t>
      </w:r>
      <w:r w:rsidRPr="00F92A58">
        <w:rPr>
          <w:rFonts w:cs="Times New Roman"/>
          <w:color w:val="333333"/>
          <w:shd w:val="clear" w:color="auto" w:fill="FFFFFF"/>
        </w:rPr>
        <w:t>Water and otolith samples collected in Northwest Alaska, the Alaskan Arctic, and Prince William Sound in 2020 and 2021 were analyzed for </w:t>
      </w:r>
      <w:r w:rsidRPr="00F92A58">
        <w:rPr>
          <w:rFonts w:cs="Times New Roman"/>
          <w:color w:val="333333"/>
          <w:shd w:val="clear" w:color="auto" w:fill="FFFFFF"/>
          <w:vertAlign w:val="superscript"/>
        </w:rPr>
        <w:t>87</w:t>
      </w:r>
      <w:r w:rsidRPr="00F92A58">
        <w:rPr>
          <w:rFonts w:cs="Times New Roman"/>
          <w:color w:val="333333"/>
          <w:shd w:val="clear" w:color="auto" w:fill="FFFFFF"/>
        </w:rPr>
        <w:t>Sr/</w:t>
      </w:r>
      <w:r w:rsidRPr="00F92A58">
        <w:rPr>
          <w:rFonts w:cs="Times New Roman"/>
          <w:color w:val="333333"/>
          <w:shd w:val="clear" w:color="auto" w:fill="FFFFFF"/>
          <w:vertAlign w:val="superscript"/>
        </w:rPr>
        <w:t>86</w:t>
      </w:r>
      <w:r w:rsidRPr="00F92A58">
        <w:rPr>
          <w:rFonts w:cs="Times New Roman"/>
          <w:color w:val="333333"/>
          <w:shd w:val="clear" w:color="auto" w:fill="FFFFFF"/>
        </w:rPr>
        <w:t xml:space="preserve">Sr, Sr/Ca and Ba/Ca. Based on water chemistry, </w:t>
      </w:r>
      <w:r w:rsidRPr="00F92A58">
        <w:rPr>
          <w:rFonts w:cs="Times New Roman"/>
          <w:color w:val="333333"/>
          <w:shd w:val="clear" w:color="auto" w:fill="FFFFFF"/>
          <w:vertAlign w:val="superscript"/>
        </w:rPr>
        <w:t>87</w:t>
      </w:r>
      <w:r w:rsidRPr="00F92A58">
        <w:rPr>
          <w:rFonts w:cs="Times New Roman"/>
          <w:color w:val="333333"/>
          <w:shd w:val="clear" w:color="auto" w:fill="FFFFFF"/>
        </w:rPr>
        <w:t>Sr/</w:t>
      </w:r>
      <w:r w:rsidRPr="00F92A58">
        <w:rPr>
          <w:rFonts w:cs="Times New Roman"/>
          <w:color w:val="333333"/>
          <w:shd w:val="clear" w:color="auto" w:fill="FFFFFF"/>
          <w:vertAlign w:val="superscript"/>
        </w:rPr>
        <w:t>86</w:t>
      </w:r>
      <w:r w:rsidRPr="00F92A58">
        <w:rPr>
          <w:rFonts w:cs="Times New Roman"/>
          <w:color w:val="333333"/>
          <w:shd w:val="clear" w:color="auto" w:fill="FFFFFF"/>
        </w:rPr>
        <w:t>Sr was the most discriminative marker for determining the provenance of pink salmon in this study.</w:t>
      </w:r>
      <w:r>
        <w:rPr>
          <w:rFonts w:cs="Times New Roman"/>
          <w:color w:val="333333"/>
          <w:shd w:val="clear" w:color="auto" w:fill="FFFFFF"/>
        </w:rPr>
        <w:t>”</w:t>
      </w:r>
    </w:p>
    <w:p w14:paraId="56869739" w14:textId="77777777" w:rsidR="00A62127" w:rsidRDefault="00A62127">
      <w:pPr>
        <w:rPr>
          <w:rFonts w:cs="Times New Roman"/>
          <w:color w:val="333333"/>
          <w:shd w:val="clear" w:color="auto" w:fill="FFFFFF"/>
        </w:rPr>
      </w:pPr>
    </w:p>
    <w:p w14:paraId="1753939A" w14:textId="7C52262D" w:rsidR="00A62127" w:rsidRDefault="00A62127">
      <w:r w:rsidRPr="00F92A58">
        <w:t xml:space="preserve">Previous studies have demonstrated that it takes approximately 3-4 weeks for otolith chemistry to reach equilibrium with the water </w:t>
      </w:r>
      <w:r w:rsidRPr="00F92A58">
        <w:fldChar w:fldCharType="begin" w:fldLock="1"/>
      </w:r>
      <w:r w:rsidRPr="00F92A58">
        <w:instrText>ADDIN CSL_CITATION {"citationItems":[{"id":"ITEM-1","itemData":{"DOI":"10.3354/ab00511","ISSN":"18647782","abstract":"Otolith chemistry is widely used to address key questions relating to fish ecology and fisheries management; however, there is limited research on the relative contributions of water and diet to elements within otoliths. This study explicitly tested the proportional contributions of water and diet in 3. Australian freshwater fish-silver perch, golden perch and Murray cod-in a controlled laboratory experiment. We independently 'spiked' both tank water and diet with enriched stable isotopes of strontium (86Sr) and barium (137Ba), key elements used in otolith chemistry. Hatchery-sourced fingerlings were used in the experiment and were independently exposed to a control, water-spiked or diet-spiked treatment for a period of 31 to 39 d. Otolith material laid down during the experiment was subsequently analysed for relevant isotopes using laser ablation inductively coupled plasma-mass spectrometry (LA ICP-MS), and water and diet samples were analysed using solution-based ICP-MS. An isotope mixing model was used to determine the relative contributions of water and diet to Sr and Ba otolith chemistry. For all species, water was the dominant source of elements in the otoliths, contributing between 64 and 71% for Sr and 88 and 92% for Ba. Diet contributed to a far lesser degree, with contributions ranging from 4 to 6% for Sr and 10 to 26% for Ba. The results from this study improve interpretations of otolith chemistry data in freshwater fish, thereby allowing more accurate reconstructions of the environmental and movement histories of wild populations. © Inter-Research 2013.","author":[{"dropping-particle":"","family":"Doubleday","given":"Zoë A.","non-dropping-particle":"","parse-names":false,"suffix":""},{"dropping-particle":"","family":"Izzo","given":"Christopher","non-dropping-particle":"","parse-names":false,"suffix":""},{"dropping-particle":"","family":"Woodcock","given":"Skye H.","non-dropping-particle":"","parse-names":false,"suffix":""},{"dropping-particle":"","family":"Gillanders","given":"Bronwyn M.","non-dropping-particle":"","parse-names":false,"suffix":""}],"container-title":"Aquatic Biology","id":"ITEM-1","issue":"3","issued":{"date-parts":[["2013"]]},"page":"271-280","title":"Relative contribution of water and diet to otolith chemistry in freshwater fish","type":"article-journal","volume":"18"},"uris":["http://www.mendeley.com/documents/?uuid=f4eccd8d-9a71-430d-b196-7c392f7f6a1c"]}],"mendeley":{"formattedCitation":"(Doubleday et al., 2013)","plainTextFormattedCitation":"(Doubleday et al., 2013)","previouslyFormattedCitation":"(Doubleday et al., 2013)"},"properties":{"noteIndex":0},"schema":"https://github.com/citation-style-language/schema/raw/master/csl-citation.json"}</w:instrText>
      </w:r>
      <w:r w:rsidRPr="00F92A58">
        <w:fldChar w:fldCharType="separate"/>
      </w:r>
      <w:r w:rsidRPr="00F92A58">
        <w:rPr>
          <w:noProof/>
        </w:rPr>
        <w:t>(Doubleday et al., 2013)</w:t>
      </w:r>
      <w:r w:rsidRPr="00F92A58">
        <w:fldChar w:fldCharType="end"/>
      </w:r>
      <w:r w:rsidRPr="00F92A58">
        <w:t>,</w:t>
      </w:r>
    </w:p>
    <w:p w14:paraId="7A7FFE39" w14:textId="77777777" w:rsidR="00A62127" w:rsidRDefault="00A62127"/>
    <w:p w14:paraId="525579E5" w14:textId="647C462D" w:rsidR="00A62127" w:rsidRDefault="00A62127">
      <w:pPr>
        <w:rPr>
          <w:rFonts w:cs="Times New Roman"/>
        </w:rPr>
      </w:pPr>
      <w:r w:rsidRPr="00F92A58">
        <w:rPr>
          <w:rFonts w:cs="Times New Roman"/>
        </w:rPr>
        <w:t>Fish in PWS were collected from either Hartney Bay or Jackson Creek,</w:t>
      </w:r>
    </w:p>
    <w:p w14:paraId="61017E30" w14:textId="77777777" w:rsidR="00A62127" w:rsidRDefault="00A62127">
      <w:pPr>
        <w:rPr>
          <w:rFonts w:cs="Times New Roman"/>
        </w:rPr>
      </w:pPr>
    </w:p>
    <w:p w14:paraId="3116A3C2" w14:textId="493C50F9" w:rsidR="00A62127" w:rsidRDefault="00A62127">
      <w:pPr>
        <w:rPr>
          <w:rFonts w:cs="Times New Roman"/>
        </w:rPr>
      </w:pPr>
      <w:r>
        <w:rPr>
          <w:rFonts w:cs="Times New Roman"/>
        </w:rPr>
        <w:t xml:space="preserve">Fish were collected opportunistically in three different marine locations (Elson Lagoon, Kaktovik, Point Hope). </w:t>
      </w:r>
      <w:r w:rsidRPr="00F92A58">
        <w:rPr>
          <w:rFonts w:cs="Times New Roman"/>
        </w:rPr>
        <w:t xml:space="preserve">Elson Lagoon is a bay located on the North Slope of AK, near </w:t>
      </w:r>
      <w:proofErr w:type="spellStart"/>
      <w:r w:rsidRPr="00F92A58">
        <w:rPr>
          <w:rFonts w:cs="Times New Roman"/>
          <w:color w:val="202122"/>
          <w:shd w:val="clear" w:color="auto" w:fill="FFFFFF"/>
        </w:rPr>
        <w:t>Utqiaġvik</w:t>
      </w:r>
      <w:proofErr w:type="spellEnd"/>
      <w:r w:rsidRPr="00F92A58">
        <w:rPr>
          <w:rFonts w:cs="Times New Roman"/>
        </w:rPr>
        <w:t xml:space="preserve"> (formerly Barrow). The Elson Lagoon watershed is made up of many small streams, draining an area of approximately 580 km</w:t>
      </w:r>
      <w:r w:rsidRPr="00F92A58">
        <w:rPr>
          <w:rFonts w:cs="Times New Roman"/>
          <w:vertAlign w:val="superscript"/>
        </w:rPr>
        <w:t>2</w:t>
      </w:r>
      <w:r w:rsidRPr="00F92A58">
        <w:rPr>
          <w:rFonts w:cs="Times New Roman"/>
        </w:rPr>
        <w:t xml:space="preserve"> </w:t>
      </w:r>
      <w:r w:rsidRPr="00F92A58">
        <w:rPr>
          <w:rFonts w:cs="Times New Roman"/>
        </w:rPr>
        <w:fldChar w:fldCharType="begin" w:fldLock="1"/>
      </w:r>
      <w:r w:rsidRPr="00F92A58">
        <w:rPr>
          <w:rFonts w:cs="Times New Roman"/>
        </w:rPr>
        <w:instrText xml:space="preserve">ADDIN CSL_CITATION {"citationItems":[{"id":"ITEM-1","itemData":{"DOI":"10.1088/1748-9326/ac2288","ISSN":"17489326","abstract":"Manifestations of climate change in the Arctic are numerous and include hydrological cycle intensification and permafrost thaw, both expected as a result of atmospheric and surface warming. Across the terrestrial Arctic dissolved organic carbon (DOC) entrained in arctic rivers may be providing a carbon subsidy to coastal food webs. Yet, data from field sampling is too often of limited duration to confidently ascertain impacts of climate change on freshwater and DOC flows to coastal waters. This study applies numerical modeling to investigate trends in freshwater and DOC exports from land to Elson Lagoon in Northwest Alaska over the period 1981-2020. While the modeling approach has limitations, the results point to significant increases in freshwater and DOC exports to the lagoon over the past four decades. The model simulation reveals significant increases in surface, subsurface (suprapermafrost), and total freshwater exports. Significant increases are also noted in surface and subsurface DOC production and export, influenced by warming soils and associated active-layer thickening. The largest changes in subsurface components are noted in September, which has experienced a </w:instrText>
      </w:r>
      <w:r w:rsidRPr="00F92A58">
        <w:rPr>
          <w:rFonts w:ascii="Cambria Math" w:hAnsi="Cambria Math" w:cs="Cambria Math"/>
        </w:rPr>
        <w:instrText>∼</w:instrText>
      </w:r>
      <w:r w:rsidRPr="00F92A58">
        <w:rPr>
          <w:rFonts w:cs="Times New Roman"/>
        </w:rPr>
        <w:instrText>50% increase in DOC export emanating from suprapermafrost flow. Direct coastal suprapermafrost freshwater and DOC exports in late summer more than doubled between the first and last five years of the simulation period, with a large anomaly in September 2019 representing a more than fourfold increase over September direct coastal export during the early 1980s. These trends highlight the need for dedicated measurement programs that will enable improved understanding of climate change impacts on coastal zone processes in this data sparse region of Northwest Alaska.","author":[{"dropping-particle":"","family":"Rawlins","given":"Michael A.","non-dropping-particle":"","parse-names":false,"suffix":""}],"container-title":"Environmental Research Letters","id":"ITEM-1","issue":"10","issued":{"date-parts":[["2021"]]},"title":"Increasing freshwater and dissolved organic carbon flows to Northwest Alaska's Elson lagoon","type":"article-journal","volume":"16"},"uris":["http://www.mendeley.com/documents/?uuid=4ae91892-0399-41c6-8572-3903ab122f39"]}],"mendeley":{"formattedCitation":"(Rawlins, 2021)","plainTextFormattedCitation":"(Rawlins, 2021)","previouslyFormattedCitation":"(Rawlins, 2021)"},"properties":{"noteIndex":0},"schema":"https://github.com/citation-style-language/schema/raw/master/csl-citation.json"}</w:instrText>
      </w:r>
      <w:r w:rsidRPr="00F92A58">
        <w:rPr>
          <w:rFonts w:cs="Times New Roman"/>
        </w:rPr>
        <w:fldChar w:fldCharType="separate"/>
      </w:r>
      <w:r w:rsidRPr="00F92A58">
        <w:rPr>
          <w:rFonts w:cs="Times New Roman"/>
          <w:noProof/>
        </w:rPr>
        <w:t>(Rawlins, 2021)</w:t>
      </w:r>
      <w:r w:rsidRPr="00F92A58">
        <w:rPr>
          <w:rFonts w:cs="Times New Roman"/>
        </w:rPr>
        <w:fldChar w:fldCharType="end"/>
      </w:r>
      <w:r w:rsidRPr="00F92A58">
        <w:rPr>
          <w:rFonts w:cs="Times New Roman"/>
        </w:rPr>
        <w:t>. The salinity of Elson Lagoon varies from 5 – 30 ppt, while water temperature ranges from -1 to 14°C (</w:t>
      </w:r>
      <w:proofErr w:type="spellStart"/>
      <w:r w:rsidRPr="00F92A58">
        <w:rPr>
          <w:rFonts w:cs="Times New Roman"/>
        </w:rPr>
        <w:t>Sformo</w:t>
      </w:r>
      <w:proofErr w:type="spellEnd"/>
      <w:r w:rsidRPr="00F92A58">
        <w:rPr>
          <w:rFonts w:cs="Times New Roman"/>
        </w:rPr>
        <w:t xml:space="preserve"> et al., 2019).</w:t>
      </w:r>
    </w:p>
    <w:p w14:paraId="1BD7CA42" w14:textId="77777777" w:rsidR="00A62127" w:rsidRDefault="00A62127">
      <w:pPr>
        <w:rPr>
          <w:rFonts w:cs="Times New Roman"/>
        </w:rPr>
      </w:pPr>
    </w:p>
    <w:p w14:paraId="31F5EA2A" w14:textId="084D06CC" w:rsidR="00A62127" w:rsidRDefault="00AB21CB">
      <w:r w:rsidRPr="00C0096B">
        <w:rPr>
          <w:rFonts w:ascii="Calibri" w:eastAsia="Calibri" w:hAnsi="Calibri" w:cs="Times New Roman"/>
          <w:noProof/>
          <w:sz w:val="22"/>
        </w:rPr>
        <w:lastRenderedPageBreak/>
        <w:drawing>
          <wp:inline distT="0" distB="0" distL="0" distR="0" wp14:anchorId="0E0A6B6C" wp14:editId="40C7C143">
            <wp:extent cx="3859359" cy="4627821"/>
            <wp:effectExtent l="0" t="0" r="8255" b="1905"/>
            <wp:docPr id="27" name="Picture 27"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ap&#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27909" r="25195"/>
                    <a:stretch/>
                  </pic:blipFill>
                  <pic:spPr bwMode="auto">
                    <a:xfrm>
                      <a:off x="0" y="0"/>
                      <a:ext cx="3890545" cy="4665217"/>
                    </a:xfrm>
                    <a:prstGeom prst="rect">
                      <a:avLst/>
                    </a:prstGeom>
                    <a:noFill/>
                    <a:ln>
                      <a:noFill/>
                    </a:ln>
                    <a:extLst>
                      <a:ext uri="{53640926-AAD7-44D8-BBD7-CCE9431645EC}">
                        <a14:shadowObscured xmlns:a14="http://schemas.microsoft.com/office/drawing/2010/main"/>
                      </a:ext>
                    </a:extLst>
                  </pic:spPr>
                </pic:pic>
              </a:graphicData>
            </a:graphic>
          </wp:inline>
        </w:drawing>
      </w:r>
    </w:p>
    <w:p w14:paraId="0735C51A" w14:textId="77777777" w:rsidR="00AB21CB" w:rsidRDefault="00AB21CB"/>
    <w:p w14:paraId="3E4D6A73" w14:textId="77777777" w:rsidR="00AB21CB" w:rsidRDefault="00AB21CB"/>
    <w:p w14:paraId="13C8DED6" w14:textId="2BCCB676" w:rsidR="00AB21CB" w:rsidRDefault="00AB21CB">
      <w:r>
        <w:t xml:space="preserve">The question is: Are fish caught in North Alaska </w:t>
      </w:r>
      <w:proofErr w:type="gramStart"/>
      <w:r>
        <w:t>( Elson</w:t>
      </w:r>
      <w:proofErr w:type="gramEnd"/>
      <w:r>
        <w:t xml:space="preserve"> Lagoon, Kaktovik, Point Hope) originating from </w:t>
      </w:r>
    </w:p>
    <w:p w14:paraId="48697A66" w14:textId="77777777" w:rsidR="00AB21CB" w:rsidRDefault="00AB21CB"/>
    <w:p w14:paraId="612E08AC" w14:textId="730B1B90" w:rsidR="00AB21CB" w:rsidRDefault="00AB21CB">
      <w:r>
        <w:t xml:space="preserve">Strontium isotopic analysis of Prince William Sound fish revealed two general life history trends: </w:t>
      </w:r>
    </w:p>
    <w:p w14:paraId="4446F103" w14:textId="77777777" w:rsidR="00AB21CB" w:rsidRDefault="00AB21CB"/>
    <w:p w14:paraId="34B65C92" w14:textId="2BB85F66" w:rsidR="00AB21CB" w:rsidRDefault="00AB21CB">
      <w:r>
        <w:t xml:space="preserve">Are the hatcheries marine? Do we know generally where the hatchery fish are? </w:t>
      </w:r>
      <w:proofErr w:type="gramStart"/>
      <w:r>
        <w:t>Are</w:t>
      </w:r>
      <w:proofErr w:type="gramEnd"/>
      <w:r>
        <w:t xml:space="preserve"> there adipose fin clipped? Any other way to differentiate what hatchery pink salmon is </w:t>
      </w:r>
    </w:p>
    <w:p w14:paraId="74E02DC8" w14:textId="77777777" w:rsidR="00AB21CB" w:rsidRDefault="00AB21CB"/>
    <w:p w14:paraId="61E9A431" w14:textId="6F978CE8" w:rsidR="00834923" w:rsidRDefault="00AB21CB" w:rsidP="00B9104A">
      <w:r>
        <w:t xml:space="preserve">Ph is </w:t>
      </w:r>
      <w:proofErr w:type="gramStart"/>
      <w:r>
        <w:t>point</w:t>
      </w:r>
      <w:proofErr w:type="gramEnd"/>
      <w:r>
        <w:t xml:space="preserve"> hope is </w:t>
      </w:r>
    </w:p>
    <w:p w14:paraId="2962E067" w14:textId="7BB23D2B" w:rsidR="00834923" w:rsidRPr="00834923" w:rsidRDefault="00834923" w:rsidP="00834923">
      <w:pPr>
        <w:rPr>
          <w:b/>
          <w:bCs/>
        </w:rPr>
      </w:pPr>
      <w:r w:rsidRPr="00834923">
        <w:rPr>
          <w:b/>
          <w:bCs/>
        </w:rPr>
        <w:lastRenderedPageBreak/>
        <w:t xml:space="preserve">Potential Approach: backtrack a “turnover reaction” from known origin samples </w:t>
      </w:r>
    </w:p>
    <w:p w14:paraId="0CE66370" w14:textId="74FC1A66" w:rsidR="00834923" w:rsidRDefault="00834923" w:rsidP="00834923">
      <w:pPr>
        <w:pStyle w:val="ListParagraph"/>
        <w:numPr>
          <w:ilvl w:val="0"/>
          <w:numId w:val="1"/>
        </w:numPr>
      </w:pPr>
      <w:r>
        <w:t xml:space="preserve">Prince William Sound otoliths </w:t>
      </w:r>
    </w:p>
    <w:p w14:paraId="0416BE98" w14:textId="3DD979DA" w:rsidR="00834923" w:rsidRDefault="00834923" w:rsidP="00834923">
      <w:pPr>
        <w:pStyle w:val="ListParagraph"/>
        <w:numPr>
          <w:ilvl w:val="1"/>
          <w:numId w:val="1"/>
        </w:numPr>
      </w:pPr>
      <w:r>
        <w:t xml:space="preserve">Determine which are </w:t>
      </w:r>
      <w:proofErr w:type="spellStart"/>
      <w:r>
        <w:t>fw</w:t>
      </w:r>
      <w:proofErr w:type="spellEnd"/>
      <w:r>
        <w:t xml:space="preserve"> spawners based on </w:t>
      </w:r>
      <w:proofErr w:type="spellStart"/>
      <w:proofErr w:type="gramStart"/>
      <w:r>
        <w:t>Sr:Ca</w:t>
      </w:r>
      <w:proofErr w:type="spellEnd"/>
      <w:proofErr w:type="gramEnd"/>
      <w:r>
        <w:t xml:space="preserve">, or </w:t>
      </w:r>
      <w:proofErr w:type="spellStart"/>
      <w:proofErr w:type="gramStart"/>
      <w:r>
        <w:t>Ba:Ca</w:t>
      </w:r>
      <w:proofErr w:type="spellEnd"/>
      <w:proofErr w:type="gramEnd"/>
      <w:r>
        <w:t xml:space="preserve"> (salinity influence)  </w:t>
      </w:r>
    </w:p>
    <w:p w14:paraId="5E31B721" w14:textId="5EC11D90" w:rsidR="00834923" w:rsidRDefault="00834923" w:rsidP="00834923">
      <w:pPr>
        <w:pStyle w:val="ListParagraph"/>
        <w:numPr>
          <w:ilvl w:val="1"/>
          <w:numId w:val="1"/>
        </w:numPr>
      </w:pPr>
      <w:r>
        <w:t xml:space="preserve">Extract natal origin Sr8786 and Core Sr8786 from all known </w:t>
      </w:r>
      <w:proofErr w:type="spellStart"/>
      <w:r>
        <w:t>fw</w:t>
      </w:r>
      <w:proofErr w:type="spellEnd"/>
      <w:r>
        <w:t xml:space="preserve"> </w:t>
      </w:r>
    </w:p>
    <w:p w14:paraId="7EB5E78E" w14:textId="71578C6E" w:rsidR="00834923" w:rsidRDefault="00B9104A" w:rsidP="00B9104A">
      <w:pPr>
        <w:pStyle w:val="ListParagraph"/>
        <w:numPr>
          <w:ilvl w:val="1"/>
          <w:numId w:val="1"/>
        </w:numPr>
      </w:pPr>
      <w:r>
        <w:t xml:space="preserve">Develop a turnover reaction and range of potential values based on the relatively narrow range of potential </w:t>
      </w:r>
      <w:proofErr w:type="spellStart"/>
      <w:r>
        <w:t>fw</w:t>
      </w:r>
      <w:proofErr w:type="spellEnd"/>
      <w:r>
        <w:t xml:space="preserve"> sr8786 values. </w:t>
      </w:r>
    </w:p>
    <w:p w14:paraId="4F27371A" w14:textId="1FA534A4" w:rsidR="00B9104A" w:rsidRDefault="00B9104A" w:rsidP="00B9104A">
      <w:pPr>
        <w:rPr>
          <w:b/>
          <w:bCs/>
        </w:rPr>
      </w:pPr>
      <w:r w:rsidRPr="00B9104A">
        <w:rPr>
          <w:b/>
          <w:bCs/>
        </w:rPr>
        <w:t>THEN</w:t>
      </w:r>
    </w:p>
    <w:p w14:paraId="079D24D4" w14:textId="6C6CD801" w:rsidR="00834923" w:rsidRDefault="00B9104A" w:rsidP="00B9104A">
      <w:pPr>
        <w:pStyle w:val="ListParagraph"/>
        <w:numPr>
          <w:ilvl w:val="1"/>
          <w:numId w:val="1"/>
        </w:numPr>
      </w:pPr>
      <w:r w:rsidRPr="00B9104A">
        <w:t xml:space="preserve">Filter out the </w:t>
      </w:r>
      <w:r>
        <w:t>marine otoliths (is there a difference between marine (hatchery) and estuary (intertidal)</w:t>
      </w:r>
    </w:p>
    <w:p w14:paraId="05364C8D" w14:textId="28862C2E" w:rsidR="00B9104A" w:rsidRDefault="00B9104A" w:rsidP="00B9104A">
      <w:pPr>
        <w:pStyle w:val="ListParagraph"/>
        <w:numPr>
          <w:ilvl w:val="1"/>
          <w:numId w:val="1"/>
        </w:numPr>
      </w:pPr>
      <w:r>
        <w:t xml:space="preserve">Apply the same range of turnover dynamics to unknown origin fish to get a range of potential “True” strontium </w:t>
      </w:r>
      <w:proofErr w:type="spellStart"/>
      <w:r>
        <w:t>fw</w:t>
      </w:r>
      <w:proofErr w:type="spellEnd"/>
      <w:r>
        <w:t xml:space="preserve"> isotope ratios </w:t>
      </w:r>
    </w:p>
    <w:p w14:paraId="1BE537CA" w14:textId="56B1AA86" w:rsidR="00AB21CB" w:rsidRDefault="00B9104A" w:rsidP="00B9104A">
      <w:pPr>
        <w:pStyle w:val="ListParagraph"/>
        <w:numPr>
          <w:ilvl w:val="1"/>
          <w:numId w:val="1"/>
        </w:numPr>
      </w:pPr>
      <w:r>
        <w:t xml:space="preserve">Then use probabilistic framework to estimate likely provenance location using potential new </w:t>
      </w:r>
      <w:proofErr w:type="spellStart"/>
      <w:r>
        <w:t>isoscape</w:t>
      </w:r>
      <w:proofErr w:type="spellEnd"/>
      <w:r>
        <w:t xml:space="preserve">. </w:t>
      </w:r>
    </w:p>
    <w:p w14:paraId="08E45A48" w14:textId="35E39787" w:rsidR="00AB21CB" w:rsidRDefault="00B9104A">
      <w:pPr>
        <w:rPr>
          <w:b/>
          <w:bCs/>
        </w:rPr>
      </w:pPr>
      <w:r w:rsidRPr="00B9104A">
        <w:rPr>
          <w:b/>
          <w:bCs/>
        </w:rPr>
        <w:t>O</w:t>
      </w:r>
      <w:r>
        <w:rPr>
          <w:b/>
          <w:bCs/>
        </w:rPr>
        <w:t xml:space="preserve">R </w:t>
      </w:r>
    </w:p>
    <w:p w14:paraId="11C5DA77" w14:textId="2AB17302" w:rsidR="00B9104A" w:rsidRDefault="00B9104A" w:rsidP="00B9104A">
      <w:pPr>
        <w:pStyle w:val="ListParagraph"/>
        <w:numPr>
          <w:ilvl w:val="1"/>
          <w:numId w:val="1"/>
        </w:numPr>
      </w:pPr>
      <w:r w:rsidRPr="00B9104A">
        <w:t xml:space="preserve">Using the </w:t>
      </w:r>
      <w:r>
        <w:t xml:space="preserve">established potential ranges of both CORE and FW </w:t>
      </w:r>
      <w:proofErr w:type="gramStart"/>
      <w:r>
        <w:t>( and</w:t>
      </w:r>
      <w:proofErr w:type="gramEnd"/>
      <w:r>
        <w:t xml:space="preserve"> NACHOS derived </w:t>
      </w:r>
      <w:proofErr w:type="spellStart"/>
      <w:r>
        <w:t>turnoved</w:t>
      </w:r>
      <w:proofErr w:type="spellEnd"/>
      <w:r>
        <w:t xml:space="preserve"> dynamics from each location) produce timeseries from each potential location. Then use DTW to match our timeseries to those using a distance metric with fuzzy likelihoods </w:t>
      </w:r>
    </w:p>
    <w:p w14:paraId="31F0BD17" w14:textId="77777777" w:rsidR="00B9104A" w:rsidRPr="00B9104A" w:rsidRDefault="00B9104A" w:rsidP="00B9104A"/>
    <w:sectPr w:rsidR="00B9104A" w:rsidRPr="00B91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F636E1"/>
    <w:multiLevelType w:val="hybridMultilevel"/>
    <w:tmpl w:val="459E3C94"/>
    <w:lvl w:ilvl="0" w:tplc="0A34D2D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3599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C2F"/>
    <w:rsid w:val="000941AF"/>
    <w:rsid w:val="001844EB"/>
    <w:rsid w:val="003642FE"/>
    <w:rsid w:val="003B0A46"/>
    <w:rsid w:val="00464971"/>
    <w:rsid w:val="00762C2F"/>
    <w:rsid w:val="00780305"/>
    <w:rsid w:val="00834923"/>
    <w:rsid w:val="00907410"/>
    <w:rsid w:val="00A4712A"/>
    <w:rsid w:val="00A62127"/>
    <w:rsid w:val="00AB21CB"/>
    <w:rsid w:val="00B65D13"/>
    <w:rsid w:val="00B9104A"/>
    <w:rsid w:val="00C9741A"/>
    <w:rsid w:val="00E45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8292B9"/>
  <w15:chartTrackingRefBased/>
  <w15:docId w15:val="{5768CECF-6BE8-5445-928A-A3560227A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C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2C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2C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2C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C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C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C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C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C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C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2C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2C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2C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C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C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C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C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C2F"/>
    <w:rPr>
      <w:rFonts w:eastAsiaTheme="majorEastAsia" w:cstheme="majorBidi"/>
      <w:color w:val="272727" w:themeColor="text1" w:themeTint="D8"/>
    </w:rPr>
  </w:style>
  <w:style w:type="paragraph" w:styleId="Title">
    <w:name w:val="Title"/>
    <w:basedOn w:val="Normal"/>
    <w:next w:val="Normal"/>
    <w:link w:val="TitleChar"/>
    <w:uiPriority w:val="10"/>
    <w:qFormat/>
    <w:rsid w:val="00762C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C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C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C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C2F"/>
    <w:pPr>
      <w:spacing w:before="160"/>
      <w:jc w:val="center"/>
    </w:pPr>
    <w:rPr>
      <w:i/>
      <w:iCs/>
      <w:color w:val="404040" w:themeColor="text1" w:themeTint="BF"/>
    </w:rPr>
  </w:style>
  <w:style w:type="character" w:customStyle="1" w:styleId="QuoteChar">
    <w:name w:val="Quote Char"/>
    <w:basedOn w:val="DefaultParagraphFont"/>
    <w:link w:val="Quote"/>
    <w:uiPriority w:val="29"/>
    <w:rsid w:val="00762C2F"/>
    <w:rPr>
      <w:i/>
      <w:iCs/>
      <w:color w:val="404040" w:themeColor="text1" w:themeTint="BF"/>
    </w:rPr>
  </w:style>
  <w:style w:type="paragraph" w:styleId="ListParagraph">
    <w:name w:val="List Paragraph"/>
    <w:basedOn w:val="Normal"/>
    <w:uiPriority w:val="34"/>
    <w:qFormat/>
    <w:rsid w:val="00762C2F"/>
    <w:pPr>
      <w:ind w:left="720"/>
      <w:contextualSpacing/>
    </w:pPr>
  </w:style>
  <w:style w:type="character" w:styleId="IntenseEmphasis">
    <w:name w:val="Intense Emphasis"/>
    <w:basedOn w:val="DefaultParagraphFont"/>
    <w:uiPriority w:val="21"/>
    <w:qFormat/>
    <w:rsid w:val="00762C2F"/>
    <w:rPr>
      <w:i/>
      <w:iCs/>
      <w:color w:val="0F4761" w:themeColor="accent1" w:themeShade="BF"/>
    </w:rPr>
  </w:style>
  <w:style w:type="paragraph" w:styleId="IntenseQuote">
    <w:name w:val="Intense Quote"/>
    <w:basedOn w:val="Normal"/>
    <w:next w:val="Normal"/>
    <w:link w:val="IntenseQuoteChar"/>
    <w:uiPriority w:val="30"/>
    <w:qFormat/>
    <w:rsid w:val="00762C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C2F"/>
    <w:rPr>
      <w:i/>
      <w:iCs/>
      <w:color w:val="0F4761" w:themeColor="accent1" w:themeShade="BF"/>
    </w:rPr>
  </w:style>
  <w:style w:type="character" w:styleId="IntenseReference">
    <w:name w:val="Intense Reference"/>
    <w:basedOn w:val="DefaultParagraphFont"/>
    <w:uiPriority w:val="32"/>
    <w:qFormat/>
    <w:rsid w:val="00762C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3</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bmak29</dc:creator>
  <cp:keywords/>
  <dc:description/>
  <cp:lastModifiedBy>bmak29</cp:lastModifiedBy>
  <cp:revision>3</cp:revision>
  <dcterms:created xsi:type="dcterms:W3CDTF">2025-12-23T16:19:00Z</dcterms:created>
  <dcterms:modified xsi:type="dcterms:W3CDTF">2025-12-23T17:14:00Z</dcterms:modified>
</cp:coreProperties>
</file>