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AE3E" w14:textId="7B412326" w:rsidR="00693CE2" w:rsidRDefault="00DC466D" w:rsidP="00693CE2">
      <w:pPr>
        <w:pStyle w:val="Title"/>
      </w:pPr>
      <w:bookmarkStart w:id="0" w:name="_Toc130216982"/>
      <w:r>
        <w:t>DRAFT REPORT</w:t>
      </w:r>
      <w:r w:rsidR="00693CE2">
        <w:t xml:space="preserve">: </w:t>
      </w:r>
      <w:bookmarkStart w:id="1" w:name="_Hlk128912141"/>
      <w:r w:rsidR="00693CE2" w:rsidRPr="00A15969">
        <w:t>ARE EXPANDING PINK SALMON POPULATIONS IN THE ARCTIC PRODUCED FROM REGIONAL WATERSHEDS?</w:t>
      </w:r>
      <w:bookmarkEnd w:id="0"/>
    </w:p>
    <w:p w14:paraId="2ACC6E4C" w14:textId="10278FF4" w:rsidR="00693CE2" w:rsidRDefault="002E6376" w:rsidP="002E6376">
      <w:pPr>
        <w:ind w:firstLine="0"/>
        <w:jc w:val="center"/>
      </w:pPr>
      <w:r>
        <w:t>PNNL Contributors: Tim Linley, Jill Janak, Steve Shen, Lisa Kant</w:t>
      </w:r>
      <w:bookmarkEnd w:id="1"/>
    </w:p>
    <w:p w14:paraId="7FB0110E" w14:textId="77777777" w:rsidR="00693CE2" w:rsidRPr="00F92A58" w:rsidRDefault="00693CE2" w:rsidP="00693CE2">
      <w:pPr>
        <w:pStyle w:val="Heading1"/>
      </w:pPr>
      <w:r w:rsidRPr="00F92A58">
        <w:t>Abstract</w:t>
      </w:r>
    </w:p>
    <w:p w14:paraId="208B2FD0" w14:textId="77777777" w:rsidR="00693CE2" w:rsidRPr="00F92A58" w:rsidRDefault="00693CE2" w:rsidP="00693CE2">
      <w:pPr>
        <w:rPr>
          <w:rFonts w:cs="Times New Roman"/>
          <w:szCs w:val="24"/>
        </w:rPr>
      </w:pPr>
      <w:r w:rsidRPr="00F92A58">
        <w:rPr>
          <w:rFonts w:cs="Times New Roman"/>
          <w:szCs w:val="24"/>
        </w:rPr>
        <w:t xml:space="preserve">The Arctic is experiencing drastic environmental changes, including increasing freshwater and marine temperatures and reductions in sea ice and regional snowpack. These changes appear to be associated with the poleward expansion of sub-Arctic fish populations into the region. </w:t>
      </w:r>
      <w:r w:rsidRPr="00F92A58">
        <w:rPr>
          <w:rFonts w:cs="Times New Roman"/>
          <w:color w:val="333333"/>
          <w:szCs w:val="24"/>
          <w:shd w:val="clear" w:color="auto" w:fill="FFFFFF"/>
        </w:rPr>
        <w:t>Pink salmon (</w:t>
      </w:r>
      <w:r w:rsidRPr="00F92A58">
        <w:rPr>
          <w:rFonts w:cs="Times New Roman"/>
          <w:i/>
          <w:iCs/>
          <w:color w:val="333333"/>
          <w:szCs w:val="24"/>
          <w:shd w:val="clear" w:color="auto" w:fill="FFFFFF"/>
        </w:rPr>
        <w:t>Oncorhynchus gorbuscha</w:t>
      </w:r>
      <w:r w:rsidRPr="00F92A58">
        <w:rPr>
          <w:rFonts w:cs="Times New Roman"/>
          <w:color w:val="333333"/>
          <w:szCs w:val="24"/>
          <w:shd w:val="clear" w:color="auto" w:fill="FFFFFF"/>
        </w:rPr>
        <w:t>), for example, are keystone species in many coastal marine ecosystems of Alaska because of their abundance, influence on nutrient flux and food web dynamics, as well as their importance as a commercial and subsistence resource. The species has been increasingly observed in Arctic Alaskan watersheds since the late 1800’s, but whether they are produced locally or originate from outside the region remains an important, yet unresolved topic of debate. The objective of this project was to use otolith geochemistry to determine if adult pink salmon captured in the Arctic originate from local waters. Water and otolith samples collected in Northwest Alaska, the Alaskan Arctic, and Prince William Sound in 2020 and 2021 were analyzed for </w:t>
      </w:r>
      <w:r w:rsidRPr="00F92A58">
        <w:rPr>
          <w:rFonts w:cs="Times New Roman"/>
          <w:color w:val="333333"/>
          <w:szCs w:val="24"/>
          <w:shd w:val="clear" w:color="auto" w:fill="FFFFFF"/>
          <w:vertAlign w:val="superscript"/>
        </w:rPr>
        <w:t>87</w:t>
      </w:r>
      <w:r w:rsidRPr="00F92A58">
        <w:rPr>
          <w:rFonts w:cs="Times New Roman"/>
          <w:color w:val="333333"/>
          <w:szCs w:val="24"/>
          <w:shd w:val="clear" w:color="auto" w:fill="FFFFFF"/>
        </w:rPr>
        <w:t>Sr/</w:t>
      </w:r>
      <w:r w:rsidRPr="00F92A58">
        <w:rPr>
          <w:rFonts w:cs="Times New Roman"/>
          <w:color w:val="333333"/>
          <w:szCs w:val="24"/>
          <w:shd w:val="clear" w:color="auto" w:fill="FFFFFF"/>
          <w:vertAlign w:val="superscript"/>
        </w:rPr>
        <w:t>86</w:t>
      </w:r>
      <w:r w:rsidRPr="00F92A58">
        <w:rPr>
          <w:rFonts w:cs="Times New Roman"/>
          <w:color w:val="333333"/>
          <w:szCs w:val="24"/>
          <w:shd w:val="clear" w:color="auto" w:fill="FFFFFF"/>
        </w:rPr>
        <w:t xml:space="preserve">Sr, Sr/Ca and Ba/Ca. Based on water chemistry, </w:t>
      </w:r>
      <w:r w:rsidRPr="00F92A58">
        <w:rPr>
          <w:rFonts w:cs="Times New Roman"/>
          <w:color w:val="333333"/>
          <w:szCs w:val="24"/>
          <w:shd w:val="clear" w:color="auto" w:fill="FFFFFF"/>
          <w:vertAlign w:val="superscript"/>
        </w:rPr>
        <w:t>87</w:t>
      </w:r>
      <w:r w:rsidRPr="00F92A58">
        <w:rPr>
          <w:rFonts w:cs="Times New Roman"/>
          <w:color w:val="333333"/>
          <w:szCs w:val="24"/>
          <w:shd w:val="clear" w:color="auto" w:fill="FFFFFF"/>
        </w:rPr>
        <w:t>Sr/</w:t>
      </w:r>
      <w:r w:rsidRPr="00F92A58">
        <w:rPr>
          <w:rFonts w:cs="Times New Roman"/>
          <w:color w:val="333333"/>
          <w:szCs w:val="24"/>
          <w:shd w:val="clear" w:color="auto" w:fill="FFFFFF"/>
          <w:vertAlign w:val="superscript"/>
        </w:rPr>
        <w:t>86</w:t>
      </w:r>
      <w:r w:rsidRPr="00F92A58">
        <w:rPr>
          <w:rFonts w:cs="Times New Roman"/>
          <w:color w:val="333333"/>
          <w:szCs w:val="24"/>
          <w:shd w:val="clear" w:color="auto" w:fill="FFFFFF"/>
        </w:rPr>
        <w:t xml:space="preserve">Sr was the most discriminative marker for determining the provenance of pink salmon in this study. Results indicate that the majority (65%) of adult pink salmon caught in the Alaskan Arctic do not originate from the region. Strontium isotopic ratios in the freshwater portion of the otolith are highly variable between individuals, suggesting that fish have multiple origins. However, there was a small but notable portion of fish (35%) for which Arctic origin could not be ruled out. </w:t>
      </w:r>
      <w:r w:rsidRPr="00F92A58">
        <w:rPr>
          <w:rFonts w:cs="Times New Roman"/>
          <w:szCs w:val="24"/>
        </w:rPr>
        <w:t>Developing tools to better understand the use of Arctic habitat by pink salmon is critical for developing mitigation and management measures for a dynamic region.</w:t>
      </w:r>
    </w:p>
    <w:p w14:paraId="16B5FD6E" w14:textId="77777777" w:rsidR="00693CE2" w:rsidRPr="00F92A58" w:rsidRDefault="00693CE2" w:rsidP="00693CE2">
      <w:pPr>
        <w:pStyle w:val="Heading1"/>
      </w:pPr>
      <w:r w:rsidRPr="00F92A58">
        <w:lastRenderedPageBreak/>
        <w:t>1. Introduction</w:t>
      </w:r>
    </w:p>
    <w:p w14:paraId="5EC827A5" w14:textId="77777777" w:rsidR="00693CE2" w:rsidRPr="00F92A58" w:rsidRDefault="00693CE2" w:rsidP="00693CE2">
      <w:pPr>
        <w:rPr>
          <w:rFonts w:eastAsia="Times New Roman"/>
        </w:rPr>
      </w:pPr>
      <w:r w:rsidRPr="00F92A58">
        <w:t xml:space="preserve">Global climate change has caused the Arctic to undergo rapid environmental changes, including increasing air and water temperatures and melting of sea ice </w:t>
      </w:r>
      <w:r w:rsidRPr="00F92A58">
        <w:fldChar w:fldCharType="begin" w:fldLock="1"/>
      </w:r>
      <w:r w:rsidRPr="00F92A58">
        <w:instrText>ADDIN CSL_CITATION {"citationItems":[{"id":"ITEM-1","itemData":{"author":[{"dropping-particle":"","family":"IPCC","given":"","non-dropping-particle":"","parse-names":false,"suffix":""}],"id":"ITEM-1","issued":{"date-parts":[["2022"]]},"number-of-pages":"3068","title":"Climate Change 2022: Impacts, Adaptation and Vulnerability","type":"report"},"uris":["http://www.mendeley.com/documents/?uuid=ed0f5981-8995-4833-b7bd-a6129ce2c359"]},{"id":"ITEM-2","itemData":{"DOI":"10.1038/s41558-020-0695-2","ISSN":"17586798","abstract":"The highly productive northern Bering and Chukchi marine shelf ecosystem has long been dominated by strong seasonality in sea-ice and water temperatures. Extremely warm conditions from 2017 into 2019—including loss of ice cover across portions of the region in all three winters—were a marked change even from other recent warm years. Biological indicators suggest that this change of state could alter ecosystem structure and function. Here, we report observations of key physical drivers, biological responses and consequences for humans, including subsistence hunting, commercial fishing and industrial shipping. We consider whether observed state changes are indicative of future norms, whether an ecosystem transformation is already underway and, if so, whether shifts are synchronously functional and system wide or reveal a slower cascade of changes from the physical environment through the food web to human society. Understanding of this observed process of ecosystem reorganization may shed light on transformations occurring elsewhere.","author":[{"dropping-particle":"","family":"Huntington","given":"Henry P.","non-dropping-particle":"","parse-names":false,"suffix":""},{"dropping-particle":"","family":"Danielson","given":"Seth L.","non-dropping-particle":"","parse-names":false,"suffix":""},{"dropping-particle":"","family":"Wiese","given":"Francis K.","non-dropping-particle":"","parse-names":false,"suffix":""},{"dropping-particle":"","family":"Baker","given":"Matthew","non-dropping-particle":"","parse-names":false,"suffix":""},{"dropping-particle":"","family":"Boveng","given":"Peter","non-dropping-particle":"","parse-names":false,"suffix":""},{"dropping-particle":"","family":"Citta","given":"John J.","non-dropping-particle":"","parse-names":false,"suffix":""},{"dropping-particle":"","family":"Robertis","given":"Alex","non-dropping-particle":"De","parse-names":false,"suffix":""},{"dropping-particle":"","family":"Dickson","given":"Danielle M.S.","non-dropping-particle":"","parse-names":false,"suffix":""},{"dropping-particle":"","family":"Farley","given":"Ed","non-dropping-particle":"","parse-names":false,"suffix":""},{"dropping-particle":"","family":"George","given":"J. Craighead","non-dropping-particle":"","parse-names":false,"suffix":""},{"dropping-particle":"","family":"Iken","given":"Katrin","non-dropping-particle":"","parse-names":false,"suffix":""},{"dropping-particle":"","family":"Kimmel","given":"David G.","non-dropping-particle":"","parse-names":false,"suffix":""},{"dropping-particle":"","family":"Kuletz","given":"Kathy","non-dropping-particle":"","parse-names":false,"suffix":""},{"dropping-particle":"","family":"Ladd","given":"Carol","non-dropping-particle":"","parse-names":false,"suffix":""},{"dropping-particle":"","family":"Levine","given":"Robert","non-dropping-particle":"","parse-names":false,"suffix":""},{"dropping-particle":"","family":"Quakenbush","given":"Lori","non-dropping-particle":"","parse-names":false,"suffix":""},{"dropping-particle":"","family":"Stabeno","given":"Phyllis","non-dropping-particle":"","parse-names":false,"suffix":""},{"dropping-particle":"","family":"Stafford","given":"Kathleen M.","non-dropping-particle":"","parse-names":false,"suffix":""},{"dropping-particle":"","family":"Stockwell","given":"Dean","non-dropping-particle":"","parse-names":false,"suffix":""},{"dropping-particle":"","family":"Wilson","given":"Chris","non-dropping-particle":"","parse-names":false,"suffix":""}],"container-title":"Nature Climate Change","id":"ITEM-2","issue":"4","issued":{"date-parts":[["2020"]]},"page":"342-348","publisher":"Springer US","title":"Evidence suggests potential transformation of the Pacific Arctic ecosystem is underway","type":"article-journal","volume":"10"},"uris":["http://www.mendeley.com/documents/?uuid=441b29ec-ab42-4f0d-9be8-2bd069bc41e5"]}],"mendeley":{"formattedCitation":"(Huntington et al., 2020; IPCC, 2022)","plainTextFormattedCitation":"(Huntington et al., 2020; IPCC, 2022)","previouslyFormattedCitation":"(Huntington et al., 2020; IPCC, 2022)"},"properties":{"noteIndex":0},"schema":"https://github.com/citation-style-language/schema/raw/master/csl-citation.json"}</w:instrText>
      </w:r>
      <w:r w:rsidRPr="00F92A58">
        <w:fldChar w:fldCharType="separate"/>
      </w:r>
      <w:r w:rsidRPr="00F92A58">
        <w:rPr>
          <w:noProof/>
        </w:rPr>
        <w:t>(Huntington et al., 2020; IPCC, 2022)</w:t>
      </w:r>
      <w:r w:rsidRPr="00F92A58">
        <w:fldChar w:fldCharType="end"/>
      </w:r>
      <w:r w:rsidRPr="00F92A58">
        <w:t xml:space="preserve">. These physical and biogeochemical changes are resulting in drastic alterations to marine and freshwater Arctic ecosystems, which will likely increase in severity as Arctic warming trends continue </w:t>
      </w:r>
      <w:r w:rsidRPr="00F92A58">
        <w:fldChar w:fldCharType="begin" w:fldLock="1"/>
      </w:r>
      <w:r w:rsidRPr="00F92A58">
        <w:instrText>ADDIN CSL_CITATION {"citationItems":[{"id":"ITEM-1","itemData":{"DOI":"10.1038/s41558-020-0695-2","ISSN":"17586798","abstract":"The highly productive northern Bering and Chukchi marine shelf ecosystem has long been dominated by strong seasonality in sea-ice and water temperatures. Extremely warm conditions from 2017 into 2019—including loss of ice cover across portions of the region in all three winters—were a marked change even from other recent warm years. Biological indicators suggest that this change of state could alter ecosystem structure and function. Here, we report observations of key physical drivers, biological responses and consequences for humans, including subsistence hunting, commercial fishing and industrial shipping. We consider whether observed state changes are indicative of future norms, whether an ecosystem transformation is already underway and, if so, whether shifts are synchronously functional and system wide or reveal a slower cascade of changes from the physical environment through the food web to human society. Understanding of this observed process of ecosystem reorganization may shed light on transformations occurring elsewhere.","author":[{"dropping-particle":"","family":"Huntington","given":"Henry P.","non-dropping-particle":"","parse-names":false,"suffix":""},{"dropping-particle":"","family":"Danielson","given":"Seth L.","non-dropping-particle":"","parse-names":false,"suffix":""},{"dropping-particle":"","family":"Wiese","given":"Francis K.","non-dropping-particle":"","parse-names":false,"suffix":""},{"dropping-particle":"","family":"Baker","given":"Matthew","non-dropping-particle":"","parse-names":false,"suffix":""},{"dropping-particle":"","family":"Boveng","given":"Peter","non-dropping-particle":"","parse-names":false,"suffix":""},{"dropping-particle":"","family":"Citta","given":"John J.","non-dropping-particle":"","parse-names":false,"suffix":""},{"dropping-particle":"","family":"Robertis","given":"Alex","non-dropping-particle":"De","parse-names":false,"suffix":""},{"dropping-particle":"","family":"Dickson","given":"Danielle M.S.","non-dropping-particle":"","parse-names":false,"suffix":""},{"dropping-particle":"","family":"Farley","given":"Ed","non-dropping-particle":"","parse-names":false,"suffix":""},{"dropping-particle":"","family":"George","given":"J. Craighead","non-dropping-particle":"","parse-names":false,"suffix":""},{"dropping-particle":"","family":"Iken","given":"Katrin","non-dropping-particle":"","parse-names":false,"suffix":""},{"dropping-particle":"","family":"Kimmel","given":"David G.","non-dropping-particle":"","parse-names":false,"suffix":""},{"dropping-particle":"","family":"Kuletz","given":"Kathy","non-dropping-particle":"","parse-names":false,"suffix":""},{"dropping-particle":"","family":"Ladd","given":"Carol","non-dropping-particle":"","parse-names":false,"suffix":""},{"dropping-particle":"","family":"Levine","given":"Robert","non-dropping-particle":"","parse-names":false,"suffix":""},{"dropping-particle":"","family":"Quakenbush","given":"Lori","non-dropping-particle":"","parse-names":false,"suffix":""},{"dropping-particle":"","family":"Stabeno","given":"Phyllis","non-dropping-particle":"","parse-names":false,"suffix":""},{"dropping-particle":"","family":"Stafford","given":"Kathleen M.","non-dropping-particle":"","parse-names":false,"suffix":""},{"dropping-particle":"","family":"Stockwell","given":"Dean","non-dropping-particle":"","parse-names":false,"suffix":""},{"dropping-particle":"","family":"Wilson","given":"Chris","non-dropping-particle":"","parse-names":false,"suffix":""}],"container-title":"Nature Climate Change","id":"ITEM-1","issue":"4","issued":{"date-parts":[["2020"]]},"page":"342-348","publisher":"Springer US","title":"Evidence suggests potential transformation of the Pacific Arctic ecosystem is underway","type":"article-journal","volume":"10"},"uris":["http://www.mendeley.com/documents/?uuid=441b29ec-ab42-4f0d-9be8-2bd069bc41e5"]},{"id":"ITEM-2","itemData":{"DOI":"10.1016/j.dsr2.2016.11.005","ISSN":"09670645","author":[{"dropping-particle":"","family":"Mueter","given":"Franz J.","non-dropping-particle":"","parse-names":false,"suffix":""},{"dropping-particle":"","family":"Weems","given":"Jared","non-dropping-particle":"","parse-names":false,"suffix":""},{"dropping-particle":"V.","family":"Farley","given":"Edward","non-dropping-particle":"","parse-names":false,"suffix":""},{"dropping-particle":"","family":"Sigler","given":"Michael F.","non-dropping-particle":"","parse-names":false,"suffix":""}],"container-title":"Deep-Sea Research Part II: Topical Studies in Oceanography","id":"ITEM-2","issue":"November 2016","issued":{"date-parts":[["2017"]]},"page":"1-6","title":"Arctic Ecosystem Integrated Survey (Arctic Eis): Marine ecosystem dynamics in the rapidly changing Pacific Arctic Gateway","type":"article-journal","volume":"135"},"uris":["http://www.mendeley.com/documents/?uuid=692ca264-8c86-454b-84ed-7fce97ba1199"]}],"mendeley":{"formattedCitation":"(Huntington et al., 2020; Mueter et al., 2017)","plainTextFormattedCitation":"(Huntington et al., 2020; Mueter et al., 2017)","previouslyFormattedCitation":"(Huntington et al., 2020; Mueter et al., 2017)"},"properties":{"noteIndex":0},"schema":"https://github.com/citation-style-language/schema/raw/master/csl-citation.json"}</w:instrText>
      </w:r>
      <w:r w:rsidRPr="00F92A58">
        <w:fldChar w:fldCharType="separate"/>
      </w:r>
      <w:r w:rsidRPr="00F92A58">
        <w:rPr>
          <w:noProof/>
        </w:rPr>
        <w:t>(Huntington et al., 2020; Mueter et al., 2017)</w:t>
      </w:r>
      <w:r w:rsidRPr="00F92A58">
        <w:fldChar w:fldCharType="end"/>
      </w:r>
      <w:r w:rsidRPr="00F92A58">
        <w:t xml:space="preserve">. </w:t>
      </w:r>
      <w:r w:rsidRPr="00F92A58">
        <w:rPr>
          <w:rFonts w:eastAsia="Times New Roman"/>
        </w:rPr>
        <w:t>Although it is clear that global climate change will have profound impacts on Arctic ecosystems, understanding ecosystem dynamics in a rapidly</w:t>
      </w:r>
      <w:r>
        <w:rPr>
          <w:rFonts w:eastAsia="Times New Roman"/>
        </w:rPr>
        <w:t xml:space="preserve"> </w:t>
      </w:r>
      <w:r w:rsidRPr="00F92A58">
        <w:rPr>
          <w:rFonts w:eastAsia="Times New Roman"/>
        </w:rPr>
        <w:t xml:space="preserve">changing and remote environment can be challenging. However, it is critical to increase our understanding of the current and future impacts of global climate change on Arctic ecosystems so that impacts can be managed and mitigated. </w:t>
      </w:r>
    </w:p>
    <w:p w14:paraId="3FA5D81B" w14:textId="77777777" w:rsidR="00693CE2" w:rsidRPr="00F92A58" w:rsidRDefault="00693CE2" w:rsidP="00693CE2">
      <w:r w:rsidRPr="00F92A58">
        <w:t xml:space="preserve">Physical changes in the Arctic have already had dramatic impacts on regional freshwater and marine ecosystems. These impacts have spanned the entire ecosystem, from changes in the microbiome </w:t>
      </w:r>
      <w:r w:rsidRPr="00F92A58">
        <w:fldChar w:fldCharType="begin" w:fldLock="1"/>
      </w:r>
      <w:r w:rsidRPr="00F92A58">
        <w:instrText>ADDIN CSL_CITATION {"citationItems":[{"id":"ITEM-1","itemData":{"DOI":"10.1038/s41579-019-0178-5","ISSN":"17401534","PMID":"31092905","abstract":"The signs of climate change are undeniable, and the inevitable impact for Earth and all its inhabitants is a serious concern. Ice is melting, sea levels are rising, biodiversity is declining, precipitation has increased, atmospheric levels of carbon dioxide and greenhouse gases are alarmingly high, and extreme weather conditions are becoming increasingly common. But what role do microorganisms have in this global challenge? In this Viewpoint article, several experts in the field discuss the microbial contributions to climate change and consider the effects of global warming, extreme weather, flooding and other consequences of climate change on microbial communities in the ocean and soil, on host–microbiota interactions and on the global burden of infectious diseases and ecosystem processes, and they explore open questions and research needs.","author":[{"dropping-particle":"","family":"Hutchins","given":"David A.","non-dropping-particle":"","parse-names":false,"suffix":""},{"dropping-particle":"","family":"Jansson","given":"Janet K.","non-dropping-particle":"","parse-names":false,"suffix":""},{"dropping-particle":"V.","family":"Remais","given":"Justin","non-dropping-particle":"","parse-names":false,"suffix":""},{"dropping-particle":"","family":"Rich","given":"Virginia I.","non-dropping-particle":"","parse-names":false,"suffix":""},{"dropping-particle":"","family":"Singh","given":"Brajesh K.","non-dropping-particle":"","parse-names":false,"suffix":""},{"dropping-particle":"","family":"Trivedi","given":"Pankaj","non-dropping-particle":"","parse-names":false,"suffix":""}],"container-title":"Nature Reviews Microbiology","id":"ITEM-1","issue":"6","issued":{"date-parts":[["2019"]]},"page":"391-396","publisher":"Springer US","title":"Climate change microbiology — problems and perspectives","type":"article-journal","volume":"17"},"uris":["http://www.mendeley.com/documents/?uuid=4bb3b4b7-99dd-498c-9ae1-b96d2d4630a5"]}],"mendeley":{"formattedCitation":"(Hutchins et al., 2019)","plainTextFormattedCitation":"(Hutchins et al., 2019)","previouslyFormattedCitation":"(Hutchins et al., 2019)"},"properties":{"noteIndex":0},"schema":"https://github.com/citation-style-language/schema/raw/master/csl-citation.json"}</w:instrText>
      </w:r>
      <w:r w:rsidRPr="00F92A58">
        <w:fldChar w:fldCharType="separate"/>
      </w:r>
      <w:r w:rsidRPr="00F92A58">
        <w:rPr>
          <w:noProof/>
        </w:rPr>
        <w:t>(Hutchins et al., 2019)</w:t>
      </w:r>
      <w:r w:rsidRPr="00F92A58">
        <w:fldChar w:fldCharType="end"/>
      </w:r>
      <w:r w:rsidRPr="00F92A58">
        <w:t xml:space="preserve"> and primary productivity </w:t>
      </w:r>
      <w:r w:rsidRPr="00F92A58">
        <w:fldChar w:fldCharType="begin" w:fldLock="1"/>
      </w:r>
      <w:r w:rsidRPr="00F92A58">
        <w:instrText>ADDIN CSL_CITATION {"citationItems":[{"id":"ITEM-1","itemData":{"DOI":"10.1038/s41558-020-0905-y","ISSN":"17586798","abstract":"Changes in the Arctic atmosphere, cryosphere and Ocean are drastically altering the dynamics of phytoplankton, the base of marine ecosystems. This Review addresses four major complementary questions of ongoing Arctic Ocean changes and associated impacts on phytoplankton productivity, phenology and assemblage composition. We highlight trends in primary production over the last two decades while considering how multiple environmental drivers shape Arctic biogeography. Further, we consider changes to Arctic phenology by borealization and hidden under-ice blooms, and how the diversity of phytoplankton assemblages might evolve in a novel Arctic ‘biogeochemical landscape’. It is critical to understand these aspects of changing Arctic phytoplankton dynamics as they exert pressure on marine Arctic ecosystems in addition to direct effects from rapid environmental changes.","author":[{"dropping-particle":"","family":"Ardyna","given":"Mathieu","non-dropping-particle":"","parse-names":false,"suffix":""},{"dropping-particle":"","family":"Arrigo","given":"Kevin Robert","non-dropping-particle":"","parse-names":false,"suffix":""}],"container-title":"Nature Climate Change","id":"ITEM-1","issue":"10","issued":{"date-parts":[["2020"]]},"page":"892-903","publisher":"Springer US","title":"Phytoplankton dynamics in a changing Arctic Ocean","type":"article-journal","volume":"10"},"uris":["http://www.mendeley.com/documents/?uuid=0b55fb8b-3055-4a7e-a93d-fa438d5da548"]}],"mendeley":{"formattedCitation":"(Ardyna and Arrigo, 2020)","plainTextFormattedCitation":"(Ardyna and Arrigo, 2020)","previouslyFormattedCitation":"(Ardyna and Arrigo, 2020)"},"properties":{"noteIndex":0},"schema":"https://github.com/citation-style-language/schema/raw/master/csl-citation.json"}</w:instrText>
      </w:r>
      <w:r w:rsidRPr="00F92A58">
        <w:fldChar w:fldCharType="separate"/>
      </w:r>
      <w:r w:rsidRPr="00F92A58">
        <w:rPr>
          <w:noProof/>
        </w:rPr>
        <w:t>(Ardyna and Arrigo, 2020)</w:t>
      </w:r>
      <w:r w:rsidRPr="00F92A58">
        <w:fldChar w:fldCharType="end"/>
      </w:r>
      <w:r w:rsidRPr="00F92A58">
        <w:t xml:space="preserve"> to significant impacts on apex predators like polar bears </w:t>
      </w:r>
      <w:r w:rsidRPr="00F92A58">
        <w:fldChar w:fldCharType="begin" w:fldLock="1"/>
      </w:r>
      <w:r w:rsidRPr="00F92A58">
        <w:instrText>ADDIN CSL_CITATION {"citationItems":[{"id":"ITEM-1","itemData":{"DOI":"10.3184/003685008X324506","ISBN":"003685008X","ISSN":"00368504","PMID":"18717367","abstract":"In this article, we review the effects on polar bears of global warming that have already been observed, and try to evaluate what may happen to the polar bears in the future. Many researchers have predicted a wide range of impacts of climate change on polar bear demography and conditions. A predicted major reduction in sea ice habitat will reduce the availability of ice associated seals, the main prey of polar bears, and a loss and fragmentation of polar bear habitat will ultimately lead to large future reductions in most subpopulations. It is likely that polar bears will be lostftom many areas where they are common today and also that the total population will change into a few more distinctly isolated populations.","author":[{"dropping-particle":"","family":"Wiig","given":"Øystein","non-dropping-particle":"","parse-names":false,"suffix":""},{"dropping-particle":"","family":"Aars","given":"Jon","non-dropping-particle":"","parse-names":false,"suffix":""},{"dropping-particle":"","family":"Born","given":"Erik W.","non-dropping-particle":"","parse-names":false,"suffix":""}],"container-title":"Science Progress","id":"ITEM-1","issue":"2","issued":{"date-parts":[["2008"]]},"page":"151-173","title":"Effects of climate change on polar bears","type":"article-journal","volume":"91"},"uris":["http://www.mendeley.com/documents/?uuid=771e5c0b-ec9e-4893-b267-fcda70c7fb1e"]}],"mendeley":{"formattedCitation":"(Wiig et al., 2008)","plainTextFormattedCitation":"(Wiig et al., 2008)","previouslyFormattedCitation":"(Wiig et al., 2008)"},"properties":{"noteIndex":0},"schema":"https://github.com/citation-style-language/schema/raw/master/csl-citation.json"}</w:instrText>
      </w:r>
      <w:r w:rsidRPr="00F92A58">
        <w:fldChar w:fldCharType="separate"/>
      </w:r>
      <w:r w:rsidRPr="00F92A58">
        <w:rPr>
          <w:noProof/>
        </w:rPr>
        <w:t>(Wiig et al., 2008)</w:t>
      </w:r>
      <w:r w:rsidRPr="00F92A58">
        <w:fldChar w:fldCharType="end"/>
      </w:r>
      <w:r w:rsidRPr="00F92A58">
        <w:t xml:space="preserve">. In addition to drastic changes in the marine environment, Arctic freshwater ecosystems are projected to experience changes in primary productivity, partially driven by increasing nutrient fluxes from terrestrial input, which will have dramatic effects on the entire food web </w:t>
      </w:r>
      <w:r w:rsidRPr="00F92A58">
        <w:fldChar w:fldCharType="begin" w:fldLock="1"/>
      </w:r>
      <w:r w:rsidRPr="00F92A58">
        <w:instrText>ADDIN CSL_CITATION {"citationItems":[{"id":"ITEM-1","itemData":{"DOI":"10.1002/2015JG003133.Received","author":[{"dropping-particle":"","family":"Wrona","given":"Frederic J","non-dropping-particle":"","parse-names":false,"suffix":""},{"dropping-particle":"","family":"Johansson","given":"Margareta","non-dropping-particle":"","parse-names":false,"suffix":""},{"dropping-particle":"","family":"Culp","given":"Joseph M","non-dropping-particle":"","parse-names":false,"suffix":""},{"dropping-particle":"","family":"Jenkins","given":"Alan","non-dropping-particle":"","parse-names":false,"suffix":""},{"dropping-particle":"","family":"Johanna","given":"Mård","non-dropping-particle":"","parse-names":false,"suffix":""},{"dropping-particle":"","family":"Myers-smith","given":"Isla H","non-dropping-particle":"","parse-names":false,"suffix":""},{"dropping-particle":"","family":"Prowse","given":"Terry D","non-dropping-particle":"","parse-names":false,"suffix":""},{"dropping-particle":"","family":"Vincent","given":"Warwick F","non-dropping-particle":"","parse-names":false,"suffix":""},{"dropping-particle":"","family":"Wookey","given":"Philip A","non-dropping-particle":"","parse-names":false,"suffix":""}],"container-title":"Journal of Geophysical Research Biogeosciences","id":"ITEM-1","issued":{"date-parts":[["2016"]]},"page":"650-674","title":"of a Changing Hydrological Regime","type":"article-journal"},"uris":["http://www.mendeley.com/documents/?uuid=a370243a-868f-443b-b068-539054f9dcb1"]},{"id":"ITEM-2","itemData":{"author":[{"dropping-particle":"","family":"CAFF","given":"","non-dropping-particle":"","parse-names":false,"suffix":""}],"id":"ITEM-2","issued":{"date-parts":[["2019"]]},"number-of-pages":"124","title":"State of the Arctic Freshwater Biodiversity Report","type":"report"},"uris":["http://www.mendeley.com/documents/?uuid=c2b72be3-3d03-445e-8210-6fdd912edcf0"]}],"mendeley":{"formattedCitation":"(CAFF, 2019; Wrona et al., 2016)","plainTextFormattedCitation":"(CAFF, 2019; Wrona et al., 2016)","previouslyFormattedCitation":"(CAFF, 2019; Wrona et al., 2016)"},"properties":{"noteIndex":0},"schema":"https://github.com/citation-style-language/schema/raw/master/csl-citation.json"}</w:instrText>
      </w:r>
      <w:r w:rsidRPr="00F92A58">
        <w:fldChar w:fldCharType="separate"/>
      </w:r>
      <w:r w:rsidRPr="00F92A58">
        <w:rPr>
          <w:noProof/>
        </w:rPr>
        <w:t>(CAFF, 2019; Wrona et al., 2016)</w:t>
      </w:r>
      <w:r w:rsidRPr="00F92A58">
        <w:fldChar w:fldCharType="end"/>
      </w:r>
      <w:r w:rsidRPr="00F92A58">
        <w:t xml:space="preserve">. Shifts in distribution and abundance of a variety of species, including copepods, fish, seabirds, seals, and whales have already been documented </w:t>
      </w:r>
      <w:r w:rsidRPr="00F92A58">
        <w:fldChar w:fldCharType="begin" w:fldLock="1"/>
      </w:r>
      <w:r w:rsidRPr="00F92A58">
        <w:instrText>ADDIN CSL_CITATION {"citationItems":[{"id":"ITEM-1","itemData":{"DOI":"10.1038/s41558-020-0695-2","ISSN":"17586798","abstract":"The highly productive northern Bering and Chukchi marine shelf ecosystem has long been dominated by strong seasonality in sea-ice and water temperatures. Extremely warm conditions from 2017 into 2019—including loss of ice cover across portions of the region in all three winters—were a marked change even from other recent warm years. Biological indicators suggest that this change of state could alter ecosystem structure and function. Here, we report observations of key physical drivers, biological responses and consequences for humans, including subsistence hunting, commercial fishing and industrial shipping. We consider whether observed state changes are indicative of future norms, whether an ecosystem transformation is already underway and, if so, whether shifts are synchronously functional and system wide or reveal a slower cascade of changes from the physical environment through the food web to human society. Understanding of this observed process of ecosystem reorganization may shed light on transformations occurring elsewhere.","author":[{"dropping-particle":"","family":"Huntington","given":"Henry P.","non-dropping-particle":"","parse-names":false,"suffix":""},{"dropping-particle":"","family":"Danielson","given":"Seth L.","non-dropping-particle":"","parse-names":false,"suffix":""},{"dropping-particle":"","family":"Wiese","given":"Francis K.","non-dropping-particle":"","parse-names":false,"suffix":""},{"dropping-particle":"","family":"Baker","given":"Matthew","non-dropping-particle":"","parse-names":false,"suffix":""},{"dropping-particle":"","family":"Boveng","given":"Peter","non-dropping-particle":"","parse-names":false,"suffix":""},{"dropping-particle":"","family":"Citta","given":"John J.","non-dropping-particle":"","parse-names":false,"suffix":""},{"dropping-particle":"","family":"Robertis","given":"Alex","non-dropping-particle":"De","parse-names":false,"suffix":""},{"dropping-particle":"","family":"Dickson","given":"Danielle M.S.","non-dropping-particle":"","parse-names":false,"suffix":""},{"dropping-particle":"","family":"Farley","given":"Ed","non-dropping-particle":"","parse-names":false,"suffix":""},{"dropping-particle":"","family":"George","given":"J. Craighead","non-dropping-particle":"","parse-names":false,"suffix":""},{"dropping-particle":"","family":"Iken","given":"Katrin","non-dropping-particle":"","parse-names":false,"suffix":""},{"dropping-particle":"","family":"Kimmel","given":"David G.","non-dropping-particle":"","parse-names":false,"suffix":""},{"dropping-particle":"","family":"Kuletz","given":"Kathy","non-dropping-particle":"","parse-names":false,"suffix":""},{"dropping-particle":"","family":"Ladd","given":"Carol","non-dropping-particle":"","parse-names":false,"suffix":""},{"dropping-particle":"","family":"Levine","given":"Robert","non-dropping-particle":"","parse-names":false,"suffix":""},{"dropping-particle":"","family":"Quakenbush","given":"Lori","non-dropping-particle":"","parse-names":false,"suffix":""},{"dropping-particle":"","family":"Stabeno","given":"Phyllis","non-dropping-particle":"","parse-names":false,"suffix":""},{"dropping-particle":"","family":"Stafford","given":"Kathleen M.","non-dropping-particle":"","parse-names":false,"suffix":""},{"dropping-particle":"","family":"Stockwell","given":"Dean","non-dropping-particle":"","parse-names":false,"suffix":""},{"dropping-particle":"","family":"Wilson","given":"Chris","non-dropping-particle":"","parse-names":false,"suffix":""}],"container-title":"Nature Climate Change","id":"ITEM-1","issue":"4","issued":{"date-parts":[["2020"]]},"page":"342-348","publisher":"Springer US","title":"Evidence suggests potential transformation of the Pacific Arctic ecosystem is underway","type":"article-journal","volume":"10"},"uris":["http://www.mendeley.com/documents/?uuid=441b29ec-ab42-4f0d-9be8-2bd069bc41e5"]}],"mendeley":{"formattedCitation":"(Huntington et al., 2020)","plainTextFormattedCitation":"(Huntington et al., 2020)","previouslyFormattedCitation":"(Huntington et al., 2020)"},"properties":{"noteIndex":0},"schema":"https://github.com/citation-style-language/schema/raw/master/csl-citation.json"}</w:instrText>
      </w:r>
      <w:r w:rsidRPr="00F92A58">
        <w:fldChar w:fldCharType="separate"/>
      </w:r>
      <w:r w:rsidRPr="00F92A58">
        <w:rPr>
          <w:noProof/>
        </w:rPr>
        <w:t>(Huntington et al., 2020)</w:t>
      </w:r>
      <w:r w:rsidRPr="00F92A58">
        <w:fldChar w:fldCharType="end"/>
      </w:r>
      <w:r w:rsidRPr="00F92A58">
        <w:t xml:space="preserve">. In addition to impacts on native Arctic species, physical environmental changes will allow for the range expansion of sub-Arctic species. Models predict that the Arctic will have among the highest changes in fisheries catch potential worldwide (&gt;20%), driven by a large number of invasive species </w:t>
      </w:r>
      <w:r w:rsidRPr="00F92A58">
        <w:fldChar w:fldCharType="begin" w:fldLock="1"/>
      </w:r>
      <w:r w:rsidRPr="00F92A58">
        <w:instrText>ADDIN CSL_CITATION {"citationItems":[{"id":"ITEM-1","itemData":{"DOI":"10.1016/j.ecolmodel.2015.12.018","ISSN":"03043800","abstract":"The global ocean is projected to be warmer, less oxygenated and more acidic in the 21st century relative to the present day, resulting in changes in the biogeography and productivity of marine organisms and ecosystems. Previous studies using a Dynamic Bioclimate Envelope Model (DBEM) projected increases in potential catch in high latitude regions and decreases in tropical regions over the next few decades. A major structural uncertainty of the projected redistribution of species and fisheries catches can be attributed to the habitat suitability algorithms used. Here, we compare the DBEM projections of potential catches of 500 species of exploited marine fishes and invertebrates from 1971 to 2060 using three versions of DBEM that differ by the algorithm used to predict relative habitat suitability: DBEM-Basic, DBEM-Maxent and DBEM-Aquamaps. All the DBEM models have similar skill in predicting the occurrence of exploited species and distribution of observed fisheries production. Globally, the models project a decrease in catch potential of 3% to 13% by 2050 under a high emissions scenario (Representative Concentration Pathway 8.5). For the majority of the modelled species, projections by DBEM-Maxent are less sensitive to changes in ocean properties than those by DBEM-Aquamaps. The mean magnitude of projected changes relative to differences between projections differ between regions, being highest (&gt;1 times the standard deviation) in the tropical regions and Arctic Ocean and lowest in three of the main Eastern Boundary Upwelling regions, the eastern Indian Ocean and the Southern Ocean. These results suggest that the qualitative patterns of changes in catch potential reported in previous studies are not affected by the structural uncertainty of DBEM, particularly in areas where catch potential was projected to be most sensitive to climate change. However, when making projections of fish stocks and their potential catches using DBEM in the future, multiple versions of DBEM should be used to quantify the uncertainty associated with structural uncertainty of the models. Overall, this study contributes to improving projection of future changes in living marine resources by exploring one aspect of the cascade of uncertainty associated with such projections.","author":[{"dropping-particle":"","family":"Cheung","given":"William W.L.","non-dropping-particle":"","parse-names":false,"suffix":""},{"dropping-particle":"","family":"Jones","given":"Miranda C.","non-dropping-particle":"","parse-names":false,"suffix":""},{"dropping-particle":"","family":"Reygondeau","given":"Gabriel","non-dropping-particle":"","parse-names":false,"suffix":""},{"dropping-particle":"","family":"Stock","given":"Charles A.","non-dropping-particle":"","parse-names":false,"suffix":""},{"dropping-particle":"","family":"Lam","given":"Vicky W.Y.","non-dropping-particle":"","parse-names":false,"suffix":""},{"dropping-particle":"","family":"Frölicher","given":"Thomas L.","non-dropping-particle":"","parse-names":false,"suffix":""}],"container-title":"Ecological Modelling","id":"ITEM-1","issued":{"date-parts":[["2016"]]},"page":"57-66","publisher":"Elsevier B.V.","title":"Structural uncertainty in projecting global fisheries catches under climate change","type":"article-journal","volume":"325"},"uris":["http://www.mendeley.com/documents/?uuid=2267b2bb-584d-49a3-abe8-85bcc8916f3a"]}],"mendeley":{"formattedCitation":"(Cheung et al., 2016)","plainTextFormattedCitation":"(Cheung et al., 2016)","previouslyFormattedCitation":"(Cheung et al., 2016)"},"properties":{"noteIndex":0},"schema":"https://github.com/citation-style-language/schema/raw/master/csl-citation.json"}</w:instrText>
      </w:r>
      <w:r w:rsidRPr="00F92A58">
        <w:fldChar w:fldCharType="separate"/>
      </w:r>
      <w:r w:rsidRPr="00F92A58">
        <w:rPr>
          <w:noProof/>
        </w:rPr>
        <w:t>(Cheung et al., 2016)</w:t>
      </w:r>
      <w:r w:rsidRPr="00F92A58">
        <w:fldChar w:fldCharType="end"/>
      </w:r>
      <w:r w:rsidRPr="00F92A58">
        <w:t>.</w:t>
      </w:r>
    </w:p>
    <w:p w14:paraId="5860649D" w14:textId="77777777" w:rsidR="00693CE2" w:rsidRPr="00F92A58" w:rsidRDefault="00693CE2" w:rsidP="00693CE2">
      <w:r w:rsidRPr="00F92A58">
        <w:lastRenderedPageBreak/>
        <w:t xml:space="preserve">Many native fish species are a critical resource in the Arctic due to their economic, cultural, and ecological significance. In response to increasing temperatures, non-native fish species have expanded in range and taken advantage of previously inhospitable habitats and may have significant impacts on the Arctic ecosystem. Poleward expansion in the distribution of sub-Arctic fish populations at rates that match climatic shifts in local environments have already been documented and have resulted in significant ecological impacts for native fish species, including notable changes in the location and range of Arctic fish species </w:t>
      </w:r>
      <w:r w:rsidRPr="00F92A58">
        <w:fldChar w:fldCharType="begin" w:fldLock="1"/>
      </w:r>
      <w:r w:rsidRPr="00F92A58">
        <w:instrText>ADDIN CSL_CITATION {"citationItems":[{"id":"ITEM-1","itemData":{"DOI":"10.1038/nclimate2647","ISSN":"17586798","abstract":"Arctic marine ecosystems are warming twice as fast as the global average. As a consequence of warming, many incoming species experience increasing abundances and expanding distribution ranges in the Arctic. The Arctic is expected to have the largest species turnover with regard to invading and locally extinct species, with a modelled invasion intensity of five times the global average. Studies in this region might therefore give valuable insights into community-wide shifts of species driven by climate warming. We found that the recent warming in the Barents Sea has led to a change in spatial distribution of fish communities, with boreal communities expanding northwards at a pace reflecting the local climate velocities. Increased abundance and distribution areas of large, migratory fish predators explain the observed community-wide distributional shifts. These shifts change the ecological interactions experienced by Arctic fish species. The Arctic shelf fish community retracted northwards to deeper areas bordering the deep polar basin. Depth might limit further retraction of some of the fish species in the Arctic shelf community. We conclude that climate warming is inducing structural change over large spatial scales at high latitudes, leading to a borealization of fish communities in the Arctic.","author":[{"dropping-particle":"","family":"Fossheim","given":"Maria","non-dropping-particle":"","parse-names":false,"suffix":""},{"dropping-particle":"","family":"Primicerio","given":"Raul","non-dropping-particle":"","parse-names":false,"suffix":""},{"dropping-particle":"","family":"Johannesen","given":"Edda","non-dropping-particle":"","parse-names":false,"suffix":""},{"dropping-particle":"","family":"Ingvaldsen","given":"Randi B.","non-dropping-particle":"","parse-names":false,"suffix":""},{"dropping-particle":"","family":"Aschan","given":"Michaela M.","non-dropping-particle":"","parse-names":false,"suffix":""},{"dropping-particle":"V.","family":"Dolgov","given":"Andrey","non-dropping-particle":"","parse-names":false,"suffix":""}],"container-title":"Nature Climate Change","id":"ITEM-1","issue":"7","issued":{"date-parts":[["2015"]]},"page":"673-677","title":"Recent warming leads to a rapid borealization of fish communities in the Arctic","type":"article-journal","volume":"5"},"uris":["http://www.mendeley.com/documents/?uuid=f9d622e9-9d78-4d63-a457-b85603bf87c3"]}],"mendeley":{"formattedCitation":"(Fossheim et al., 2015)","plainTextFormattedCitation":"(Fossheim et al., 2015)","previouslyFormattedCitation":"(Fossheim et al., 2015)"},"properties":{"noteIndex":0},"schema":"https://github.com/citation-style-language/schema/raw/master/csl-citation.json"}</w:instrText>
      </w:r>
      <w:r w:rsidRPr="00F92A58">
        <w:fldChar w:fldCharType="separate"/>
      </w:r>
      <w:r w:rsidRPr="00F92A58">
        <w:rPr>
          <w:noProof/>
        </w:rPr>
        <w:t>(Fossheim et al., 2015)</w:t>
      </w:r>
      <w:r w:rsidRPr="00F92A58">
        <w:fldChar w:fldCharType="end"/>
      </w:r>
      <w:r w:rsidRPr="00F92A58">
        <w:t xml:space="preserve">. Small increases (e.g., 2-3°C) in water temperature at high latitudes are predicted to result in dramatic changes in the range of sub-Arctic fish </w:t>
      </w:r>
      <w:r w:rsidRPr="00F92A58">
        <w:fldChar w:fldCharType="begin" w:fldLock="1"/>
      </w:r>
      <w:r w:rsidRPr="00F92A58">
        <w:instrText>ADDIN CSL_CITATION {"citationItems":[{"id":"ITEM-1","itemData":{"DOI":"10.1038/s41598-020-73444-y","ISBN":"0123456789","ISSN":"20452322","PMID":"33020548","abstract":"The distributional response of marine fishes to climate warming would be expected to be very different than that of homeothermic birds and mammals, due both to more direct thermal effects on poikilothermic fish physiology and on reduced habitat fragmentation. In this study, we use a combination of linear models and graphical tools to quantify three-dimensional distribution shifts in 82 fish species caught in 5390 standardized groundfish survey tows over a 22-year time frame in the highly-productive sub-Arctic waters around Iceland. Over a 1 °C range, temperature significantly modified the distributional centroids of 72% of all fish species, but had relatively little effect on diversity. Most of the geographic shifts were to the northwest, and there was no overall tendency to move to deeper waters. A doubling of species abundance significantly influenced the distribution of 62% of species, but lacked the poleward orientation observed with temperature increases. Stenothermal species, those near their upper or lower thermal limits, and those with restricted spatial ranges were most likely to shift their distribution in response to climate warming, while deepwater species were not. A 2–3 °C warming of marine waters seems likely to produce large-scale changes in the location of many sub-Arctic fisheries.","author":[{"dropping-particle":"","family":"Campana","given":"Steven E.","non-dropping-particle":"","parse-names":false,"suffix":""},{"dropping-particle":"","family":"Stefánsdóttir","given":"Ragnhildur B.","non-dropping-particle":"","parse-names":false,"suffix":""},{"dropping-particle":"","family":"Jakobsdóttir","given":"Klara","non-dropping-particle":"","parse-names":false,"suffix":""},{"dropping-particle":"","family":"Sólmundsson","given":"Jón","non-dropping-particle":"","parse-names":false,"suffix":""}],"container-title":"Scientific Reports","id":"ITEM-1","issue":"1","issued":{"date-parts":[["2020"]]},"page":"1-14","publisher":"Nature Publishing Group UK","title":"Shifting fish distributions in warming sub-Arctic oceans","type":"article-journal","volume":"10"},"uris":["http://www.mendeley.com/documents/?uuid=d064d004-abf8-4fe1-9e81-a1622212c2a1"]}],"mendeley":{"formattedCitation":"(Campana et al., 2020)","plainTextFormattedCitation":"(Campana et al., 2020)","previouslyFormattedCitation":"(Campana et al., 2020)"},"properties":{"noteIndex":0},"schema":"https://github.com/citation-style-language/schema/raw/master/csl-citation.json"}</w:instrText>
      </w:r>
      <w:r w:rsidRPr="00F92A58">
        <w:fldChar w:fldCharType="separate"/>
      </w:r>
      <w:r w:rsidRPr="00F92A58">
        <w:rPr>
          <w:noProof/>
        </w:rPr>
        <w:t>(Campana et al., 2020)</w:t>
      </w:r>
      <w:r w:rsidRPr="00F92A58">
        <w:fldChar w:fldCharType="end"/>
      </w:r>
      <w:r w:rsidRPr="00F92A58">
        <w:t>. Native Arctic fish species, such as Arctic cod (</w:t>
      </w:r>
      <w:r w:rsidRPr="00F92A58">
        <w:rPr>
          <w:i/>
          <w:iCs/>
        </w:rPr>
        <w:t>Boreogadus saida</w:t>
      </w:r>
      <w:r w:rsidRPr="00F92A58">
        <w:t xml:space="preserve">), are already predicted to face significant declines in range and abundance under global climate change scenarios </w:t>
      </w:r>
      <w:r w:rsidRPr="00F92A58">
        <w:fldChar w:fldCharType="begin" w:fldLock="1"/>
      </w:r>
      <w:r>
        <w:instrText>ADDIN CSL_CITATION {"citationItems":[{"id":"ITEM-1","itemData":{"author":[{"dropping-particle":"","family":"Dommasnes","given":"Are","non-dropping-particle":"","parse-names":false,"suffix":""}],"container-title":"Arctic Biodiversity Trends 2010","id":"ITEM-1","issued":{"date-parts":[["2010"]]},"page":"78-80","title":"Changing distribution of marine fish","type":"article-journal"},"uris":["http://www.mendeley.com/documents/?uuid=a93114c8-12ed-4492-aaa0-833b700d93fc"]},{"id":"ITEM-2","itemData":{"DOI":"10.3389/fmars.2019.00179","ISSN":"22967745","abstract":"This study synthesizes results from observations, laboratory experiments and models to showcase how the integration of scientific methods and indigenous knowledge can improve our understanding of (a) past and projected changes in environmental conditions and marine species; (b) their effects on social and ecological systems in the respective communities; and (c) support management and planning tools for climate change adaptation and mitigation. The study links climate-ecosystem-economic (CEE) models and discusses uncertainties within those tools. The example focuses on the key forage species in the Inuvialuit Settlement Region (Western Canadian Arctic), i.e., Arctic cod (Boreogadus saida). Arctic cod can be trophically linked to sea-ice algae and pelagic primary producers and are key vectors for energy transfers from plankton to higher trophic levels (e.g., ringed seals, beluga), which are harvested by Inuit peoples. Fundamental changes in ice and ocean conditions in the region affect the marine ecosystem and fish habitat. Model simulations suggest increasing trends in oceanic phytoplankton and sea-ice algae with high interannual variability. The latter might be linked to interannual variations in Arctic cod abundance and mask trends in observations. CEE simulations incorporating physiological temperature limits data for the distribution of Arctic cod, result in an estimated 17% decrease in Arctic cod populations by the end of the century (high emission scenario), but suggest increases in abundance for other Arctic and sub-Arctic species. The Arctic cod decrease is largely caused by increased temperatures and constraints in northward migration, and could directly impact key subsistence species. Responses to acidification are still highly uncertain, but sensitivity simulations suggests an additional 1% decrease in Arctic cod populations due to pH impacts on growth and survival. Uncertainties remain with respect to detailed future changes, but general results are likely correct and in line with results from other approaches. To reduce uncertainties, higher resolution models with improved parameterizations and better understanding of the species' physiological limits are required. Arctic communities should be directly involved, receive tools and training to conduct local, unified research and food chain monitoring while decisions regarding commercial fisheries will need to be precautionary and adaptive in light of the existing uncertainties.","author":[{"dropping-particle":"","family":"Steiner","given":"Nadja S.","non-dropping-particle":"","parse-names":false,"suffix":""},{"dropping-particle":"","family":"Cheung","given":"William W.L.","non-dropping-particle":"","parse-names":false,"suffix":""},{"dropping-particle":"","family":"Cisneros-Montemayor","given":"Andres M.","non-dropping-particle":"","parse-names":false,"suffix":""},{"dropping-particle":"","family":"Drost","given":"Helen","non-dropping-particle":"","parse-names":false,"suffix":""},{"dropping-particle":"","family":"Hayashida","given":"Hakase","non-dropping-particle":"","parse-names":false,"suffix":""},{"dropping-particle":"","family":"Hoover","given":"Carie","non-dropping-particle":"","parse-names":false,"suffix":""},{"dropping-particle":"","family":"Lam","given":"Jen","non-dropping-particle":"","parse-names":false,"suffix":""},{"dropping-particle":"","family":"Sou","given":"Tessa","non-dropping-particle":"","parse-names":false,"suffix":""},{"dropping-particle":"","family":"Sumaila","given":"U. Rashid","non-dropping-particle":"","parse-names":false,"suffix":""},{"dropping-particle":"","family":"Suprenand","given":"Paul","non-dropping-particle":"","parse-names":false,"suffix":""},{"dropping-particle":"","family":"Tai","given":"Travis C.","non-dropping-particle":"","parse-names":false,"suffix":""},{"dropping-particle":"","family":"VanderZwaag","given":"David L.","non-dropping-particle":"","parse-names":false,"suffix":""}],"container-title":"Frontiers in Marine Science","id":"ITEM-2","issue":"APR","issued":{"date-parts":[["2019"]]},"title":"Impacts of the changing ocean-sea ice system on the key forage fish arctic cod (Boreogadus saida) and subsistence fisheries in the Western Canadian arctic-evaluating linked climate, ecosystem and economic (CEE) models","type":"article-journal","volume":"6"},"uris":["http://www.mendeley.com/documents/?uuid=165093d0-5b74-457a-bd78-e5374db491f7"]}],"mendeley":{"formattedCitation":"(Dommasnes, 2010; Steiner et al., 2019)","plainTextFormattedCitation":"(Dommasnes, 2010; Steiner et al., 2019)","previouslyFormattedCitation":"(Dommasnes, 2010; Steiner et al., 2019)"},"properties":{"noteIndex":0},"schema":"https://github.com/citation-style-language/schema/raw/master/csl-citation.json"}</w:instrText>
      </w:r>
      <w:r w:rsidRPr="00F92A58">
        <w:fldChar w:fldCharType="separate"/>
      </w:r>
      <w:r w:rsidRPr="00F92A58">
        <w:rPr>
          <w:noProof/>
        </w:rPr>
        <w:t>(Dommasnes, 2010; Steiner et al., 2019)</w:t>
      </w:r>
      <w:r w:rsidRPr="00F92A58">
        <w:fldChar w:fldCharType="end"/>
      </w:r>
      <w:r w:rsidRPr="00F92A58">
        <w:t xml:space="preserve">. The expansion of non-native fish into the region could exacerbate predicted declines in native fish communities, therefore imparting a disproportionate and detrimental impact on Arctic indigenous communities that practice subsistence fishing. Further, interactions between native and non-native species have the potential to impact the entire Arctic ecosystem food web </w:t>
      </w:r>
      <w:r w:rsidRPr="00F92A58">
        <w:fldChar w:fldCharType="begin" w:fldLock="1"/>
      </w:r>
      <w:r w:rsidRPr="00F92A58">
        <w:instrText>ADDIN CSL_CITATION {"citationItems":[{"id":"ITEM-1","itemData":{"DOI":"10.1111/gcb.15196","ISSN":"13652486","PMID":"32479687","abstract":"Species are redistributing globally in response to climate warming, impacting ecosystem functions and services. In the Barents Sea, poleward expansion of boreal species and a decreased abundance of Arctic species are causing a rapid borealization of the Arctic communities. This borealization might have profound consequences on the Arctic food web by creating novel feeding interactions between previously non co-occurring species. An early identification of new feeding links is crucial to predict their ecological impact. However, detection by traditional approaches, including stomach content and isotope analyses, although fundamental, cannot cope with the speed of change observed in the region, nor with the urgency of understanding the consequences of species redistribution for the marine ecosystem. In this study, we used an extensive food web (metaweb) with nearly 2,500 documented feeding links between 239 taxa coupled with a trait data set to predict novel feeding interactions and to quantify their potential impact on Arctic food web structure. We found that feeding interactions are largely determined by the body size of interacting species, although species foraging habitat and metabolic type are also important predictors. Further, we found that all boreal species will have at least one potential resource in the Arctic region should they redistribute therein. During 2014–2017, 11 boreal species were observed in the Arctic region of the Barents Sea. These incoming species, which are all generalists, change the structural properties of the Arctic food web by increasing connectance and decreasing modularity. In addition, these boreal species are predicted to initiate novel feeding interactions with the Arctic residents, which might amplify their impact on Arctic food web structure affecting ecosystem functioning and vulnerability. Under the ongoing species redistribution caused by environmental change, we propose merging a trait-based approach with ecological network analysis to efficiently predict the impacts of range-shifting species on food webs.","author":[{"dropping-particle":"","family":"Pecuchet","given":"Laurene","non-dropping-particle":"","parse-names":false,"suffix":""},{"dropping-particle":"","family":"Blanchet","given":"Marie Anne","non-dropping-particle":"","parse-names":false,"suffix":""},{"dropping-particle":"","family":"Frainer","given":"André","non-dropping-particle":"","parse-names":false,"suffix":""},{"dropping-particle":"","family":"Husson","given":"Bérengère","non-dropping-particle":"","parse-names":false,"suffix":""},{"dropping-particle":"","family":"Jørgensen","given":"Lis L.","non-dropping-particle":"","parse-names":false,"suffix":""},{"dropping-particle":"","family":"Kortsch","given":"Susanne","non-dropping-particle":"","parse-names":false,"suffix":""},{"dropping-particle":"","family":"Primicerio","given":"Raul","non-dropping-particle":"","parse-names":false,"suffix":""}],"container-title":"Global Change Biology","id":"ITEM-1","issue":"9","issued":{"date-parts":[["2020"]]},"page":"4894-4906","title":"Novel feeding interactions amplify the impact of species redistribution on an Arctic food web","type":"article-journal","volume":"26"},"uris":["http://www.mendeley.com/documents/?uuid=f40560ab-dbf1-48c7-a086-23424ef6c651"]}],"mendeley":{"formattedCitation":"(Pecuchet et al., 2020)","plainTextFormattedCitation":"(Pecuchet et al., 2020)","previouslyFormattedCitation":"(Pecuchet et al., 2020)"},"properties":{"noteIndex":0},"schema":"https://github.com/citation-style-language/schema/raw/master/csl-citation.json"}</w:instrText>
      </w:r>
      <w:r w:rsidRPr="00F92A58">
        <w:fldChar w:fldCharType="separate"/>
      </w:r>
      <w:r w:rsidRPr="00F92A58">
        <w:rPr>
          <w:noProof/>
        </w:rPr>
        <w:t>(Pecuchet et al., 2020)</w:t>
      </w:r>
      <w:r w:rsidRPr="00F92A58">
        <w:fldChar w:fldCharType="end"/>
      </w:r>
      <w:r w:rsidRPr="00F92A58">
        <w:t>. In order to develop mitigation and management strategies for subsistence fishing communities, it is critical to understand current and future habitat use patterns of sub-Arctic fish.</w:t>
      </w:r>
    </w:p>
    <w:p w14:paraId="0500CEF4" w14:textId="751CC29D" w:rsidR="00693CE2" w:rsidRPr="00F92A58" w:rsidRDefault="00693CE2" w:rsidP="00693CE2">
      <w:r w:rsidRPr="00F92A58">
        <w:t>Pacific salmon (</w:t>
      </w:r>
      <w:r w:rsidRPr="00F92A58">
        <w:rPr>
          <w:i/>
          <w:iCs/>
        </w:rPr>
        <w:t xml:space="preserve">Oncorhynchus </w:t>
      </w:r>
      <w:r w:rsidRPr="00F92A58">
        <w:t xml:space="preserve">spp.) provide an excellent example of sub-Arctic fish likely to colonize newly available habitats in the Arctic. At lower latitudes, Pacific salmon are highly sought after in commercial and sport fisheries, as well as being an ecological keystone species. Overall, Pacific salmon face large-scale impacts from global climate change, including decreases in spawning habitat and impacts from increasing sea surface temperatures </w:t>
      </w:r>
      <w:r w:rsidRPr="00F92A58">
        <w:fldChar w:fldCharType="begin" w:fldLock="1"/>
      </w:r>
      <w:r w:rsidRPr="00F92A58">
        <w:instrText>ADDIN CSL_CITATION {"citationItems":[{"id":"ITEM-1","itemData":{"DOI":"10.1038/s42003-021-01734-w","ISBN":"4200302101","ISSN":"23993642","PMID":"33603119","abstract":"Widespread declines in Atlantic and Pacific salmon (Salmo salar and Oncorhynchus spp.) have tracked recent climate changes, but managers still lack quantitative projections of the viability of any individual population in response to future climate change. To address this gap, we assembled a vast database of survival and other data for eight wild populations of threatened Chinook salmon (O. tshawytscha). For each population, we evaluated climate impacts at all life stages and modeled future trajectories forced by global climate model projections. Populations rapidly declined in response to increasing sea surface temperatures and other factors across diverse model assumptions and climate scenarios. Strong density dependence limited the number of salmon that survived early life stages, suggesting a potentially efficacious target for conservation effort. Other solutions require a better understanding of the factors that limit survival at sea. We conclude that dramatic increases in smolt survival are needed to overcome the negative impacts of climate change for this threatened species.","author":[{"dropping-particle":"","family":"Crozier","given":"Lisa G.","non-dropping-particle":"","parse-names":false,"suffix":""},{"dropping-particle":"","family":"Burke","given":"Brian J.","non-dropping-particle":"","parse-names":false,"suffix":""},{"dropping-particle":"","family":"Chasco","given":"Brandon E.","non-dropping-particle":"","parse-names":false,"suffix":""},{"dropping-particle":"","family":"Widener","given":"Daniel L.","non-dropping-particle":"","parse-names":false,"suffix":""},{"dropping-particle":"","family":"Zabel","given":"Richard W.","non-dropping-particle":"","parse-names":false,"suffix":""}],"container-title":"Communications Biology","id":"ITEM-1","issued":{"date-parts":[["2021"]]},"page":"222","publisher":"Springer US","title":"Climate change threatens Chinook salmon throughout their life cycle","type":"article-journal","volume":"4"},"uris":["http://www.mendeley.com/documents/?uuid=6849e9c1-6bef-4452-8f7a-a5e1a165d17d"]},{"id":"ITEM-2","itemData":{"DOI":"10.1139/f2011-079","ISSN":"0706-652X","abstract":"We developed spatially explicit representations for seasonal high-seas (open ocean) thermal habitats for six species of Pacific salmon (Oncorhynchus spp.) and evaluated the effects of natural climate variability and projected changes under three Intergovernmental Panel on Climate Change scenarios of future greenhouse gas emissions. Changes in high-seas habitat due to natural climatic variation in 20th century were small relative to that under anthropogenic climate change scenarios for the middle to late 21st century. Under a multimodel ensemble average of global climate model outputs using A1B (medium) emissions scenario for the entire study area (North Pacific and part of Arctic Ocean), projected winter habitats of sockeye (Oncorhynchus nerka) decreased by 38%, and summer habitat decreased by 86% for Chinook (Oncorhynchus tshawytscha), 45% for sockeye, 36% for steelhead (Oncorhynchus mykiss), 30% for coho (Oncorhynchus kisutch), 30% for pink (Oncorhynchus gorbuscha), and 29% for chum (Oncorhynchus keta) salmon by 2100. Reductions were 25% lower for B1 (lower) emissions and 7% higher for A2 (higher) emissions scenarios. Projected habitat losses were largest in the Gulf of Alaska and western and central subarctic North Pacific. Nearly complete losses of Gulf of Alaska habitat for sockeye in both seasons and Chinook in summer raise important policy issues for North American fishery managers and governments.","author":[{"dropping-particle":"","family":"Abdul-Aziz","given":"Omar I.","non-dropping-particle":"","parse-names":false,"suffix":""},{"dropping-particle":"","family":"Mantua","given":"Nathan J.","non-dropping-particle":"","parse-names":false,"suffix":""},{"dropping-particle":"","family":"Myers","given":"Katherine W.","non-dropping-particle":"","parse-names":false,"suffix":""}],"container-title":"Canadian Journal of Fisheries and Aquatic Sciences","id":"ITEM-2","issue":"9","issued":{"date-parts":[["2011"]]},"page":"1660-1680","title":" Potential climate change impacts on thermal habitats of Pacific salmon ( Oncorhynchus  spp.) in the North Pacific Ocean and adjacent seas ","type":"article-journal","volume":"68"},"uris":["http://www.mendeley.com/documents/?uuid=36e6b90c-e2b7-4dda-b616-8be33aa857c2"]}],"mendeley":{"formattedCitation":"(Abdul-Aziz et al., 2011; Crozier et al., 2021)","plainTextFormattedCitation":"(Abdul-Aziz et al., 2011; Crozier et al., 2021)","previouslyFormattedCitation":"(Abdul-Aziz et al., 2011; Crozier et al., 2021)"},"properties":{"noteIndex":0},"schema":"https://github.com/citation-style-language/schema/raw/master/csl-citation.json"}</w:instrText>
      </w:r>
      <w:r w:rsidRPr="00F92A58">
        <w:fldChar w:fldCharType="separate"/>
      </w:r>
      <w:r w:rsidRPr="00F92A58">
        <w:rPr>
          <w:noProof/>
        </w:rPr>
        <w:t>(Abdul-Aziz et al., 2011; Crozier et al., 2021)</w:t>
      </w:r>
      <w:r w:rsidRPr="00F92A58">
        <w:fldChar w:fldCharType="end"/>
      </w:r>
      <w:r w:rsidRPr="00F92A58">
        <w:t xml:space="preserve">. However, both plastic and evolutionary responses will help Pacific salmon to adapt to global warming trends </w:t>
      </w:r>
      <w:r w:rsidRPr="00F92A58">
        <w:fldChar w:fldCharType="begin" w:fldLock="1"/>
      </w:r>
      <w:r w:rsidR="00DC466D">
        <w:instrText>ADDIN CSL_CITATION {"citationItems":[{"id":"ITEM-1","itemData":{"DOI":"10.1111/eva.12135","ISSN":"17524563","abstract":"The physical and ecological 'fingerprints' of anthropogenic climate change over the past century are now well documented in many environments and taxa. We reviewed the evidence for phenotypic responses to recent climate change in fish. Changes in the timing of migration and reproduction, age at maturity, age at juvenile migration, growth, survival and fecundity were associated primarily with changes in temperature. Although these traits can evolve rapidly, only two studies attributed phenotypic changes formally to evolutionary mechanisms. The correlation-based methods most frequently employed point largely to 'fine-grained' population responses to environmental variability (i.e. rapid phenotypic changes relative to generation time), consistent with plastic mechanisms. Ultimately, many species will likely adapt to long-term warming trends overlaid on natural climate oscillations. Considering the strong plasticity in all traits studied, we recommend development and expanded use of methods capable of detecting evolutionary change, such as the long term study of selection coefficients and temporal shifts in reaction norms, and increased attention to forecasting adaptive change in response to the synergistic interactions of the multiple selection pressures likely to be associated with climate change.","author":[{"dropping-particle":"","family":"Crozier","given":"Lisa G.","non-dropping-particle":"","parse-names":false,"suffix":""},{"dropping-particle":"","family":"Hutchings","given":"Jeffrey A.","non-dropping-particle":"","parse-names":false,"suffix":""}],"container-title":"Evolutionary Applications","id":"ITEM-1","issue":"1","issued":{"date-parts":[["2014"]]},"page":"68-87","title":"Plastic and evolutionary responses to climate change in fish","type":"article-journal","volume":"7"},"uris":["http://www.mendeley.com/documents/?uuid=5ded8a5b-0f81-4712-b45e-5f2854720d2d"]},{"id":"ITEM-2","itemData":{"DOI":"10.1111/j.1752-4571.2008.00033.x","abstract":"Habitat conditions mediate the effects of climate, so neighboring populations with differing habitat conditions may differ in their responses to climate change. We have previously observed that juvenile survival in Snake River spring/summer Chinook salmon is strongly correlated with summer temperature in some populations and with fall streamflow in others. Here, we explore potential differential responses of the viability of four of these populations to changes in streamflow and temperature that might result from climate change. First, we linked predicted changes in air temperature and precipitation from several General Circulation Models to a local hydrological model to project streamflow and air temperature under two climate-change scenarios. Then, we developed a stochastic, density-dependent life-cycle model with independent environmental effects in juvenile and ocean stages, and parameterized the model for each population. We found that mean abundance decreased 20–50% and the probability of quasi-extinction increased dramatically (from 0.1–0.4 to 0.3–0.9) for all populations in both scenarios. Differences between populations were greater in the more moderate climate scenario than in the more extreme, hot/dry scenario. Model results were relatively robust to realistic uncertainty in freshwater survival parameters in all scenarios. Our results demonstrate that detailed population models can usefully incorporate climatechange predictions, and that global warming poses a direct threat to freshwater stages in these fish, increasing their risk of extinction. Because differences in habitat may contribute to the individualistic population responses we observed, we infer thatmaintaining habitat diversity will help buffer some species from the impacts of climate change.","author":[{"dropping-particle":"","family":"Crozier","given":"L. G.","non-dropping-particle":"","parse-names":false,"suffix":""},{"dropping-particle":"","family":"Hendry","given":"A. P.","non-dropping-particle":"","parse-names":false,"suffix":""},{"dropping-particle":"","family":"Lawson","given":"P. W.","non-dropping-particle":"","parse-names":false,"suffix":""},{"dropping-particle":"","family":"Quinn","given":"T. P.","non-dropping-particle":"","parse-names":false,"suffix":""},{"dropping-particle":"","family":"Mantua","given":"N. J.","non-dropping-particle":"","parse-names":false,"suffix":""},{"dropping-particle":"","family":"Battin","given":"J.","non-dropping-particle":"","parse-names":false,"suffix":""},{"dropping-particle":"","family":"Shaw","given":"R. G.","non-dropping-particle":"","parse-names":false,"suffix":""},{"dropping-particle":"","family":"Huey","given":"R. B.","non-dropping-particle":"","parse-names":false,"suffix":""}],"container-title":"Evolutionary Applications","id":"ITEM-2","issue":"2","issued":{"date-parts":[["2008"]]},"page":"252-270","title":"PERSPECTIVE: Potential responses to climate change in organisms with complex life histories: evolution and plasticity in Pacific salmon","type":"article-journal","volume":"1"},"uris":["http://www.mendeley.com/documents/?uuid=a0f63da2-16e2-456d-b75f-fdf5d089b896"]},{"id":"ITEM-3","itemData":{"DOI":"10.1086/662669","ISSN":"00030147","abstract":"Environmental change can shift the phenotype of an organism through either evolutionary or nongenetic processes. Despite abundant evidence of phenotypic change in response to recent climate change, we typically lack sufficient genetic data to identify the role of evolution. We present a method of using phenotypic data to characterize the hypothesized role of natural selection and environmentally driven phenotypic shifts (plasticity). We modeled historical selection and environmental predictors of interannual variation in mean population phenotype using a multivariate state-space model framework. Through model comparisons, we assessed the extent to which an estimated selection differential explained observed variation better than environmental factors alone. We applied the method to a 60-year trend toward earlier migration in Columbia River sockeye salmon Oncorhynchus nerka, producing estimates of annual selection differentials, average realized heritability, and relative cumulative effects of selection and plasticity. We found that an evolutionary response to thermal selection was capable of explaining up to two-thirds of the phenotypic trend. Adaptive plastic responses to June river flow explain most of the remainder. This method is applicable to other populations with time series data if selection differentials are available or can be reconstructed. This method thus augments our toolbox for predicting responses to environmental change. © 2011 by The University of Chicago.","author":[{"dropping-particle":"","family":"Crozier","given":"Lisa G.","non-dropping-particle":"","parse-names":false,"suffix":""},{"dropping-particle":"","family":"Scheuerell","given":"Mark D.","non-dropping-particle":"","parse-names":false,"suffix":""},{"dropping-particle":"","family":"Zabel","given":"Richard W.","non-dropping-particle":"","parse-names":false,"suffix":""}],"container-title":"American Naturalist","id":"ITEM-3","issue":"6","issued":{"date-parts":[["2011"]]},"page":"755-773","title":"Using time series analysis to characterize evolutionary and plastic responses to environmental change: A case study of a shift toward earlier migration date in sockeye salmon","type":"article-journal","volume":"178"},"uris":["http://www.mendeley.com/documents/?uuid=20fc3338-fd4f-41d2-ba1a-b6da9d174013"]},{"id":"ITEM-4","itemData":{"DOI":"10.1111/gcb.13782","ISSN":"13652486","PMID":"28586156","abstract":"An important unresolved question is how populations of coldwater-dependent fishes will respond to rapidly warming water temperatures. For example, the culturally and economically important group, Pacific salmon (Oncorhynchus spp.), experience site-specific thermal regimes during early development that could be disrupted by warming. To test for thermal local adaptation and heritable phenotypic plasticity in Pacific salmon embryos, we measured the developmental rate, survival, and body size at hatching in two populations of sockeye salmon (Oncorhynchus nerka) that overlap in timing of spawning but incubate in contrasting natural thermal regimes. Using a split half-sibling design, we exposed embryos of 10 families from each of two populations to variable and constant thermal regimes. These represented both experienced temperatures by each population, and predicted temperatures under plausible future conditions based on a warming scenario from the downscaled global climate model (MIROC A1B scenario). We did not find evidence of thermal local adaptation during the embryonic stage for developmental rate or survival. Within treatments, populations hatched within 1 day of each other, on average, and among treatments, did not differ in survival in response to temperature. We did detect plasticity to temperature; embryos developed 2.5 times longer (189 days) in the coolest regime compared to the warmest regime (74 days). We also detected variation in developmental rates among families within and among temperature regimes, indicating heritable plasticity. Families exhibited a strong positive relationship between thermal variability and phenotypic variability in developmental rate but body length and mass at hatching were largely insensitive to temperature. Overall, our results indicated a lack of thermal local adaptation, but a presence of plasticity in populations experiencing contrasting conditions, as well as family-specific heritable plasticity that could facilitate adaptive change.","author":[{"dropping-particle":"","family":"Sparks","given":"Morgan M.","non-dropping-particle":"","parse-names":false,"suffix":""},{"dropping-particle":"","family":"Westley","given":"Peter A.H.","non-dropping-particle":"","parse-names":false,"suffix":""},{"dropping-particle":"","family":"Falke","given":"Jeffrey A.","non-dropping-particle":"","parse-names":false,"suffix":""},{"dropping-particle":"","family":"Quinn","given":"Thomas P.","non-dropping-particle":"","parse-names":false,"suffix":""}],"container-title":"Global Change Biology","id":"ITEM-4","issue":"12","issued":{"date-parts":[["2017"]]},"page":"5203-5217","title":"Thermal adaptation and phenotypic plasticity in a warming world: Insights from common garden experiments on Alaskan sockeye salmon","type":"article-journal","volume":"23"},"uris":["http://www.mendeley.com/documents/?uuid=8f7a9d6f-fc38-4648-bfa4-c74ecfc4a789"]}],"mendeley":{"formattedCitation":"(Crozier et al., 2011, 2008; Crozier and Hutchings, 2014; Sparks et al., 2017)","plainTextFormattedCitation":"(Crozier et al., 2011, 2008; Crozier and Hutchings, 2014; Sparks et al., 2017)","previouslyFormattedCitation":"(Crozier et al., 2011, 2008; Crozier and Hutchings, 2014; Sparks et al., 2017)"},"properties":{"noteIndex":0},"schema":"https://github.com/citation-style-language/schema/raw/master/csl-citation.json"}</w:instrText>
      </w:r>
      <w:r w:rsidRPr="00F92A58">
        <w:fldChar w:fldCharType="separate"/>
      </w:r>
      <w:r w:rsidR="00DC466D" w:rsidRPr="00DC466D">
        <w:rPr>
          <w:noProof/>
        </w:rPr>
        <w:t>(Crozier et al., 2011, 2008; Crozier and Hutchings, 2014; Sparks et al., 2017)</w:t>
      </w:r>
      <w:r w:rsidRPr="00F92A58">
        <w:fldChar w:fldCharType="end"/>
      </w:r>
      <w:r w:rsidRPr="00F92A58">
        <w:t>.</w:t>
      </w:r>
    </w:p>
    <w:p w14:paraId="0B101A0C" w14:textId="77777777" w:rsidR="00693CE2" w:rsidRPr="00F92A58" w:rsidRDefault="00693CE2" w:rsidP="00693CE2">
      <w:r w:rsidRPr="00F92A58">
        <w:t>While most Pacific salmon species have high site fidelity and natal homing, pink salmon (</w:t>
      </w:r>
      <w:r w:rsidRPr="00F92A58">
        <w:rPr>
          <w:i/>
          <w:iCs/>
        </w:rPr>
        <w:t>O. gorbuscha</w:t>
      </w:r>
      <w:r w:rsidRPr="00F92A58">
        <w:t xml:space="preserve">) have demonstrated relatively high rates of straying </w:t>
      </w:r>
      <w:r w:rsidRPr="00F92A58">
        <w:fldChar w:fldCharType="begin" w:fldLock="1"/>
      </w:r>
      <w:r w:rsidRPr="00F92A58">
        <w:instrText>ADDIN CSL_CITATION {"citationItems":[{"id":"ITEM-1","itemData":{"ISBN":"0295984376","author":[{"dropping-particle":"","family":"Quinn","given":"Thomas P.","non-dropping-particle":"","parse-names":false,"suffix":""}],"id":"ITEM-1","issued":{"date-parts":[["2004"]]},"number-of-pages":"388","publisher":"Universtity of Washington Press","publisher-place":"Seattle","title":"The behavior and ecology of Pacific Salmon and Trout","type":"book"},"uris":["http://www.mendeley.com/documents/?uuid=dad38281-f285-4f6b-bfa1-9c35fe2aa887"]}],"mendeley":{"formattedCitation":"(Quinn, 2004)","plainTextFormattedCitation":"(Quinn, 2004)","previouslyFormattedCitation":"(Quinn, 2004)"},"properties":{"noteIndex":0},"schema":"https://github.com/citation-style-language/schema/raw/master/csl-citation.json"}</w:instrText>
      </w:r>
      <w:r w:rsidRPr="00F92A58">
        <w:fldChar w:fldCharType="separate"/>
      </w:r>
      <w:r w:rsidRPr="00F92A58">
        <w:rPr>
          <w:noProof/>
        </w:rPr>
        <w:t>(Quinn, 2004)</w:t>
      </w:r>
      <w:r w:rsidRPr="00F92A58">
        <w:fldChar w:fldCharType="end"/>
      </w:r>
      <w:r w:rsidRPr="00F92A58">
        <w:t xml:space="preserve"> – indicating their high potential to colonize newly available habitat in the Arctic. Pink salmon have historically been observed in the Arctic in relatively low abundance (on the order of single-digit fish prior to 2003) </w:t>
      </w:r>
      <w:r w:rsidRPr="00F92A58">
        <w:fldChar w:fldCharType="begin" w:fldLock="1"/>
      </w:r>
      <w:r w:rsidRPr="00F92A58">
        <w:instrText>ADDIN CSL_CITATION {"citationItems":[{"id":"ITEM-1","itemData":{"DOI":"10.4027/ramecc.2013.07","abstract":"Pacific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Change","id":"ITEM-1","issue":"September 2015","issued":{"date-parts":[["2013"]]},"title":"Pacific Salmon in the Arctic: Harbingers of Change","type":"article-journal"},"uris":["http://www.mendeley.com/documents/?uuid=02b3a0c4-c889-4686-92c5-21e16ddda9b2"]}],"mendeley":{"formattedCitation":"(Dunmall et al., 2013)","plainTextFormattedCitation":"(Dunmall et al., 2013)","previouslyFormattedCitation":"(Dunmall et al., 2013)"},"properties":{"noteIndex":0},"schema":"https://github.com/citation-style-language/schema/raw/master/csl-citation.json"}</w:instrText>
      </w:r>
      <w:r w:rsidRPr="00F92A58">
        <w:fldChar w:fldCharType="separate"/>
      </w:r>
      <w:r w:rsidRPr="00F92A58">
        <w:rPr>
          <w:noProof/>
        </w:rPr>
        <w:t>(Dunmall et al., 2013)</w:t>
      </w:r>
      <w:r w:rsidRPr="00F92A58">
        <w:fldChar w:fldCharType="end"/>
      </w:r>
      <w:r w:rsidRPr="00F92A58">
        <w:t xml:space="preserve">. However, more recent reporting has indicated an increase in the abundance and distribution of pink salmon in the Alaskan Arctic </w:t>
      </w:r>
      <w:r w:rsidRPr="00F92A58">
        <w:fldChar w:fldCharType="begin" w:fldLock="1"/>
      </w:r>
      <w:r w:rsidRPr="00F92A58">
        <w:instrText>ADDIN CSL_CITATION {"citationItems":[{"id":"ITEM-1","itemData":{"DOI":"10.4027/ramecc.2013.07","abstract":"Pacific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Change","id":"ITEM-1","issue":"September 2015","issued":{"date-parts":[["2013"]]},"title":"Pacific Salmon in the Arctic: Harbingers of Change","type":"article-journal"},"uris":["http://www.mendeley.com/documents/?uuid=02b3a0c4-c889-4686-92c5-21e16ddda9b2"]},{"id":"ITEM-2","itemData":{"author":[{"dropping-particle":"","family":"Carothers","given":"C.","non-dropping-particle":"","parse-names":false,"suffix":""},{"dropping-particle":"","family":"Seitz","given":"A.","non-dropping-particle":"","parse-names":false,"suffix":""},{"dropping-particle":"","family":"Sutton","given":"T.","non-dropping-particle":"","parse-names":false,"suffix":""}],"container-title":"Arctic Answers","id":"ITEM-2","issued":{"date-parts":[["2018"]]},"title":"How is climate change affecting subsistence (or traditional) fisheries in the high Arctic?","type":"article-journal","volume":"AA-015"},"uris":["http://www.mendeley.com/documents/?uuid=3bbe01e8-e2e2-41fc-8d31-44f271736eb3"]},{"id":"ITEM-3","itemData":{"DOI":"10.14430/arctic68876","ISSN":"19231245","abstract":"One of the most pervasive signals of global climate change is altered patterns of distribution with trends towards poleward shifts of species. While habitat loss and destruction has severed connections between people and salmon in many locales, salmon fisheries in the high Arctic are just beginning to develop. To explore these emergent connections, we gathered local knowledge about Pacific salmon and emerging subsistence salmon fisheries in the Beaufort Sea region through ethnographic research in Utqiaġvik (formerly Barrow) and Nuiqsut, Alaska. Between 2010 and 2013, we interviewed 41 active fishermen and Elders who generally agreed that harvests of Pacific salmon species have been increasing in recent years, beginning in the 1990s and early 2000s. About 46% of active fishermen and Elders who discussed salmon abundance perceived an increasing trend over time. Another 43% characterized salmon abundance as cyclical or perceived no directional trend over time. The remaining fishermen (all from Nuiqsut) expressed their perception of decreasing salmon and fish abundance overall related to oil and gas development impacts to their local lands and waters. Given these mixed perceptions and harvests being an imperfect proxy for abundance, it remains unclear whether salmon populations are expanding in Arctic river systems. However, research participants have identified new stream systems not currently documented in the scientific literature where salmon are present and thought to be spawning. In both communities, we found that many fishermen and Elders often do not differentiate Pacific salmon species. Fishermen in both communities are developing new knowledge of salmon and increasing their use of salmon as a subsistence resource, yet uncertainties in the current data and local knowledge combine to generate equivocal evidence that salmon abundance is increasing. This lack of a clear increase in salmon abundance provides nuance to a simple story that warming has led to the increases of salmon in the Arctic. Despite the uncertainty regarding abundance, it is clear we are witnessing an emergence of new salmon fisheries in the high Arctic, perceived to be one among a suite of environmental and social changes currently being experienced in this region.","author":[{"dropping-particle":"","family":"Carothers","given":"Courtney","non-dropping-particle":"","parse-names":false,"suffix":""},{"dropping-particle":"","family":"Sformo","given":"Todd L.","non-dropping-particle":"","parse-names":false,"suffix":""},{"dropping-particle":"","family":"Cotton","given":"Shelley","non-dropping-particle":"","parse-names":false,"suffix":""},{"dropping-particle":"","family":"George","given":"John C.","non-dropping-particle":"","parse-names":false,"suffix":""},{"dropping-particle":"","family":"Westley","given":"Peter A.H.","non-dropping-particle":"","parse-names":false,"suffix":""}],"container-title":"Arctic","id":"ITEM-3","issue":"3","issued":{"date-parts":[["2019"]]},"page":"273-288","title":"Pacific salmon in the rapidly changing arctic: Exploring local knowledge and emerging fisheries in Utqiaġvik and Nuiqsut, Alaska","type":"article-journal","volume":"72"},"uris":["http://www.mendeley.com/documents/?uuid=ffb44305-3de9-4a94-85d0-3be63bb6796a"]}],"mendeley":{"formattedCitation":"(Carothers et al., 2019, 2018; Dunmall et al., 2013)","plainTextFormattedCitation":"(Carothers et al., 2019, 2018; Dunmall et al., 2013)","previouslyFormattedCitation":"(Carothers et al., 2019, 2018; Dunmall et al., 2013)"},"properties":{"noteIndex":0},"schema":"https://github.com/citation-style-language/schema/raw/master/csl-citation.json"}</w:instrText>
      </w:r>
      <w:r w:rsidRPr="00F92A58">
        <w:fldChar w:fldCharType="separate"/>
      </w:r>
      <w:r w:rsidRPr="00F92A58">
        <w:rPr>
          <w:noProof/>
        </w:rPr>
        <w:t>(Carothers et al., 2019, 2018; Dunmall et al., 2013)</w:t>
      </w:r>
      <w:r w:rsidRPr="00F92A58">
        <w:fldChar w:fldCharType="end"/>
      </w:r>
      <w:r w:rsidRPr="00F92A58">
        <w:t xml:space="preserve">, including spawning adults </w:t>
      </w:r>
      <w:r w:rsidRPr="00F92A58">
        <w:fldChar w:fldCharType="begin" w:fldLock="1"/>
      </w:r>
      <w:r w:rsidRPr="00F92A58">
        <w:instrText>ADDIN CSL_CITATION {"citationItems":[{"id":"ITEM-1","itemData":{"DOI":"10.14430/arctic68876","ISSN":"19231245","abstract":"One of the most pervasive signals of global climate change is altered patterns of distribution with trends towards poleward shifts of species. While habitat loss and destruction has severed connections between people and salmon in many locales, salmon fisheries in the high Arctic are just beginning to develop. To explore these emergent connections, we gathered local knowledge about Pacific salmon and emerging subsistence salmon fisheries in the Beaufort Sea region through ethnographic research in Utqiaġvik (formerly Barrow) and Nuiqsut, Alaska. Between 2010 and 2013, we interviewed 41 active fishermen and Elders who generally agreed that harvests of Pacific salmon species have been increasing in recent years, beginning in the 1990s and early 2000s. About 46% of active fishermen and Elders who discussed salmon abundance perceived an increasing trend over time. Another 43% characterized salmon abundance as cyclical or perceived no directional trend over time. The remaining fishermen (all from Nuiqsut) expressed their perception of decreasing salmon and fish abundance overall related to oil and gas development impacts to their local lands and waters. Given these mixed perceptions and harvests being an imperfect proxy for abundance, it remains unclear whether salmon populations are expanding in Arctic river systems. However, research participants have identified new stream systems not currently documented in the scientific literature where salmon are present and thought to be spawning. In both communities, we found that many fishermen and Elders often do not differentiate Pacific salmon species. Fishermen in both communities are developing new knowledge of salmon and increasing their use of salmon as a subsistence resource, yet uncertainties in the current data and local knowledge combine to generate equivocal evidence that salmon abundance is increasing. This lack of a clear increase in salmon abundance provides nuance to a simple story that warming has led to the increases of salmon in the Arctic. Despite the uncertainty regarding abundance, it is clear we are witnessing an emergence of new salmon fisheries in the high Arctic, perceived to be one among a suite of environmental and social changes currently being experienced in this region.","author":[{"dropping-particle":"","family":"Carothers","given":"Courtney","non-dropping-particle":"","parse-names":false,"suffix":""},{"dropping-particle":"","family":"Sformo","given":"Todd L.","non-dropping-particle":"","parse-names":false,"suffix":""},{"dropping-particle":"","family":"Cotton","given":"Shelley","non-dropping-particle":"","parse-names":false,"suffix":""},{"dropping-particle":"","family":"George","given":"John C.","non-dropping-particle":"","parse-names":false,"suffix":""},{"dropping-particle":"","family":"Westley","given":"Peter A.H.","non-dropping-particle":"","parse-names":false,"suffix":""}],"container-title":"Arctic","id":"ITEM-1","issue":"3","issued":{"date-parts":[["2019"]]},"page":"273-288","title":"Pacific salmon in the rapidly changing arctic: Exploring local knowledge and emerging fisheries in Utqiaġvik and Nuiqsut, Alaska","type":"article-journal","volume":"72"},"uris":["http://www.mendeley.com/documents/?uuid=ffb44305-3de9-4a94-85d0-3be63bb6796a"]}],"mendeley":{"formattedCitation":"(Carothers et al., 2019)","plainTextFormattedCitation":"(Carothers et al., 2019)","previouslyFormattedCitation":"(Carothers et al., 2019)"},"properties":{"noteIndex":0},"schema":"https://github.com/citation-style-language/schema/raw/master/csl-citation.json"}</w:instrText>
      </w:r>
      <w:r w:rsidRPr="00F92A58">
        <w:fldChar w:fldCharType="separate"/>
      </w:r>
      <w:r w:rsidRPr="00F92A58">
        <w:rPr>
          <w:noProof/>
        </w:rPr>
        <w:t>(Carothers et al., 2019)</w:t>
      </w:r>
      <w:r w:rsidRPr="00F92A58">
        <w:fldChar w:fldCharType="end"/>
      </w:r>
      <w:r w:rsidRPr="00F92A58">
        <w:t>. Although one juvenile chum salmon (</w:t>
      </w:r>
      <w:r w:rsidRPr="00F92A58">
        <w:rPr>
          <w:i/>
          <w:iCs/>
        </w:rPr>
        <w:t>O. keta</w:t>
      </w:r>
      <w:r w:rsidRPr="00F92A58">
        <w:t xml:space="preserve">) has been captured in the Arctic </w:t>
      </w:r>
      <w:r w:rsidRPr="00F92A58">
        <w:fldChar w:fldCharType="begin" w:fldLock="1"/>
      </w:r>
      <w:r w:rsidRPr="00F92A58">
        <w:instrText>ADDIN CSL_CITATION {"citationItems":[{"id":"ITEM-1","itemData":{"DOI":"10.1139/cjfas-2022-0006","ISSN":"12057533","abstract":"The distributional extent of Pacific salmon(Oncorhynchus spp.) in the North American Arctic is unresolved. While adult Pacific salmon have a recurring presence across the Alaskan North Slope and into the Canadian Arctic, it is uncertain if these fish are part of established Arctic populations, vagrants from outside sources reproducing unsuccessfully, or both. Here we present the first confirmed record of a juvenile chum salmon (Oncorhynchus keta) captured in the nearshore marine ecosystem in the North American Arctic. This provides the first scientific evidence of successful spawning and early marine survival of Pacific salmon in the North American Arctic. It was caught near Kaktovik, Alaska, in August 2017 with a group of similarly sized age-0 Mackenzie River Arctic cisco (Coregonus autumnalis). Stable isotope and otolith microchemistry analyses are consistent with use of the nearshore estuarine corridor from the Mackenzie River west along the northern coast. This contributes critical information needed to identify, manage, and conserve biodiversity at the northern range edge and will help to clarify the status of Pacific salmon as potentially emerging fisheries develop in the North American Arctic due to climate warming.","author":[{"dropping-particle":"","family":"Dunmall","given":"Karen M.","non-dropping-particle":"","parse-names":false,"suffix":""},{"dropping-particle":"","family":"McNicholl","given":"Darcy G.","non-dropping-particle":"","parse-names":false,"suffix":""},{"dropping-particle":"","family":"Zimmerman","given":"Christian E.","non-dropping-particle":"","parse-names":false,"suffix":""},{"dropping-particle":"","family":"Gilk-Baumer","given":"Sara E.","non-dropping-particle":"","parse-names":false,"suffix":""},{"dropping-particle":"","family":"Burril","given":"Sean","non-dropping-particle":"","parse-names":false,"suffix":""},{"dropping-particle":"","family":"Biela","given":"Vanessa R.","non-dropping-particle":"von","parse-names":false,"suffix":""}],"container-title":"Canadian Journal of Fisheries and Aquatic Sciences","id":"ITEM-1","issue":"5","issued":{"date-parts":[["2022"]]},"page":"703-707","title":"First juvenile chum salmon confirms successful reproduction for Pacific salmon in the North American Arctic","type":"article-journal","volume":"79"},"uris":["http://www.mendeley.com/documents/?uuid=5720aa02-376d-4c52-baed-f99ef090a174"]}],"mendeley":{"formattedCitation":"(Dunmall et al., 2022)","plainTextFormattedCitation":"(Dunmall et al., 2022)","previouslyFormattedCitation":"(Dunmall et al., 2022)"},"properties":{"noteIndex":0},"schema":"https://github.com/citation-style-language/schema/raw/master/csl-citation.json"}</w:instrText>
      </w:r>
      <w:r w:rsidRPr="00F92A58">
        <w:fldChar w:fldCharType="separate"/>
      </w:r>
      <w:r w:rsidRPr="00F92A58">
        <w:rPr>
          <w:noProof/>
        </w:rPr>
        <w:t>(Dunmall et al., 2022)</w:t>
      </w:r>
      <w:r w:rsidRPr="00F92A58">
        <w:fldChar w:fldCharType="end"/>
      </w:r>
      <w:r w:rsidRPr="00F92A58">
        <w:t xml:space="preserve">, which indicates the potential for other Pacific salmon species in the region, the production of successful offspring of pink salmon in the Alaskan Arctic has not been verified. However, it is unclear if the pink salmon observed in the Alaskan Arctic are transients or if local watersheds are producing pink salmon. </w:t>
      </w:r>
    </w:p>
    <w:p w14:paraId="03C3E2B4" w14:textId="0AEA8D93" w:rsidR="00693CE2" w:rsidRPr="00F92A58" w:rsidRDefault="00693CE2" w:rsidP="00693CE2">
      <w:r w:rsidRPr="00F92A58">
        <w:t xml:space="preserve">The presence of pink salmon in the Arctic presents a variety of implications. While pink salmon could present new economic and subsistence opportunities for the region, these fish will also likely impact traditional subsistence fish, such as whitefish and Arctic grayling. However, verifying the successful spawning of fish in a vast and dynamic region like the Arctic presents a difficult challenge. Traditional fish tracking methods encompass a variety of tagging methods, including radio-tagging </w:t>
      </w:r>
      <w:r w:rsidRPr="00F92A58">
        <w:fldChar w:fldCharType="begin" w:fldLock="1"/>
      </w:r>
      <w:r w:rsidRPr="00F92A58">
        <w:instrText>ADDIN CSL_CITATION {"citationItems":[{"id":"ITEM-1","itemData":{"DOI":"10.1007/978-94-011-5090-3_39","ISSN":"00188158","abstract":"High mortality-rates of seaward migrating salmonid smolts when passing reservoirs and lakes have earlier been found in the Danish River Gudena watershed. To reveal the causes of mortality of migrating smolts in Lake Tange, a 12 km long, shallow reservoir, 50 salmon smolts and 24 trout smolts were tagged with internal miniature radiotransmitters, and released in the river just upstream the reservoir on May 1, 1996. The salmon smolts were hatcheryreared, while the trout smolts were wild fish, caught in a smolt trap. The tagged smolts were tracked daily for 3 weeks, and when possible the cause of death was determined. During the 3-week period, 90% of the tagged smolts died. The main cause of death for both trout and salmon was predation from fish and birds. The most important predator was pike (Esox lucius L.), being responsible for 56% of the observed mortality. Avian predators were assumed to be responsible for 31% of the observed mortality. No trout smolts left the reservoir, but 5 salmon-smolts got out through the turbines. Others did traverse the reservoir, but were unable to enter the river downstream, and were later eaten. The present results suggest that mortalities for migrating smolts through Lake Tange are of such a magnitude, that stocking of juveniles in the river upstream is futile, and further, that the establishment of a natural population of salmon or sea-trout in river Gudena, upstream Tange, is unrealistic under present conditions.","author":[{"dropping-particle":"","family":"Jepsen","given":"Niels","non-dropping-particle":"","parse-names":false,"suffix":""},{"dropping-particle":"","family":"Aarestrup","given":"Kim","non-dropping-particle":"","parse-names":false,"suffix":""},{"dropping-particle":"","family":"Økland","given":"Finn","non-dropping-particle":"","parse-names":false,"suffix":""},{"dropping-particle":"","family":"Rasmussen","given":"Gorm","non-dropping-particle":"","parse-names":false,"suffix":""}],"container-title":"Hydrobiologia","id":"ITEM-1","issue":"1988","issued":{"date-parts":[["1998"]]},"page":"347-353","title":"Survival of radio-tagged Atlantic salmon (Salmo salar (L.)) and trout (Salmo trutta L.) smolts passing a reservoir during seaward migration","type":"article-journal","volume":"371-372"},"uris":["http://www.mendeley.com/documents/?uuid=b943029f-c843-46f6-b211-e27223fb542c"]}],"mendeley":{"formattedCitation":"(Jepsen et al., 1998)","plainTextFormattedCitation":"(Jepsen et al., 1998)","previouslyFormattedCitation":"(Jepsen et al., 1998)"},"properties":{"noteIndex":0},"schema":"https://github.com/citation-style-language/schema/raw/master/csl-citation.json"}</w:instrText>
      </w:r>
      <w:r w:rsidRPr="00F92A58">
        <w:fldChar w:fldCharType="separate"/>
      </w:r>
      <w:r w:rsidRPr="00F92A58">
        <w:rPr>
          <w:noProof/>
        </w:rPr>
        <w:t>(Jepsen et al., 1998)</w:t>
      </w:r>
      <w:r w:rsidRPr="00F92A58">
        <w:fldChar w:fldCharType="end"/>
      </w:r>
      <w:r w:rsidRPr="00F92A58">
        <w:t xml:space="preserve"> and acoustic telemetry </w:t>
      </w:r>
      <w:r w:rsidRPr="00F92A58">
        <w:fldChar w:fldCharType="begin" w:fldLock="1"/>
      </w:r>
      <w:r w:rsidRPr="00F92A58">
        <w:instrText>ADDIN CSL_CITATION {"citationItems":[{"id":"ITEM-1","itemData":{"DOI":"10.1577/1548-8446-35.1.9","ISSN":"0363-2415","abstract":"Limitations of biotelemetry technology available in 2001 prompted the U. S. Army Corps of Engineers Portland District to develop a new acoustic telemetry system to monitor survival of juvenile salmonids through the Columbia River to the Pacific Ocean. Eight years later, the Juvenile Salmon Acoustic Telemetry System (JSATS) consists of microacoustic transmitters (12 mm long, 0.43 g weight in air), autonomous and cabled receiving systems, and data management and processing applications. Transmitter pulse rate can be user-defined and as configured for this case study was set at 5 seconds, with an estimated tag life of 30 days and detection range of 300 m. Before JSATS development, no technology existed to study movement and survival of fish smaller than 10 g migrating long distances from freshwater and into saltwater. In a 2008 study comparing detection probabilities, travel times, and survival of 4,140 JSATS-tagged and 48,433 passive integrated transponder (PIT)tagged yearling Chinook salmon (Oncorhynchus tshawytscha; mean fork length 133.9 and 135.3 mm, for JSATS and PIT-tagged fish, respectively) migrating the Snake and Columbia rivers to the Pacific, the JSATS provided survival estimates at more locations with greater precision, using less than one-tenth as many tagged fish as the traditional PIT-tag system. While designed to be optimized for juvenile salmonid survival assessment in the Columbia River basin, JSATS technology may be used in a variety of environments. Information regarding different acoustic telemetry systems from various vendors is presented and discussed relative to the nonproprietary JSATS.","author":[{"dropping-particle":"","family":"McMichael","given":"Geoffrey A.","non-dropping-particle":"","parse-names":false,"suffix":""},{"dropping-particle":"","family":"Eppard","given":"M. Brad","non-dropping-particle":"","parse-names":false,"suffix":""},{"dropping-particle":"","family":"Carlson","given":"Thomas J.","non-dropping-particle":"","parse-names":false,"suffix":""},{"dropping-particle":"","family":"Carter","given":"Jessica A.","non-dropping-particle":"","parse-names":false,"suffix":""},{"dropping-particle":"","family":"Ebberts","given":"Blaine D.","non-dropping-particle":"","parse-names":false,"suffix":""},{"dropping-particle":"","family":"Brown","given":"Richard S.","non-dropping-particle":"","parse-names":false,"suffix":""},{"dropping-particle":"","family":"Weiland","given":"Mark","non-dropping-particle":"","parse-names":false,"suffix":""},{"dropping-particle":"","family":"Ploskey","given":"Gene R.","non-dropping-particle":"","parse-names":false,"suffix":""},{"dropping-particle":"","family":"Harnish","given":"Ryan A.","non-dropping-particle":"","parse-names":false,"suffix":""},{"dropping-particle":"","family":"Deng","given":"Z. Daniel","non-dropping-particle":"","parse-names":false,"suffix":""}],"container-title":"Fisheries","id":"ITEM-1","issue":"1","issued":{"date-parts":[["2010"]]},"page":"9-22","title":"The Juvenile Salmon Acoustic Telemetry System: A New Tool","type":"article-journal","volume":"35"},"uris":["http://www.mendeley.com/documents/?uuid=06bb0ace-c214-4a2c-b579-b11150f21eb8"]}],"mendeley":{"formattedCitation":"(McMichael et al., 2010)","plainTextFormattedCitation":"(McMichael et al., 2010)","previouslyFormattedCitation":"(McMichael et al., 2010)"},"properties":{"noteIndex":0},"schema":"https://github.com/citation-style-language/schema/raw/master/csl-citation.json"}</w:instrText>
      </w:r>
      <w:r w:rsidRPr="00F92A58">
        <w:fldChar w:fldCharType="separate"/>
      </w:r>
      <w:r w:rsidRPr="00F92A58">
        <w:rPr>
          <w:noProof/>
        </w:rPr>
        <w:t>(McMichael et al., 2010)</w:t>
      </w:r>
      <w:r w:rsidRPr="00F92A58">
        <w:fldChar w:fldCharType="end"/>
      </w:r>
      <w:r w:rsidRPr="00F92A58">
        <w:t xml:space="preserve">. Mitochondrial DNA has also been used to investigate the origin of individual fish </w:t>
      </w:r>
      <w:r w:rsidRPr="00F92A58">
        <w:fldChar w:fldCharType="begin" w:fldLock="1"/>
      </w:r>
      <w:r w:rsidR="00DC466D">
        <w:instrText>ADDIN CSL_CITATION {"citationItems":[{"id":"ITEM-1","itemData":{"author":[{"dropping-particle":"","family":"Bermingham","given":"E.","non-dropping-particle":"","parse-names":false,"suffix":""},{"dropping-particle":"","family":"Forbes","given":"S. H.","non-dropping-particle":"","parse-names":false,"suffix":""},{"dropping-particle":"","family":"Friedland","given":"K.","non-dropping-particle":"","parse-names":false,"suffix":""},{"dropping-particle":"","family":"Pla","given":"C.","non-dropping-particle":"","parse-names":false,"suffix":""}],"container-title":"Canadian Journal of Fisheries and Aquatic Sciences","id":"ITEM-1","issued":{"date-parts":[["1991"]]},"page":"884-893","title":"Discrimination between Atlantic Salmon (Salmo salar) of North American and European Origin using Restriction Analyses of Mitochondrial DNA","type":"article-journal","volume":"48"},"uris":["http://www.mendeley.com/documents/?uuid=44f03987-1c41-4043-bc72-98f71e7f468b"]}],"mendeley":{"formattedCitation":"(Bermingham et al., 1991)","plainTextFormattedCitation":"(Bermingham et al., 1991)","previouslyFormattedCitation":"(Bermingham et al., 1991)"},"properties":{"noteIndex":0},"schema":"https://github.com/citation-style-language/schema/raw/master/csl-citation.json"}</w:instrText>
      </w:r>
      <w:r w:rsidRPr="00F92A58">
        <w:fldChar w:fldCharType="separate"/>
      </w:r>
      <w:r w:rsidRPr="00F92A58">
        <w:rPr>
          <w:noProof/>
        </w:rPr>
        <w:t>(Bermingham et al., 1991)</w:t>
      </w:r>
      <w:r w:rsidRPr="00F92A58">
        <w:fldChar w:fldCharType="end"/>
      </w:r>
      <w:r w:rsidRPr="00F92A58">
        <w:t xml:space="preserve">, however; reference populations are needed for matching DNA from unknown fish. Due to the size of the region in question and difficulties with conducting research in a remote area, these traditional methods are not suitable for preliminary investigations on the origins of pink salmon in the Arctic. </w:t>
      </w:r>
    </w:p>
    <w:p w14:paraId="0CDCCA8B" w14:textId="4D030563" w:rsidR="00693CE2" w:rsidRPr="00F92A58" w:rsidRDefault="00693CE2" w:rsidP="00693CE2">
      <w:r w:rsidRPr="00F92A58">
        <w:t xml:space="preserve">Otoliths are a widely used tool in the fisheries community to determine the origins of fish </w:t>
      </w:r>
      <w:r w:rsidRPr="00F92A58">
        <w:fldChar w:fldCharType="begin" w:fldLock="1"/>
      </w:r>
      <w:r w:rsidRPr="00F92A58">
        <w:instrText>ADDIN CSL_CITATION {"citationItems":[{"id":"ITEM-1","itemData":{"DOI":"10.1071/MF18270","ISSN":"13231650","abstract":"The ability to obtain high-resolution chemical profiles across otoliths has expanded with technological advancements that prompted an explosion of data from diverse taxa in coastal, marine and freshwater systems worldwide. The questions pursued by most otolith chemists fall broadly into six categories: identifying origins, tracking migration, reconstructing environments, quantifying growth or physiology, validating ages and assessing diets. Advances in instrumentation have widened the periodic table of otolith elements, and two-dimensional mapping has further illuminated spatial heterogeneity across these complex structures. Although environmental drivers of observed elemental signatures in otoliths are often assumed to be paramount, multiple intrinsic and extrinsic factors can disrupt simple relationships between an element and a single environmental parameter. An otolith chemical profile is not a direct photograph of an environment, but rather an impressionistic image filtered through the multifaceted experiences of the fish itself. A 'signal-to-noise' approach that assesses the relative magnitudes of variation from intrinsic and extrinsic factors on chemical profiles may be a promising way to resolve the factor of interest against the 'noise' of others. A robust appreciation of environmental drivers, physiological regulation and calcification dynamics that affect the ability to effectively interpret otolith chemical patterns is necessary to drive the field forward.","author":[{"dropping-particle":"","family":"Walther","given":"Benjamin D.","non-dropping-particle":"","parse-names":false,"suffix":""}],"container-title":"Marine and Freshwater Research","id":"ITEM-1","issued":{"date-parts":[["2019"]]},"page":"1643-1658","title":"The art of otolith chemistry: Interpreting patterns by integrating perspectives","type":"article-journal"},"uris":["http://www.mendeley.com/documents/?uuid=4ccf6590-613e-40c6-be4e-13b487103d1c"]},{"id":"ITEM-2","itemData":{"DOI":"10.1007/s11160-022-09720-z","ISBN":"0123456789","ISSN":"15735184","abstract":"Chemical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 Graphical abstract: [Figure not available: see fulltext.]","author":[{"dropping-particle":"","family":"Reis-Santos","given":"Patrick","non-dropping-particle":"","parse-names":false,"suffix":""},{"dropping-particle":"","family":"Gillanders","given":"Bronwyn M.","non-dropping-particle":"","parse-names":false,"suffix":""},{"dropping-particle":"","family":"Sturrock","given":"Anna M.","non-dropping-particle":"","parse-names":false,"suffix":""},{"dropping-particle":"","family":"Izzo","given":"Christopher","non-dropping-particle":"","parse-names":false,"suffix":""},{"dropping-particle":"","family":"Oxman","given":"Dion S.","non-dropping-particle":"","parse-names":false,"suffix":""},{"dropping-particle":"","family":"Lueders-Dumont","given":"Jessica A.","non-dropping-particle":"","parse-names":false,"suffix":""},{"dropping-particle":"","family":"Hüssy","given":"Karin","non-dropping-particle":"","parse-names":false,"suffix":""},{"dropping-particle":"","family":"Tanner","given":"Susanne E.","non-dropping-particle":"","parse-names":false,"suffix":""},{"dropping-particle":"","family":"Rogers","given":"Troy","non-dropping-particle":"","parse-names":false,"suffix":""},{"dropping-particle":"","family":"Doubleday","given":"Zoë A.","non-dropping-particle":"","parse-names":false,"suffix":""},{"dropping-particle":"","family":"Andrews","given":"Allen H.","non-dropping-particle":"","parse-names":false,"suffix":""},{"dropping-particle":"","family":"Trueman","given":"Clive","non-dropping-particle":"","parse-names":false,"suffix":""},{"dropping-particle":"","family":"Brophy","given":"Deirdre","non-dropping-particle":"","parse-names":false,"suffix":""},{"dropping-particle":"","family":"Thiem","given":"Jason D.","non-dropping-particle":"","parse-names":false,"suffix":""},{"dropping-particle":"","family":"Baumgartner","given":"Lee J.","non-dropping-particle":"","parse-names":false,"suffix":""},{"dropping-particle":"","family":"Willmes","given":"Malte","non-dropping-particle":"","parse-names":false,"suffix":""},{"dropping-particle":"","family":"Chung","given":"Ming Tsung","non-dropping-particle":"","parse-names":false,"suffix":""},{"dropping-particle":"","family":"Johnson","given":"Rachel C.","non-dropping-particle":"","parse-names":false,"suffix":""},{"dropping-particle":"","family":"Heimbrand","given":"Yvette","non-dropping-particle":"","parse-names":false,"suffix":""},{"dropping-particle":"","family":"Limburg","given":"Karin E.","non-dropping-particle":"","parse-names":false,"suffix":""},{"dropping-particle":"","family":"Walther","given":"Benjamin D.","non-dropping-particle":"","parse-names":false,"suffix":""}],"container-title":"Reviews in Fish Biology and Fisheries","id":"ITEM-2","issue":"0123456789","issued":{"date-parts":[["2022"]]},"publisher":"Springer International Publishing","title":"Reading the biomineralized book of life: expanding otolith biogeochemical research and applications for fisheries and ecosystem-based management","type":"book"},"uris":["http://www.mendeley.com/documents/?uuid=23fbf397-4d57-41e2-9451-5bc3b879af85"]}],"mendeley":{"formattedCitation":"(Reis-Santos et al., 2022; Walther, 2019)","manualFormatting":"(as reviewed by Reis-Santos et al., 2022; Walther, 2019)","plainTextFormattedCitation":"(Reis-Santos et al., 2022; Walther, 2019)","previouslyFormattedCitation":"(Reis-Santos et al., 2022; Walther, 2019)"},"properties":{"noteIndex":0},"schema":"https://github.com/citation-style-language/schema/raw/master/csl-citation.json"}</w:instrText>
      </w:r>
      <w:r w:rsidRPr="00F92A58">
        <w:fldChar w:fldCharType="separate"/>
      </w:r>
      <w:r w:rsidRPr="00F92A58">
        <w:rPr>
          <w:noProof/>
        </w:rPr>
        <w:t>(as reviewed by Reis-Santos et al., 2022; Walther, 2019)</w:t>
      </w:r>
      <w:r w:rsidRPr="00F92A58">
        <w:fldChar w:fldCharType="end"/>
      </w:r>
      <w:r w:rsidRPr="00F92A58">
        <w:t xml:space="preserve">. Otoliths are chemically inert structures, made up of calcium carbonate, typically in the form of aragonite. As otoliths incorporate elements from the surrounding water daily, if the geochemical signature of the water is known, they can be used to determine the origins and migration patterns of fish </w:t>
      </w:r>
      <w:r w:rsidRPr="00F92A58">
        <w:fldChar w:fldCharType="begin" w:fldLock="1"/>
      </w:r>
      <w:r w:rsidR="00DC466D">
        <w:instrText>ADDIN CSL_CITATION {"citationItems":[{"id":"ITEM-1","itemData":{"DOI":"10.3354/meps188263","ISSN":"01718630","abstract":"The fish otolith (earstone) has long been known as a timekeeper, but interest in its use as a metabolically inert environmental recorder has accelerated in recent years. In part due to technological advances, applications such as stock identification, determination of migration pathways, reconstruction of temperature and salinity history, age validation, detection of anadromy, use as a natural tag and chemical mass marking have been developed, some of which are difficult or impossible to implement using alternative techniques. Microsampling and the latest advances in beam-based probes allow many elemental assays to be coupled with daily or annual growth increments, thus providing a detailed chronological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crystallization are also assessed. Drawing upon recent advances in geochemistry and paleoclimate research as points of contrast, it appears that not all applications of otolith chemistry are firmly based, although others are destined to become powerful and perhaps routine tools for the mainstream fish biologist.","author":[{"dropping-particle":"","family":"Campana","given":"Steven E.","non-dropping-particle":"","parse-names":false,"suffix":""}],"container-title":"Marine Ecology Progress Series","id":"ITEM-1","issued":{"date-parts":[["1999"]]},"page":"263-297","title":"Chemistry and composition of fish otoliths: Pathways, mechanisms and applications","type":"article-journal","volume":"188"},"uris":["http://www.mendeley.com/documents/?uuid=67cf4f2d-4eec-4052-ad31-7d3899523f11"]},{"id":"ITEM-2","itemData":{"DOI":"10.4319/lo.1998.43.8.1826","ISSN":"00243590","abstract":"The elemental composition of fish otoliths may represent a permanent record of the environmental conditions an individual has experienced as trace elements, incorporated into the growing surface of the otolith, reflect the physical and chemical characteristics of the ambient water. We tested the utility of trace element signatures in otoliths as natural tags of the river of origin of juvenile American shad (Alosa sapidissima) collected from the Connecticut, Hudson and Delaware Rivers in August and October 1994. Four elements (K, Mn, Sr, and Ba) showed significant variability among sites within rivers in August, although only Mg showed a significant site effect by October. Four elements (Mg, Mn, St, and Ba) differed significantly among rivers in both months. Linear discriminant functions based on the trace element signatures classified fish to their natal river with ~90% accuracy in both August and October collections. The discriminant function generated from the August data was able to classify fish collected in October successfully with better than 80% accuracy. On the basis of our findings, the river of origin of adult fish could be accurately determined by quantifying the trace element composition of the juvenile portion of their otoliths.","author":[{"dropping-particle":"","family":"Thorrold","given":"Simon R.","non-dropping-particle":"","parse-names":false,"suffix":""},{"dropping-particle":"","family":"Jones","given":"Cynthia M.","non-dropping-particle":"","parse-names":false,"suffix":""},{"dropping-particle":"","family":"Campana","given":"Steven E.","non-dropping-particle":"","parse-names":false,"suffix":""},{"dropping-particle":"","family":"McLaren","given":"James W.","non-dropping-particle":"","parse-names":false,"suffix":""},{"dropping-particle":"","family":"Lam","given":"Joseph W.H.","non-dropping-particle":"","parse-names":false,"suffix":""}],"container-title":"Limnology and Oceanography","id":"ITEM-2","issue":"8","issued":{"date-parts":[["1998"]]},"page":"1826-1835","title":"Trace element signatures in otoliths record natal river of juvenile American shad (Alosa sapidissima)","type":"article-journal","volume":"43"},"uris":["http://www.mendeley.com/documents/?uuid=eb049a17-f4b6-46f6-87f8-94a11751750d"]}],"mendeley":{"formattedCitation":"(Campana, 1999; Thorrold et al., 1998)","plainTextFormattedCitation":"(Campana, 1999; Thorrold et al., 1998)","previouslyFormattedCitation":"(Campana, 1999; Thorrold et al., 1998)"},"properties":{"noteIndex":0},"schema":"https://github.com/citation-style-language/schema/raw/master/csl-citation.json"}</w:instrText>
      </w:r>
      <w:r w:rsidRPr="00F92A58">
        <w:fldChar w:fldCharType="separate"/>
      </w:r>
      <w:r w:rsidR="00DC466D" w:rsidRPr="00DC466D">
        <w:rPr>
          <w:noProof/>
        </w:rPr>
        <w:t>(Campana, 1999; Thorrold et al., 1998)</w:t>
      </w:r>
      <w:r w:rsidRPr="00F92A58">
        <w:fldChar w:fldCharType="end"/>
      </w:r>
      <w:r w:rsidRPr="00F92A58">
        <w:t xml:space="preserve">. A variety of geochemical markers, such as </w:t>
      </w:r>
      <w:r w:rsidRPr="00F92A58">
        <w:rPr>
          <w:vertAlign w:val="superscript"/>
        </w:rPr>
        <w:t>87</w:t>
      </w:r>
      <w:r w:rsidRPr="00F92A58">
        <w:t>Sr/</w:t>
      </w:r>
      <w:r w:rsidRPr="00F92A58">
        <w:rPr>
          <w:vertAlign w:val="superscript"/>
        </w:rPr>
        <w:t>86</w:t>
      </w:r>
      <w:r w:rsidRPr="00F92A58">
        <w:t>Sr, elemental/calcium ratios (e.g., Sr/Ca, Ba/Ca), and light stable isotope ratios (e.g., δ</w:t>
      </w:r>
      <w:r w:rsidRPr="00F92A58">
        <w:rPr>
          <w:vertAlign w:val="superscript"/>
        </w:rPr>
        <w:t>18</w:t>
      </w:r>
      <w:r w:rsidRPr="00F92A58">
        <w:t>O, δ</w:t>
      </w:r>
      <w:r w:rsidRPr="00F92A58">
        <w:rPr>
          <w:vertAlign w:val="superscript"/>
        </w:rPr>
        <w:t>13</w:t>
      </w:r>
      <w:r w:rsidRPr="00F92A58">
        <w:t xml:space="preserve">C) have been used to determine the origins of many different fish species </w:t>
      </w:r>
      <w:r w:rsidRPr="00F92A58">
        <w:fldChar w:fldCharType="begin" w:fldLock="1"/>
      </w:r>
      <w:r w:rsidR="00DC466D">
        <w:instrText>ADDIN CSL_CITATION {"citationItems":[{"id":"ITEM-1","itemData":{"DOI":"doi:10.1139/cjfas-57-11-2280","author":[{"dropping-particle":"","family":"Kennedy","given":"Brian P.","non-dropping-particle":"","parse-names":false,"suffix":""},{"dropping-particle":"","family":"Blum","given":"Joel D.","non-dropping-particle":"","parse-names":false,"suffix":""},{"dropping-particle":"","family":"Folt","given":"Carol L","non-dropping-particle":"","parse-names":false,"suffix":""},{"dropping-particle":"","family":"Nislow","given":"Keith H","non-dropping-particle":"","parse-names":false,"suffix":""}],"container-title":"Canadian Journal of Fisheries and Aquatic Sciences","id":"ITEM-1","issued":{"date-parts":[["2000"]]},"page":"2280-2293","title":"Using natural strontium isotopic signatures as fish markers: Methodology and application","type":"article-journal","volume":"57"},"uris":["http://www.mendeley.com/documents/?uuid=0f9401ad-c137-40c0-9daa-d3ad8c3c1e9f"]},{"id":"ITEM-2","itemData":{"DOI":"10.1126/science.1161473","ISSN":"1095-9203","PMID":"18832611","abstract":"Atlantic bluefin tuna populations are in steep decline, and an improved understanding of connectivity between individuals from eastern (Mediterranean Sea) and western (Gulf of Mexico) spawning areas is needed to manage remaining fisheries. Chemical signatures in the otoliths of yearlings from regional nurseries were distinct and served as natural tags to assess natal homing and mixing. Adults showed high rates of natal homing to both eastern and western spawning areas. Trans-Atlantic movement (east to west) was significant and size-dependent, with individuals of Mediterranean origin mixing with the western population in the U.S. Atlantic. The largest (oldest) bluefin tuna collected near the northern extent of their range in North American waters were almost exclusively of western origin, indicating that this region represents critical habitat for the western population.","author":[{"dropping-particle":"","family":"Rooker","given":"Jay R.","non-dropping-particle":"","parse-names":false,"suffix":""},{"dropping-particle":"","family":"Secor","given":"David H.","non-dropping-particle":"","parse-names":false,"suffix":""},{"dropping-particle":"","family":"Metrio","given":"Gregorio","non-dropping-particle":"De","parse-names":false,"suffix":""},{"dropping-particle":"","family":"Schloesser","given":"Ryan","non-dropping-particle":"","parse-names":false,"suffix":""},{"dropping-particle":"","family":"Block","given":"Barbara A.","non-dropping-particle":"","parse-names":false,"suffix":""},{"dropping-particle":"","family":"Neilson","given":"John D.","non-dropping-particle":"","parse-names":false,"suffix":""}],"container-title":"Science","id":"ITEM-2","issue":"October","issued":{"date-parts":[["2008"]]},"page":"742-744","title":"Natal homoing and connectivity in Atlantic Bluefin Tuna populations","type":"article-journal","volume":"322"},"uris":["http://www.mendeley.com/documents/?uuid=eaed6867-512c-480f-aa37-bc4476980ae7"]},{"id":"ITEM-3","itemData":{"DOI":"10.1080/00028487.2014.892535","ISSN":"15488659","abstract":"The identification of contingents within populations that exhibit distinct migratory behaviors and patterns of habitat use can lead to the understanding of the fitness consequences of individual variability in a population and an increased understanding of population dynamics. This study examines the variation in migratory behavior and habitat use patterns in Southern Flounder Paralichthys lethostigma in the northwestern Gulf of Mexico, whose populations have declined rapidly over the last 25-30 years. The putative life history for this species includes short postsettlement movements into low-salinity habitats, followed by estuarine and marine residency for the remainder of life. However, using otolith Ba:Ca in wild-captured fish, two primary contingents were observed: (1) 54% of fish showed marine-estuarine residency for their entire lifetimes, and (2) 46% showed residence in oligohaline habitats for some portion of their lifetimes. For the second group, oligohaline residence varied widely with life history profiles, having between &lt; 5% up to &gt; 95% of values above the oligohaline threshold. Relationships between the proportion of life spent in oligohaline waters and proxies of growth performance were not significant, indicating no apparent difference in the relative advantage of specific residency patterns. Residence in oligohaline habitats thus appears to be facultative for this population, which may be a local adaptation to interannual drought cycles and variable freshwater inputs in the region. © American Fisheries Society 2014.","author":[{"dropping-particle":"","family":"Nims","given":"Megan K.","non-dropping-particle":"","parse-names":false,"suffix":""},{"dropping-particle":"","family":"Walther","given":"Benjamin D.","non-dropping-particle":"","parse-names":false,"suffix":""}],"container-title":"Transactions of the American Fisheries Society","id":"ITEM-3","issue":"3","issued":{"date-parts":[["2014"]]},"page":"721-731","title":"Contingents of Southern Flounder from Subtropical Estuaries Revealed by Otolith Chemistry","type":"article-journal","volume":"143"},"uris":["http://www.mendeley.com/documents/?uuid=354c139f-10cf-47d1-aeaf-ef39fe51966e"]},{"id":"ITEM-4","itemData":{"DOI":"10.1139/F09-015","ISSN":"0706652X","abstract":"Otolith chemistry in freshwater has considerable potential to reveal patterns of origin and movement, which would benefit traditional fisheries management and provide a valuable tool to curb the spread of invasive and illicitly stocked species. We evaluated the relationship between otolith and water chemistry for five markers (Ba/Ca, Mn/Ca, Sr/ Ca, Zn/Ca, and 87Sr/86Sr) in rainbow trout (Oncorhynchus mykiss) using the existing hatchery system in Colorado and Wyoming, USA, to provide controlled, seminatural conditions. Otolith Ba/Ca, Sr/Ca, and 87Sr/86Sr reflected ambient levels, whereas Mn/Ca and Zn/Ca did not. Using only the markers correlated with water chemistry, we classified fish to their hatchery of origin with up to 96% accuracy when element and isotope data were used together. Large changes in 87Sr/Sr were evident in otolith transects, although subtler changes in Sr/Ca were also detectable. Our results suggest the relatively few otolith markers that reflect ambient chemistry can discriminate among locations and track movements well enough to provide valuable insight in a variety of applied contexts.","author":[{"dropping-particle":"","family":"Gibson-Reinemer","given":"Daniel K.","non-dropping-particle":"","parse-names":false,"suffix":""},{"dropping-particle":"","family":"Johnson","given":"Brett M.","non-dropping-particle":"","parse-names":false,"suffix":""},{"dropping-particle":"","family":"Martinez","given":"Patrick J.","non-dropping-particle":"","parse-names":false,"suffix":""},{"dropping-particle":"","family":"Winkelman","given":"Dana L.","non-dropping-particle":"","parse-names":false,"suffix":""},{"dropping-particle":"","family":"Koenig","given":"Alan E.","non-dropping-particle":"","parse-names":false,"suffix":""},{"dropping-particle":"","family":"Woodhead","given":"Jon D.","non-dropping-particle":"","parse-names":false,"suffix":""}],"container-title":"Canadian Journal of Fisheries and Aquatic Sciences","id":"ITEM-4","issue":"4","issued":{"date-parts":[["2009"]]},"page":"513-524","title":"Elemental signatures in otoliths of hatchery rainbow trout (Oncorhynchus mykiss): Distinctiveness and utility fo detecting origins and movement","type":"article-journal","volume":"66"},"uris":["http://www.mendeley.com/documents/?uuid=98ea6d87-6635-4e76-afde-fecdeb41a705"]}],"mendeley":{"formattedCitation":"(Gibson-Reinemer et al., 2009; Kennedy et al., 2000; Nims and Walther, 2014; Rooker et al., 2008)","plainTextFormattedCitation":"(Gibson-Reinemer et al., 2009; Kennedy et al., 2000; Nims and Walther, 2014; Rooker et al., 2008)","previouslyFormattedCitation":"(Gibson-Reinemer et al., 2009; Kennedy et al., 2000; Nims and Walther, 2014; Rooker et al., 2008)"},"properties":{"noteIndex":0},"schema":"https://github.com/citation-style-language/schema/raw/master/csl-citation.json"}</w:instrText>
      </w:r>
      <w:r w:rsidRPr="00F92A58">
        <w:fldChar w:fldCharType="separate"/>
      </w:r>
      <w:r w:rsidR="00DC466D" w:rsidRPr="00DC466D">
        <w:rPr>
          <w:noProof/>
        </w:rPr>
        <w:t>(Gibson-Reinemer et al., 2009; Kennedy et al., 2000; Nims and Walther, 2014; Rooker et al., 2008)</w:t>
      </w:r>
      <w:r w:rsidRPr="00F92A58">
        <w:fldChar w:fldCharType="end"/>
      </w:r>
      <w:r w:rsidRPr="00F92A58">
        <w:t>.</w:t>
      </w:r>
    </w:p>
    <w:p w14:paraId="0D52DDFD" w14:textId="77777777" w:rsidR="00693CE2" w:rsidRPr="00F92A58" w:rsidRDefault="00693CE2" w:rsidP="00693CE2">
      <w:r w:rsidRPr="00F92A58">
        <w:t xml:space="preserve">However, it is possible that the use of otoliths to establish origins of pink salmon could be complicated by their life history. While other Pacific salmon species spend extended periods rearing as juveniles in freshwater, pink salmon migrate to the ocean almost immediately after emergence from the gravel </w:t>
      </w:r>
      <w:r w:rsidRPr="00F92A58">
        <w:fldChar w:fldCharType="begin" w:fldLock="1"/>
      </w:r>
      <w:r w:rsidRPr="00F92A58">
        <w:instrText>ADDIN CSL_CITATION {"citationItems":[{"id":"ITEM-1","itemData":{"ISBN":"0295984376","author":[{"dropping-particle":"","family":"Quinn","given":"Thomas P.","non-dropping-particle":"","parse-names":false,"suffix":""}],"id":"ITEM-1","issued":{"date-parts":[["2004"]]},"number-of-pages":"388","publisher":"Universtity of Washington Press","publisher-place":"Seattle","title":"The behavior and ecology of Pacific Salmon and Trout","type":"book"},"uris":["http://www.mendeley.com/documents/?uuid=dad38281-f285-4f6b-bfa1-9c35fe2aa887"]}],"mendeley":{"formattedCitation":"(Quinn, 2004)","plainTextFormattedCitation":"(Quinn, 2004)","previouslyFormattedCitation":"(Quinn, 2004)"},"properties":{"noteIndex":0},"schema":"https://github.com/citation-style-language/schema/raw/master/csl-citation.json"}</w:instrText>
      </w:r>
      <w:r w:rsidRPr="00F92A58">
        <w:fldChar w:fldCharType="separate"/>
      </w:r>
      <w:r w:rsidRPr="00F92A58">
        <w:rPr>
          <w:noProof/>
        </w:rPr>
        <w:t>(Quinn, 2004)</w:t>
      </w:r>
      <w:r w:rsidRPr="00F92A58">
        <w:fldChar w:fldCharType="end"/>
      </w:r>
      <w:r w:rsidRPr="00F92A58">
        <w:t xml:space="preserve">. Previous studies have demonstrated that it takes approximately 3-4 weeks for otolith chemistry to reach equilibrium with the water </w:t>
      </w:r>
      <w:r w:rsidRPr="00F92A58">
        <w:fldChar w:fldCharType="begin" w:fldLock="1"/>
      </w:r>
      <w:r w:rsidRPr="00F92A58">
        <w:instrText>ADDIN CSL_CITATION {"citationItems":[{"id":"ITEM-1","itemData":{"DOI":"10.3354/ab00511","ISSN":"18647782","abstract":"Otolith chemistry is widely used to address key questions relating to fish ecology and fisheries management; however, there is limited research on the relative contributions of water and diet to elements within otoliths. This study explicitly tested the proportional contributions of water and diet in 3. Australian freshwater fish-silver perch, golden perch and Murray cod-in a controlled laboratory experiment. We independently 'spiked' both tank water and diet with enriched stable isotopes of strontium (86Sr) and barium (137Ba), key elements used in otolith chemistry. Hatchery-sourced fingerlings were used in the experiment and were independently exposed to a control, water-spiked or diet-spiked treatment for a period of 31 to 39 d. Otolith material laid down during the experiment was subsequently analysed for relevant isotopes using laser ablation inductively coupled plasma-mass spectrometry (LA ICP-MS), and water and diet samples were analysed using solution-based ICP-MS. An isotope mixing model was used to determine the relative contributions of water and diet to Sr and Ba otolith chemistry. For all species, water was the dominant source of elements in the otoliths, contributing between 64 and 71% for Sr and 88 and 92% for Ba. Diet contributed to a far lesser degree, with contributions ranging from 4 to 6% for Sr and 10 to 26% for Ba. The results from this study improve interpretations of otolith chemistry data in freshwater fish, thereby allowing more accurate reconstructions of the environmental and movement histories of wild populations. © Inter-Research 2013.","author":[{"dropping-particle":"","family":"Doubleday","given":"Zoë A.","non-dropping-particle":"","parse-names":false,"suffix":""},{"dropping-particle":"","family":"Izzo","given":"Christopher","non-dropping-particle":"","parse-names":false,"suffix":""},{"dropping-particle":"","family":"Woodcock","given":"Skye H.","non-dropping-particle":"","parse-names":false,"suffix":""},{"dropping-particle":"","family":"Gillanders","given":"Bronwyn M.","non-dropping-particle":"","parse-names":false,"suffix":""}],"container-title":"Aquatic Biology","id":"ITEM-1","issue":"3","issued":{"date-parts":[["2013"]]},"page":"271-280","title":"Relative contribution of water and diet to otolith chemistry in freshwater fish","type":"article-journal","volume":"18"},"uris":["http://www.mendeley.com/documents/?uuid=f4eccd8d-9a71-430d-b196-7c392f7f6a1c"]}],"mendeley":{"formattedCitation":"(Doubleday et al., 2013)","plainTextFormattedCitation":"(Doubleday et al., 2013)","previouslyFormattedCitation":"(Doubleday et al., 2013)"},"properties":{"noteIndex":0},"schema":"https://github.com/citation-style-language/schema/raw/master/csl-citation.json"}</w:instrText>
      </w:r>
      <w:r w:rsidRPr="00F92A58">
        <w:fldChar w:fldCharType="separate"/>
      </w:r>
      <w:r w:rsidRPr="00F92A58">
        <w:rPr>
          <w:noProof/>
        </w:rPr>
        <w:t>(Doubleday et al., 2013)</w:t>
      </w:r>
      <w:r w:rsidRPr="00F92A58">
        <w:fldChar w:fldCharType="end"/>
      </w:r>
      <w:r w:rsidRPr="00F92A58">
        <w:t xml:space="preserve">, although changes in otolith chemistry can be seen in 2-3 days </w:t>
      </w:r>
      <w:r w:rsidRPr="00F92A58">
        <w:fldChar w:fldCharType="begin" w:fldLock="1"/>
      </w:r>
      <w:r w:rsidRPr="00F92A58">
        <w:instrText>ADDIN CSL_CITATION {"citationItems":[{"id":"ITEM-1","itemData":{"author":[{"dropping-particle":"","family":"Chen","given":"Kuan-Yu","non-dropping-particle":"","parse-names":false,"suffix":""},{"dropping-particle":"","family":"Ludsin","given":"S. A.","non-dropping-particle":"","parse-names":false,"suffix":""},{"dropping-particle":"","family":"Corey","given":"Morgan","non-dropping-particle":"","parse-names":false,"suffix":""},{"dropping-particle":"","family":"Collingsworth","given":"Paris D.","non-dropping-particle":"","parse-names":false,"suffix":""},{"dropping-particle":"","family":"Nims","given":"Megan K.","non-dropping-particle":"","parse-names":false,"suffix":""},{"dropping-particle":"","family":"Olesik","given":"J. W.","non-dropping-particle":"","parse-names":false,"suffix":""},{"dropping-particle":"","family":"Tassell","given":"J. J.","non-dropping-particle":"van","parse-names":false,"suffix":""},{"dropping-particle":"","family":"Marschall","given":"E.","non-dropping-particle":"","parse-names":false,"suffix":""}],"container-title":"Canadian Journal of Fisheries and Aquatic Sciences","id":"ITEM-1","issue":"5","issued":{"date-parts":[["2015"]]},"page":"693-701","title":"Experimental and field evaluation of otolith strontium as a marker to discriminate between river-spawning populations of walleye in Lake Erie","type":"article-journal","volume":"74"},"uris":["http://www.mendeley.com/documents/?uuid=5f0dce92-adca-40f5-971a-dfc8e2a0a359"]}],"mendeley":{"formattedCitation":"(Chen et al., 2015)","plainTextFormattedCitation":"(Chen et al., 2015)","previouslyFormattedCitation":"(Chen et al., 2015)"},"properties":{"noteIndex":0},"schema":"https://github.com/citation-style-language/schema/raw/master/csl-citation.json"}</w:instrText>
      </w:r>
      <w:r w:rsidRPr="00F92A58">
        <w:fldChar w:fldCharType="separate"/>
      </w:r>
      <w:r w:rsidRPr="00F92A58">
        <w:rPr>
          <w:noProof/>
        </w:rPr>
        <w:t>(Chen et al., 2015)</w:t>
      </w:r>
      <w:r w:rsidRPr="00F92A58">
        <w:fldChar w:fldCharType="end"/>
      </w:r>
      <w:r w:rsidRPr="00F92A58">
        <w:t xml:space="preserve">. Although there is currently no available literature on the use of otoliths to determine natal origins of pink salmon, otolith microchemistry has been used successfully to identify origins of chum salmon </w:t>
      </w:r>
      <w:r w:rsidRPr="00F92A58">
        <w:fldChar w:fldCharType="begin" w:fldLock="1"/>
      </w:r>
      <w:r w:rsidRPr="00F92A58">
        <w:instrText>ADDIN CSL_CITATION {"citationItems":[{"id":"ITEM-1","itemData":{"DOI":"10.1080/00028487.2013.811102","ISSN":"15488659","abstract":"To test the utility of otolith chemical composition asa tool for determining the natal stream of origin for salmon, we examined water chemistry and otoliths of juvenile and adult Chum Salmon Oncorhynchus keta and Coho Salmon O. kisutch from three watersheds (five rivers) in the Norton Sound region of Alaska. The two species are characterized by different life histories: Coho Salmon rear in freshwater for up to 3 years, whereas Chum Salmon emigrate from freshwater shortly after emergence. We used laser ablation (LA) inductively coupled plasma (ICP)mass spectrometry (MS) to quantify element: Ca ratios for Mg, Mn, Zn, Sr, and Ba, and we used multicollector LA-ICP-MS to determine 87Sr:86Sr ratios in otolith regionscorresponding to the period of freshwater residence. Significant differences existed in both water and otolith elemental composition, suggesting that otolith composition could be used to discriminate the natal origin of Coho Salmon and Chum Salmon but only when 87Sr:86Sr ratios were included in the discriminant function analyses. The best discriminant model included 87Sr:86Sr ratios, and without 87Sr:86Sr ratios it was difficult to discriminate among watersheds and rivers. Classification accuracywas 80% for Coho Salmon and 68% for Chum Salmon, indicating that this method does not provide sufficient sensitivity to estimate straying rates of Pacific salmon at the scale we studied. © 2013 Taylor &amp; Francis Group, LLC.","author":[{"dropping-particle":"","family":"Zimmerman","given":"Christian E.","non-dropping-particle":"","parse-names":false,"suffix":""},{"dropping-particle":"","family":"Swanson","given":"Heidi K.","non-dropping-particle":"","parse-names":false,"suffix":""},{"dropping-particle":"","family":"Volk","given":"Eric C.","non-dropping-particle":"","parse-names":false,"suffix":""},{"dropping-particle":"","family":"Kent","given":"Adam J.R.","non-dropping-particle":"","parse-names":false,"suffix":""}],"container-title":"Transactions of the American Fisheries Society","id":"ITEM-1","issue":"5","issued":{"date-parts":[["2013"]]},"page":"1370-1380","title":"Species and life history affect the utility of otolith chemical composition for determining natal stream of origin for pacific salmon","type":"article-journal","volume":"142"},"uris":["http://www.mendeley.com/documents/?uuid=30eced15-445e-4f19-8d79-c3876a872137"]}],"mendeley":{"formattedCitation":"(Zimmerman et al., 2013)","plainTextFormattedCitation":"(Zimmerman et al., 2013)","previouslyFormattedCitation":"(Zimmerman et al., 2013)"},"properties":{"noteIndex":0},"schema":"https://github.com/citation-style-language/schema/raw/master/csl-citation.json"}</w:instrText>
      </w:r>
      <w:r w:rsidRPr="00F92A58">
        <w:fldChar w:fldCharType="separate"/>
      </w:r>
      <w:r w:rsidRPr="00F92A58">
        <w:rPr>
          <w:noProof/>
        </w:rPr>
        <w:t>(Zimmerman et al., 2013)</w:t>
      </w:r>
      <w:r w:rsidRPr="00F92A58">
        <w:fldChar w:fldCharType="end"/>
      </w:r>
      <w:r w:rsidRPr="00F92A58">
        <w:t xml:space="preserve">. Chum, like pink salmon, also  have a limited period of freshwater rearing </w:t>
      </w:r>
      <w:r w:rsidRPr="00F92A58">
        <w:fldChar w:fldCharType="begin" w:fldLock="1"/>
      </w:r>
      <w:r w:rsidRPr="00F92A58">
        <w:instrText>ADDIN CSL_CITATION {"citationItems":[{"id":"ITEM-1","itemData":{"ISBN":"0295984376","author":[{"dropping-particle":"","family":"Quinn","given":"Thomas P.","non-dropping-particle":"","parse-names":false,"suffix":""}],"id":"ITEM-1","issued":{"date-parts":[["2004"]]},"number-of-pages":"388","publisher":"Universtity of Washington Press","publisher-place":"Seattle","title":"The behavior and ecology of Pacific Salmon and Trout","type":"book"},"uris":["http://www.mendeley.com/documents/?uuid=dad38281-f285-4f6b-bfa1-9c35fe2aa887"]}],"mendeley":{"formattedCitation":"(Quinn, 2004)","plainTextFormattedCitation":"(Quinn, 2004)","previouslyFormattedCitation":"(Quinn, 2004)"},"properties":{"noteIndex":0},"schema":"https://github.com/citation-style-language/schema/raw/master/csl-citation.json"}</w:instrText>
      </w:r>
      <w:r w:rsidRPr="00F92A58">
        <w:fldChar w:fldCharType="separate"/>
      </w:r>
      <w:r w:rsidRPr="00F92A58">
        <w:rPr>
          <w:noProof/>
        </w:rPr>
        <w:t>(Quinn, 2004)</w:t>
      </w:r>
      <w:r w:rsidRPr="00F92A58">
        <w:fldChar w:fldCharType="end"/>
      </w:r>
      <w:r w:rsidRPr="00F92A58">
        <w:t xml:space="preserve">. The successful use of otolith microchemistry to identify origins of Chum salmon indicates that there is promise that this technique could also be applied to pink salmon in order to better understand fish origins and movement in a dynamic region. </w:t>
      </w:r>
    </w:p>
    <w:p w14:paraId="3F1ADBD2" w14:textId="77777777" w:rsidR="00693CE2" w:rsidRPr="00F92A58" w:rsidRDefault="00693CE2" w:rsidP="00693CE2">
      <w:r w:rsidRPr="00F92A58">
        <w:t xml:space="preserve">The objectives of this project were thus to 1) determine if otolith microchemistry could be used to identify the origins of pink salmon and 2) evaluate if local Arctic watersheds in Northern Alaska support the production of pink salmon. </w:t>
      </w:r>
    </w:p>
    <w:p w14:paraId="046FE7E0" w14:textId="77777777" w:rsidR="00693CE2" w:rsidRPr="00F92A58" w:rsidRDefault="00693CE2" w:rsidP="00693CE2">
      <w:pPr>
        <w:pStyle w:val="Heading1"/>
      </w:pPr>
      <w:r w:rsidRPr="00F92A58">
        <w:t>2. Materials and Methods</w:t>
      </w:r>
    </w:p>
    <w:p w14:paraId="541F3505" w14:textId="77777777" w:rsidR="00693CE2" w:rsidRPr="00F92A58" w:rsidRDefault="00693CE2" w:rsidP="00693CE2">
      <w:pPr>
        <w:pStyle w:val="Heading2"/>
      </w:pPr>
      <w:r>
        <w:t xml:space="preserve">2.1 </w:t>
      </w:r>
      <w:r w:rsidRPr="00F92A58">
        <w:t xml:space="preserve">Study Area and Sample Collection </w:t>
      </w:r>
    </w:p>
    <w:p w14:paraId="4C41E6F1" w14:textId="77777777" w:rsidR="00693CE2" w:rsidRPr="00F92A58" w:rsidRDefault="00693CE2" w:rsidP="00693CE2">
      <w:pPr>
        <w:rPr>
          <w:rFonts w:cs="Times New Roman"/>
          <w:szCs w:val="24"/>
        </w:rPr>
      </w:pPr>
      <w:r w:rsidRPr="00F92A58">
        <w:rPr>
          <w:rFonts w:cs="Times New Roman"/>
          <w:szCs w:val="24"/>
        </w:rPr>
        <w:t xml:space="preserve">Water samples from Prince William Sound (PWS) were collected by </w:t>
      </w:r>
      <w:r>
        <w:rPr>
          <w:rFonts w:cs="Times New Roman"/>
          <w:szCs w:val="24"/>
        </w:rPr>
        <w:t>PWS</w:t>
      </w:r>
      <w:r w:rsidRPr="00F92A58">
        <w:rPr>
          <w:rFonts w:cs="Times New Roman"/>
          <w:szCs w:val="24"/>
        </w:rPr>
        <w:t xml:space="preserve"> Science Center personnel in July and August 2020. Water samples from Northern Alaska (AK) locations were collected by North Slope Borough personnel in July and August 2020 and October 2021. One water sample was collected per site. Sample sites were selected to attain a broad spatial representation of water chemistry throughout Northern AK. Given that the objective of the study was focused on determining the origin of pink salmon caught in the Arctic, this study focused on capturing the geographic rather than temporal variation in tributary water chemistry in Northern AK. Although AK streams have been shown to demonstrate inter-annual variation in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w:t>
      </w:r>
      <w:r w:rsidRPr="00F92A58">
        <w:rPr>
          <w:rFonts w:cs="Times New Roman"/>
          <w:szCs w:val="24"/>
        </w:rPr>
        <w:fldChar w:fldCharType="begin" w:fldLock="1"/>
      </w:r>
      <w:r w:rsidRPr="00F92A58">
        <w:rPr>
          <w:rFonts w:cs="Times New Roman"/>
          <w:szCs w:val="24"/>
        </w:rPr>
        <w:instrText>ADDIN CSL_CITATION {"citationItems":[{"id":"ITEM-1","itemData":{"DOI":"10.1016/j.gca.2014.10.032","ISSN":"00167037","abstract":"Heterogeneity in 87Sr/86Sr ratios of river-dissolved strontium (Sr) across geologically diverse environments provides a useful tool for investigating provenance, connectivity and movement patterns of various organisms and materials. Evaluation of site-specific 87Sr/86Sr temporal variability throughout study regions is a prerequisite for provenance research, but the dynamics driving temporal variability are generally system-dependent and not accurately predictable. We used the time-keeping properties of otoliths from non-migratory slimy sculpin (Cottus cognatus) to evaluate multi-scale 87Sr/86Sr temporal variability of river waters throughout the Nushagak River, a large (34,700km2) remote watershed in Alaska, USA. Slimy sculpin otoliths incorporated site-specific temporal variation at sub-annual resolution and were able to record on the order of 0.0001 changes in the 87Sr/86Sr ratio. 87Sr/86Sr profiles of slimy sculpin collected in tributaries and main-stem channels of the upper watershed indicated that these regions were temporally stable, whereas the Lower Nushagak River exhibited some spatio-temporal variability. This study illustrates how the behavioral ecology of a non-migratory organism can be used to evaluate sub-annual 87Sr/86Sr temporal variability and has broad implications for provenance studies employing this tracer.","author":[{"dropping-particle":"","family":"Brennan","given":"Sean R.","non-dropping-particle":"","parse-names":false,"suffix":""},{"dropping-particle":"","family":"Fernandez","given":"Diego P.","non-dropping-particle":"","parse-names":false,"suffix":""},{"dropping-particle":"","family":"Zimmerman","given":"Christian E.","non-dropping-particle":"","parse-names":false,"suffix":""},{"dropping-particle":"","family":"Cerling","given":"Thure E.","non-dropping-particle":"","parse-names":false,"suffix":""},{"dropping-particle":"","family":"Brown","given":"Randy J.","non-dropping-particle":"","parse-names":false,"suffix":""},{"dropping-particle":"","family":"Wooller","given":"Matthew J.","non-dropping-particle":"","parse-names":false,"suffix":""}],"container-title":"Geochimica et Cosmochimica Acta","id":"ITEM-1","issued":{"date-parts":[["2015"]]},"page":"32-45","publisher":"Elsevier Ltd","title":"Strontium isotopes in otoliths of a non-migratory fish (slimy sculpin): Implications for provenance studies","type":"article-journal","volume":"149"},"uris":["http://www.mendeley.com/documents/?uuid=162bbb98-a387-41be-a450-dfc5a3cc2878"]}],"mendeley":{"formattedCitation":"(Brennan et al., 2015)","plainTextFormattedCitation":"(Brennan et al., 2015)","previouslyFormattedCitation":"(Brennan et al., 2015)"},"properties":{"noteIndex":0},"schema":"https://github.com/citation-style-language/schema/raw/master/csl-citation.json"}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(Brennan et al., 2015)</w:t>
      </w:r>
      <w:r w:rsidRPr="00F92A58">
        <w:rPr>
          <w:rFonts w:cs="Times New Roman"/>
          <w:szCs w:val="24"/>
        </w:rPr>
        <w:fldChar w:fldCharType="end"/>
      </w:r>
      <w:r w:rsidRPr="00F92A58">
        <w:rPr>
          <w:rFonts w:cs="Times New Roman"/>
          <w:szCs w:val="24"/>
        </w:rPr>
        <w:t xml:space="preserve">, geochemical differences among streams are typically greater than seasonal differences </w:t>
      </w:r>
      <w:r w:rsidRPr="00F92A58">
        <w:rPr>
          <w:rFonts w:cs="Times New Roman"/>
          <w:szCs w:val="24"/>
        </w:rPr>
        <w:fldChar w:fldCharType="begin" w:fldLock="1"/>
      </w:r>
      <w:r w:rsidRPr="00F92A58">
        <w:rPr>
          <w:rFonts w:cs="Times New Roman"/>
          <w:szCs w:val="24"/>
        </w:rPr>
        <w:instrText xml:space="preserve">ADDIN CSL_CITATION {"citationItems":[{"id":"ITEM-1","itemData":{"DOI":"10.1139/F07-129","ISSN":"0706652X","abstract":"Quantifying the contribution of wild (naturally spawned) and hatchery Chinook salmon (Oncorhynchus tshawytscha) to the mixed-stock ocean fishery is critical to understanding their relative importance to the persistence of salmon stocks. The inability to distinguish hatchery and wild salmon has inhibited the detection of declines or recoveries for many wild populations. By using Chinook salmon of known hatchery and wild origin, we established a baseline for separating these two sources using otolith microstructure. Otoliths of wild salmon contained a distinct exogenous feeding check likely reflecting an abrupt transition in food resources from maternal yolk not experienced by fish reared in hatcheries. Daily growth increments in otoliths from hatchery salmon immediately after the onset of exogenous feeding were wider and more uniform in width than those in wild fish. The discriminant function that we used to distinguish individuals reared in hatcheries or in the wild was robust between years (1999 and 2002), life history stages (juveniles and adults), and geographic regions (California, British Columbia, and Alaska) and classified fish with </w:instrText>
      </w:r>
      <w:r w:rsidRPr="00F92A58">
        <w:rPr>
          <w:rFonts w:ascii="Cambria Math" w:hAnsi="Cambria Math" w:cs="Cambria Math"/>
          <w:szCs w:val="24"/>
        </w:rPr>
        <w:instrText>∼</w:instrText>
      </w:r>
      <w:r w:rsidRPr="00F92A58">
        <w:rPr>
          <w:rFonts w:cs="Times New Roman"/>
          <w:szCs w:val="24"/>
        </w:rPr>
        <w:instrText>91% accuracy. Results from our mixed-stock model estimated that the contribution of wild fish was 10% ± 6%, indicating hatchery supplementation may be playing a larger role in supporting the central California coastal fishery than previously assumed. © 2007 NRC.","author":[{"dropping-particle":"","family":"Barnett-Johnson","given":"Rachel","non-dropping-particle":"","parse-names":false,"suffix":""},{"dropping-particle":"","family":"Grimes","given":"Churchill B.","non-dropping-particle":"","parse-names":false,"suffix":""},{"dropping-particle":"","family":"Royer","given":"Chantell F.","non-dropping-particle":"","parse-names":false,"suffix":""},{"dropping-particle":"","family":"Donohoe","given":"Christopher J.","non-dropping-particle":"","parse-names":false,"suffix":""}],"container-title":"Canadian Journal of Fisheries and Aquatic Sciences","id":"ITEM-1","issue":"12","issued":{"date-parts":[["2008"]]},"page":"1683-1692","title":"Identifying the contribution of wild and hatchery Chinook salmon (Oncorhynchus tshawytscha) to the ocean fishery using otolith microstructure as natural tags","type":"article-journal","volume":"29"},"uris":["http://www.mendeley.com/documents/?uuid=cf190c47-68c6-4829-b549-e9880c9b312b"]},{"id":"ITEM-2","itemData":{"DOI":"10.1007/s00442-012-2564-9","ISSN":"00298549","PMID":"23423520","abstract":"Human disturbances to ecosystems have created challenges to populations worldwide, forcing them to respond phenotypically in ways that increase their fitness under current conditions. One approach to examining population responses to disturbance in species with complex life histories is to study species that exhibit spatial patterns in their phenotypic response across populations or demes. In this study, we investigate a threatened population of fall chinook salmon (Oncorhynchus tshawytscha) in the Snake River of Idaho, in which a significant fraction of the juvenile population have been shown to exhibit a yearling out-migration strategy which had not previously been thought to exist. It has been suggested that dam-related environmental changes may have altered the selective pressures experienced by out-migrating fall chinook, driving evolution of a later and more selectively advantageous migration strategy. Using isotopic analysis of otoliths from returning adult spawners, we reconstructed the locations of individual fish at three major juvenile life stages to determine if the representation of the yearling life history was geographically structured within the population. We reconstructed juvenile locations for natal, rearing and overwintering life stages in each of the major spawning areas in the basin. Our results indicate that the yearling life-history strategy is predominantly represented within one of the main spawning regions, the Clearwater River, rather than being distributed throughout the basin. Previous studies have shown the Clearwater River to have cooler temperatures, later hatch dates, and later outmigration of juveniles, indicating a link between environment and expression of the yearling life history. Our data suggest that this new yearling life history may be disproportionally represented in returning adult spawners, indicating selection for this life history within the population. © 2013 Springer-Verlag Berlin Heidelberg.","author":[{"dropping-particle":"","family":"Hegg","given":"Jens C.","non-dropping-particle":"","parse-names":false,"suffix":""},{"dropping-particle":"","family":"Kennedy","given":"Brian P.","non-dropping-particle":"","parse-names":false,"suffix":""},{"dropping-particle":"","family":"Chittaro","given":"Paul M.","non-dropping-particle":"","parse-names":false,"suffix":""},{"dropping-particle":"","family":"Zabel","given":"Richard W.","non-dropping-particle":"","parse-names":false,"suffix":""}],"container-title":"Oecologia","id":"ITEM-2","issue":"4","issued":{"date-parts":[["2013"]]},"page":"1017-1029","title":"Spatial structuring of an evolving life-history strategy under altered environmental conditions","type":"article-journal","volume":"172"},"uris":["http://www.mendeley.com/documents/?uuid=f4616694-3778-4667-8234-d20b8f6ddb94"]},{"id":"ITEM-3","itemData":{"DOI":"10.1016/j.gca.2014.10.032","ISSN":"00167037","abstract":"Heterogeneity in 87Sr/86Sr ratios of river-dissolved strontium (Sr) across geologically diverse environments provides a useful tool for investigating provenance, connectivity and movement patterns of various organisms and materials. Evaluation of site-specific 87Sr/86Sr temporal variability throughout study regions is a prerequisite for provenance research, but the dynamics driving temporal variability are generally system-dependent and not accurately predictable. We used the time-keeping properties of otoliths from non-migratory slimy sculpin (Cottus cognatus) to evaluate multi-scale 87Sr/86Sr temporal variability of river waters throughout the Nushagak River, a large (34,700km2) remote watershed in Alaska, USA. Slimy sculpin otoliths incorporated site-specific temporal variation at sub-annual resolution and were able to record on the order of 0.0001 changes in the 87Sr/86Sr ratio. 87Sr/86Sr profiles of slimy sculpin collected in tributaries and main-stem channels of the upper watershed indicated that these regions were temporally stable, whereas the Lower Nushagak River exhibited some spatio-temporal variability. This study illustrates how the behavioral ecology of a non-migratory organism can be used to evaluate sub-annual 87Sr/86Sr temporal variability and has broad implications for provenance studies employing this tracer.","author":[{"dropping-particle":"","family":"Brennan","given":"Sean R.","non-dropping-particle":"","parse-names":false,"suffix":""},{"dropping-particle":"","family":"Fernandez","given":"Diego P.","non-dropping-particle":"","parse-names":false,"suffix":""},{"dropping-particle":"","family":"Zimmerman","given":"Christian E.","non-dropping-particle":"","parse-names":false,"suffix":""},{"dropping-particle":"","family":"Cerling","given":"Thure E.","non-dropping-particle":"","parse-names":false,"suffix":""},{"dropping-particle":"","family":"Brown","given":"Randy J.","non-dropping-particle":"","parse-names":false,"suffix":""},{"dropping-particle":"","family":"Wooller","given":"Matthew J.","non-dropping-particle":"","parse-names":false,"suffix":""}],"container-title":"Geochimica et Cosmochimica Acta","id":"ITEM-3","issued":{"date-parts":[["2015"]]},"page":"32-45","publisher":"Elsevier Ltd","title":"Strontium isotopes in otoliths of a non-migratory fish (slimy sculpin): Implications for provenance studies","type":"article-journal","volume":"149"},"uris":["http://www.mendeley.com/documents/?uuid=162bbb98-a387-41be-a450-dfc5a3cc2878"]}],"mendeley":{"formattedCitation":"(Barnett-Johnson et al., 2008; Brennan et al., 2015; Hegg et al., 2013)","plainTextFormattedCitation":"(Barnett-Johnson et al., 2008; Brennan et al., 2015; Hegg et al., 2013)","previouslyFormattedCitation":"(Barnett-Johnson et al., 2008; Brennan et al., 2015; Hegg et al., 2013)"},"properties":{"noteIndex":0},"schema":"https://github.com/citation-style-language/schema/raw/master/csl-citation.json"}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(Barnett-Johnson et al., 2008; Brennan et al., 2015; Hegg et al., 2013)</w:t>
      </w:r>
      <w:r w:rsidRPr="00F92A58">
        <w:rPr>
          <w:rFonts w:cs="Times New Roman"/>
          <w:szCs w:val="24"/>
        </w:rPr>
        <w:fldChar w:fldCharType="end"/>
      </w:r>
      <w:r w:rsidRPr="00F92A58">
        <w:rPr>
          <w:rFonts w:cs="Times New Roman"/>
          <w:szCs w:val="24"/>
        </w:rPr>
        <w:t>.</w:t>
      </w:r>
    </w:p>
    <w:p w14:paraId="17459B7F" w14:textId="77777777" w:rsidR="00693CE2" w:rsidRPr="00F92A58" w:rsidRDefault="00693CE2" w:rsidP="00693CE2">
      <w:pPr>
        <w:rPr>
          <w:rFonts w:cs="Times New Roman"/>
          <w:szCs w:val="24"/>
        </w:rPr>
      </w:pPr>
      <w:r w:rsidRPr="00F92A58">
        <w:rPr>
          <w:rFonts w:cs="Times New Roman"/>
          <w:szCs w:val="24"/>
        </w:rPr>
        <w:t>Water samples were collected in acid-washed 60 mL perfluoroalkoxy alkane (PFA) bottles following the procedures described by Linley et al. (2016). After collection, water samples were refrigerated until they could be shipped to Pacific Northwest National Laboratory (PNNL). Upon arrival at PNNL, water samples were acidified to 2% with Optima-grade nitric acid</w:t>
      </w:r>
      <w:r>
        <w:rPr>
          <w:rFonts w:cs="Times New Roman"/>
          <w:szCs w:val="24"/>
        </w:rPr>
        <w:t xml:space="preserve"> (Fisher Scientific)</w:t>
      </w:r>
      <w:r w:rsidRPr="00F92A58">
        <w:rPr>
          <w:rFonts w:cs="Times New Roman"/>
          <w:szCs w:val="24"/>
        </w:rPr>
        <w:t xml:space="preserve">. </w:t>
      </w:r>
    </w:p>
    <w:p w14:paraId="646B18D9" w14:textId="77777777" w:rsidR="00693CE2" w:rsidRPr="00F92A58" w:rsidRDefault="00693CE2" w:rsidP="00693CE2">
      <w:pPr>
        <w:rPr>
          <w:rFonts w:cs="Times New Roman"/>
          <w:szCs w:val="24"/>
        </w:rPr>
      </w:pPr>
      <w:r w:rsidRPr="00F92A58">
        <w:rPr>
          <w:rFonts w:cs="Times New Roman"/>
          <w:szCs w:val="24"/>
        </w:rPr>
        <w:t>Adult pink salmon from PWS were collected in July and August of 2020. These salmon were from known, established populations in PWS. Fish in PWS were collected from either Hartney Bay or Jackson Creek, which are home to known, established pink salmon populations. Run size of PWS pink salmon was estimated to be between 50 – 142 million individuals between 2013 – 2015, of which an estimated 56 – 86% are of hatchery origin (Knudsen et al., 2021).</w:t>
      </w:r>
      <w:r>
        <w:rPr>
          <w:rFonts w:cs="Times New Roman"/>
          <w:szCs w:val="24"/>
        </w:rPr>
        <w:t xml:space="preserve"> In addition to spawning in freshwater, a significant number of pink salmon in PWS have been documented spawning in intertidal zones (Helle, 1970). </w:t>
      </w:r>
      <w:r w:rsidRPr="00F92A58">
        <w:rPr>
          <w:rFonts w:cs="Times New Roman"/>
          <w:szCs w:val="24"/>
        </w:rPr>
        <w:t xml:space="preserve">Fish from Hartney Creek were captured using blocking seines and dipnets. At Jackson Creek, post-spawn carcasses were collected from the water or riverbank. </w:t>
      </w:r>
    </w:p>
    <w:p w14:paraId="7BA52222" w14:textId="77777777" w:rsidR="00693CE2" w:rsidRPr="00F92A58" w:rsidRDefault="00693CE2" w:rsidP="00693CE2">
      <w:pPr>
        <w:rPr>
          <w:rFonts w:cs="Times New Roman"/>
          <w:szCs w:val="24"/>
        </w:rPr>
      </w:pPr>
      <w:r w:rsidRPr="00F92A58">
        <w:rPr>
          <w:rFonts w:cs="Times New Roman"/>
          <w:szCs w:val="24"/>
        </w:rPr>
        <w:t>Adult pink salmon from Northern Alaska were caught by native fishers engaged in subsistence fishing using gill nets</w:t>
      </w:r>
      <w:r>
        <w:rPr>
          <w:rFonts w:cs="Times New Roman"/>
          <w:szCs w:val="24"/>
        </w:rPr>
        <w:t xml:space="preserve"> in July and August of 2020 and 2021. Fish were collected opportunistically in three different marine locations (Elson Lagoon, Kaktovik, Point Hope). </w:t>
      </w:r>
      <w:r w:rsidRPr="00F92A58">
        <w:rPr>
          <w:rFonts w:cs="Times New Roman"/>
          <w:szCs w:val="24"/>
        </w:rPr>
        <w:t xml:space="preserve">Elson Lagoon is a bay located on the North Slope of AK, near </w:t>
      </w:r>
      <w:r w:rsidRPr="00F92A58">
        <w:rPr>
          <w:rFonts w:cs="Times New Roman"/>
          <w:color w:val="202122"/>
          <w:szCs w:val="24"/>
          <w:shd w:val="clear" w:color="auto" w:fill="FFFFFF"/>
        </w:rPr>
        <w:t>Utqiaġvik</w:t>
      </w:r>
      <w:r w:rsidRPr="00F92A58">
        <w:rPr>
          <w:rFonts w:cs="Times New Roman"/>
          <w:szCs w:val="24"/>
        </w:rPr>
        <w:t xml:space="preserve"> (formerly Barrow). The Elson Lagoon watershed is made up of many small streams, draining an area of approximately 580 km</w:t>
      </w:r>
      <w:r w:rsidRPr="00F92A58">
        <w:rPr>
          <w:rFonts w:cs="Times New Roman"/>
          <w:szCs w:val="24"/>
          <w:vertAlign w:val="superscript"/>
        </w:rPr>
        <w:t>2</w:t>
      </w:r>
      <w:r w:rsidRPr="00F92A58">
        <w:rPr>
          <w:rFonts w:cs="Times New Roman"/>
          <w:szCs w:val="24"/>
        </w:rPr>
        <w:t xml:space="preserve"> </w:t>
      </w:r>
      <w:r w:rsidRPr="00F92A58">
        <w:rPr>
          <w:rFonts w:cs="Times New Roman"/>
          <w:szCs w:val="24"/>
        </w:rPr>
        <w:fldChar w:fldCharType="begin" w:fldLock="1"/>
      </w:r>
      <w:r w:rsidRPr="00F92A58">
        <w:rPr>
          <w:rFonts w:cs="Times New Roman"/>
          <w:szCs w:val="24"/>
        </w:rPr>
        <w:instrText xml:space="preserve">ADDIN CSL_CITATION {"citationItems":[{"id":"ITEM-1","itemData":{"DOI":"10.1088/1748-9326/ac2288","ISSN":"17489326","abstract":"Manifestations of climate change in the Arctic are numerous and include hydrological cycle intensification and permafrost thaw, both expected as a result of atmospheric and surface warming. Across the terrestrial Arctic dissolved organic carbon (DOC) entrained in arctic rivers may be providing a carbon subsidy to coastal food webs. Yet, data from field sampling is too often of limited duration to confidently ascertain impacts of climate change on freshwater and DOC flows to coastal waters. This study applies numerical modeling to investigate trends in freshwater and DOC exports from land to Elson Lagoon in Northwest Alaska over the period 1981-2020. While the modeling approach has limitations, the results point to significant increases in freshwater and DOC exports to the lagoon over the past four decades. The model simulation reveals significant increases in surface, subsurface (suprapermafrost), and total freshwater exports. Significant increases are also noted in surface and subsurface DOC production and export, influenced by warming soils and associated active-layer thickening. The largest changes in subsurface components are noted in September, which has experienced a </w:instrText>
      </w:r>
      <w:r w:rsidRPr="00F92A58">
        <w:rPr>
          <w:rFonts w:ascii="Cambria Math" w:hAnsi="Cambria Math" w:cs="Cambria Math"/>
          <w:szCs w:val="24"/>
        </w:rPr>
        <w:instrText>∼</w:instrText>
      </w:r>
      <w:r w:rsidRPr="00F92A58">
        <w:rPr>
          <w:rFonts w:cs="Times New Roman"/>
          <w:szCs w:val="24"/>
        </w:rPr>
        <w:instrText>50% increase in DOC export emanating from suprapermafrost flow. Direct coastal suprapermafrost freshwater and DOC exports in late summer more than doubled between the first and last five years of the simulation period, with a large anomaly in September 2019 representing a more than fourfold increase over September direct coastal export during the early 1980s. These trends highlight the need for dedicated measurement programs that will enable improved understanding of climate change impacts on coastal zone processes in this data sparse region of Northwest Alaska.","author":[{"dropping-particle":"","family":"Rawlins","given":"Michael A.","non-dropping-particle":"","parse-names":false,"suffix":""}],"container-title":"Environmental Research Letters","id":"ITEM-1","issue":"10","issued":{"date-parts":[["2021"]]},"title":"Increasing freshwater and dissolved organic carbon flows to Northwest Alaska's Elson lagoon","type":"article-journal","volume":"16"},"uris":["http://www.mendeley.com/documents/?uuid=4ae91892-0399-41c6-8572-3903ab122f39"]}],"mendeley":{"formattedCitation":"(Rawlins, 2021)","plainTextFormattedCitation":"(Rawlins, 2021)","previouslyFormattedCitation":"(Rawlins, 2021)"},"properties":{"noteIndex":0},"schema":"https://github.com/citation-style-language/schema/raw/master/csl-citation.json"}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(Rawlins, 2021)</w:t>
      </w:r>
      <w:r w:rsidRPr="00F92A58">
        <w:rPr>
          <w:rFonts w:cs="Times New Roman"/>
          <w:szCs w:val="24"/>
        </w:rPr>
        <w:fldChar w:fldCharType="end"/>
      </w:r>
      <w:r w:rsidRPr="00F92A58">
        <w:rPr>
          <w:rFonts w:cs="Times New Roman"/>
          <w:szCs w:val="24"/>
        </w:rPr>
        <w:t xml:space="preserve">. The salinity of Elson Lagoon varies from 5 – 30 ppt, while water temperature ranges from -1 to 14°C (Sformo et al., 2019). These changes in temperature and salinity are driven by seasonal differences in runoff, contribution of sea ice melt, and mixing of sea water from the Beaufort and Chukchi Seas via wind-inducement movement (Sformo et al., 2019). </w:t>
      </w:r>
      <w:r>
        <w:rPr>
          <w:rFonts w:cs="Times New Roman"/>
          <w:szCs w:val="24"/>
        </w:rPr>
        <w:t xml:space="preserve">Samples from Kaktovik were caught in a lagoon with similar conditions to Elson Lagoon. Samples from Point Hope were collected in the nearshore ocean on the southside of the city of Point Hope. Samples from Camp-99 were captured in freshwater in an unnamed tributary to the Inaru River, located 28 river miles upstream from Elson Lagoon. </w:t>
      </w:r>
      <w:r w:rsidRPr="00F92A58">
        <w:rPr>
          <w:rFonts w:cs="Times New Roman"/>
          <w:szCs w:val="24"/>
        </w:rPr>
        <w:t xml:space="preserve">Otoliths were harvested from fish, rinsed, dried, and shipped to PNNL for analysis. </w:t>
      </w:r>
    </w:p>
    <w:p w14:paraId="091B625F" w14:textId="77777777" w:rsidR="00693CE2" w:rsidRPr="00F92A58" w:rsidRDefault="00693CE2" w:rsidP="00693CE2">
      <w:pPr>
        <w:pStyle w:val="Heading2"/>
      </w:pPr>
      <w:r>
        <w:t xml:space="preserve">2.2 </w:t>
      </w:r>
      <w:r w:rsidRPr="00F92A58">
        <w:t xml:space="preserve">Water Sample Preparation and Analysis </w:t>
      </w:r>
    </w:p>
    <w:p w14:paraId="7A999F44" w14:textId="77777777" w:rsidR="00693CE2" w:rsidRPr="00F92A58" w:rsidRDefault="00693CE2" w:rsidP="00693CE2">
      <w:pPr>
        <w:rPr>
          <w:rFonts w:cs="Times New Roman"/>
          <w:szCs w:val="24"/>
        </w:rPr>
      </w:pPr>
      <w:r w:rsidRPr="00F92A58">
        <w:rPr>
          <w:rFonts w:cs="Times New Roman"/>
          <w:szCs w:val="24"/>
        </w:rPr>
        <w:t xml:space="preserve">Water samples were filtered (PFA, 1-2 µm) and heated at 80°C until completely dry. To remove organic matter, samples were treated with ultra-high purity 15M nitric acid, dried down completely, and then treated with 30% hydrogen peroxide. This procedure was carried out at least 3 times. Samples were then re-suspended in 7M nitric acid and divided into aliquots for Sr isotopic and elemental analysis. </w:t>
      </w:r>
    </w:p>
    <w:p w14:paraId="727FDBDA" w14:textId="77777777" w:rsidR="00693CE2" w:rsidRPr="00F92A58" w:rsidRDefault="00693CE2" w:rsidP="00693CE2">
      <w:pPr>
        <w:rPr>
          <w:rFonts w:cs="Times New Roman"/>
          <w:szCs w:val="24"/>
        </w:rPr>
      </w:pPr>
      <w:r w:rsidRPr="00F92A58">
        <w:rPr>
          <w:rFonts w:cs="Times New Roman"/>
          <w:szCs w:val="24"/>
        </w:rPr>
        <w:t xml:space="preserve">Cation column procedures to purify the Sr aliquot for isotopic analyses were done using Eichrom Sr Spec resin, following the procedures described in </w:t>
      </w:r>
      <w:r w:rsidRPr="00F92A58">
        <w:rPr>
          <w:rFonts w:cs="Times New Roman"/>
          <w:szCs w:val="24"/>
        </w:rPr>
        <w:fldChar w:fldCharType="begin" w:fldLock="1"/>
      </w:r>
      <w:r w:rsidRPr="00F92A58">
        <w:rPr>
          <w:rFonts w:cs="Times New Roman"/>
          <w:szCs w:val="24"/>
        </w:rPr>
        <w:instrText>ADDIN CSL_CITATION {"citationItems":[{"id":"ITEM-1","itemData":{"DOI":"10.1111/eff.12712","author":[{"dropping-particle":"","family":"Dunnigan","given":"James L","non-dropping-particle":"","parse-names":false,"suffix":""},{"dropping-particle":"","family":"Linley","given":"Timothy J","non-dropping-particle":"","parse-names":false,"suffix":""},{"dropping-particle":"","family":"Janak","given":"Jill M","non-dropping-particle":"","parse-names":false,"suffix":""},{"dropping-particle":"","family":"Nims","given":"Megan K","non-dropping-particle":"","parse-names":false,"suffix":""},{"dropping-particle":"","family":"Garavelli","given":"Lysel","non-dropping-particle":"","parse-names":false,"suffix":""},{"dropping-particle":"","family":"Mcmichael","given":"Geoffrey A","non-dropping-particle":"","parse-names":false,"suffix":""}],"container-title":"Ecology of Freshwater Fish","id":"ITEM-1","issued":{"date-parts":[["2023"]]},"page":"1-15","title":"Otolith 87 Sr / 86 Sr identifies natal origin , movement and life history of Burbot Lota lota in the Kootenai River following 45 years of impoundment","type":"article-journal"},"uris":["http://www.mendeley.com/documents/?uuid=b4d42556-ce61-42aa-b1b3-8acdcf6a1809"]}],"mendeley":{"formattedCitation":"(Dunnigan et al., 2023)","manualFormatting":"Dunnigan et al. (2023)","plainTextFormattedCitation":"(Dunnigan et al., 2023)","previouslyFormattedCitation":"(Dunnigan et al., 2023)"},"properties":{"noteIndex":0},"schema":"https://github.com/citation-style-language/schema/raw/master/csl-citation.json"}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Dunnigan et al. (2023)</w:t>
      </w:r>
      <w:r w:rsidRPr="00F92A58">
        <w:rPr>
          <w:rFonts w:cs="Times New Roman"/>
          <w:szCs w:val="24"/>
        </w:rPr>
        <w:fldChar w:fldCharType="end"/>
      </w:r>
      <w:r w:rsidRPr="00F92A58">
        <w:rPr>
          <w:rFonts w:cs="Times New Roman"/>
          <w:szCs w:val="24"/>
        </w:rPr>
        <w:t xml:space="preserve">. To prevent contamination, sample preparation and column chemistry procedures were performed under a class 100 laminar flow hood. </w:t>
      </w:r>
    </w:p>
    <w:p w14:paraId="2E22269E" w14:textId="77777777" w:rsidR="00693CE2" w:rsidRPr="00F92A58" w:rsidRDefault="00693CE2" w:rsidP="00693CE2">
      <w:pPr>
        <w:rPr>
          <w:color w:val="000000"/>
        </w:rPr>
      </w:pPr>
      <w:r w:rsidRPr="00F92A58">
        <w:t xml:space="preserve">Water samples were analyzed for </w:t>
      </w:r>
      <w:r w:rsidRPr="00F92A58">
        <w:rPr>
          <w:vertAlign w:val="superscript"/>
        </w:rPr>
        <w:t>87</w:t>
      </w:r>
      <w:r w:rsidRPr="00F92A58">
        <w:t>Sr/</w:t>
      </w:r>
      <w:r w:rsidRPr="00F92A58">
        <w:rPr>
          <w:vertAlign w:val="superscript"/>
        </w:rPr>
        <w:t>86</w:t>
      </w:r>
      <w:r w:rsidRPr="00F92A58">
        <w:t>Sr by multi-collector inductively coupled plasma mass spectrometry (MC-ICP-MS, NuPlasma 3, Nu Instruments). The Sr carbonate isotopic standard reference material SRM 987 (National Institute of Standards and Technology [NIST]) was analyzed prior to and throughout the analysis to assess instrument performance. Replicate analyses of SRM 987 yielded a mean value of 0.71025</w:t>
      </w:r>
      <w:r w:rsidRPr="00F92A58">
        <w:rPr>
          <w:u w:val="single"/>
        </w:rPr>
        <w:t>+</w:t>
      </w:r>
      <w:r w:rsidRPr="00F92A58">
        <w:t xml:space="preserve">0.00001 (n=8), compared to the literature reported value of </w:t>
      </w:r>
      <w:r w:rsidRPr="00F92A58">
        <w:rPr>
          <w:vertAlign w:val="superscript"/>
        </w:rPr>
        <w:t>87</w:t>
      </w:r>
      <w:r w:rsidRPr="00F92A58">
        <w:t>Sr/</w:t>
      </w:r>
      <w:r w:rsidRPr="00F92A58">
        <w:rPr>
          <w:vertAlign w:val="superscript"/>
        </w:rPr>
        <w:t>86</w:t>
      </w:r>
      <w:r w:rsidRPr="00F92A58">
        <w:t xml:space="preserve">Sr = 0.71025 </w:t>
      </w:r>
      <w:r w:rsidRPr="00F92A58">
        <w:fldChar w:fldCharType="begin" w:fldLock="1"/>
      </w:r>
      <w:r w:rsidRPr="00F92A58">
        <w:instrText>ADDIN CSL_CITATION {"citationItems":[{"id":"ITEM-1","itemData":{"URL":"http://georem.mpch-mainz.gwdg.de/","author":[{"dropping-particle":"","family":"GeoRem","given":"","non-dropping-particle":"","parse-names":false,"suffix":""}],"container-title":"Max Planck Institute","id":"ITEM-1","issued":{"date-parts":[["2022"]]},"title":"GeoReM: Geological and Environmental Reference Materials","type":"webpage"},"uris":["http://www.mendeley.com/documents/?uuid=90fe0527-6e93-4ec9-ac54-3726aca92f04"]}],"mendeley":{"formattedCitation":"(GeoRem, 2022)","plainTextFormattedCitation":"(GeoRem, 2022)","previouslyFormattedCitation":"(GeoRem, 2022)"},"properties":{"noteIndex":0},"schema":"https://github.com/citation-style-language/schema/raw/master/csl-citation.json"}</w:instrText>
      </w:r>
      <w:r w:rsidRPr="00F92A58">
        <w:fldChar w:fldCharType="separate"/>
      </w:r>
      <w:r w:rsidRPr="00F92A58">
        <w:rPr>
          <w:noProof/>
        </w:rPr>
        <w:t>(GeoRem, 2022)</w:t>
      </w:r>
      <w:r w:rsidRPr="00F92A58">
        <w:fldChar w:fldCharType="end"/>
      </w:r>
      <w:r w:rsidRPr="00F92A58">
        <w:t xml:space="preserve">. </w:t>
      </w:r>
    </w:p>
    <w:p w14:paraId="6F304EF1" w14:textId="77777777" w:rsidR="00693CE2" w:rsidRPr="00F92A58" w:rsidRDefault="00693CE2" w:rsidP="00693CE2">
      <w:r w:rsidRPr="00F92A58">
        <w:t xml:space="preserve">Water samples for elemental concentrations were diluted to appropriate concentrations for analysis using 2% nitric acid. Samples were analyzed quantitatively for </w:t>
      </w:r>
      <w:r w:rsidRPr="00F92A58">
        <w:rPr>
          <w:vertAlign w:val="superscript"/>
        </w:rPr>
        <w:t>43</w:t>
      </w:r>
      <w:r w:rsidRPr="00F92A58">
        <w:t xml:space="preserve">Ca, </w:t>
      </w:r>
      <w:r w:rsidRPr="00F92A58">
        <w:rPr>
          <w:vertAlign w:val="superscript"/>
        </w:rPr>
        <w:t>88</w:t>
      </w:r>
      <w:r w:rsidRPr="00F92A58">
        <w:t xml:space="preserve">Sr, and </w:t>
      </w:r>
      <w:r w:rsidRPr="00F92A58">
        <w:rPr>
          <w:vertAlign w:val="superscript"/>
        </w:rPr>
        <w:t>137</w:t>
      </w:r>
      <w:r w:rsidRPr="00F92A58">
        <w:t xml:space="preserve">Ba using a Thermo Scientific X-Series II quadrupole inductively couple plasma mass spectrometer (Q-ICP-MS). An internal standard solution of indium was added in-line to samples prior to introduction into the instrument in order to monitor instrument stability. The instrument was calibrated using an external standard calibration curve (standard concentrations ranging from 0.05 – 10 parts per billion; High-Purity Standards Corporation). A series of calibration and blank verification checks were analyzed after the initial instrument calibration and after every 10 samples. All measured calibration verifications were within </w:t>
      </w:r>
      <w:r w:rsidRPr="00F92A58">
        <w:rPr>
          <w:u w:val="single"/>
        </w:rPr>
        <w:t>+</w:t>
      </w:r>
      <w:r w:rsidRPr="00F92A58">
        <w:t xml:space="preserve">10% of their known concentrations, while all blank verifications were below calculated detection limits. </w:t>
      </w:r>
    </w:p>
    <w:p w14:paraId="2B5161B2" w14:textId="77777777" w:rsidR="00693CE2" w:rsidRPr="00F92A58" w:rsidRDefault="00693CE2" w:rsidP="00693CE2">
      <w:pPr>
        <w:pStyle w:val="Heading2"/>
      </w:pPr>
      <w:r>
        <w:t xml:space="preserve">2.3 </w:t>
      </w:r>
      <w:r w:rsidRPr="00F92A58">
        <w:t xml:space="preserve">Otolith Preparation and Analysis </w:t>
      </w:r>
    </w:p>
    <w:p w14:paraId="6C1DC41A" w14:textId="77777777" w:rsidR="00693CE2" w:rsidRPr="00F92A58" w:rsidRDefault="00693CE2" w:rsidP="00693CE2">
      <w:pPr>
        <w:rPr>
          <w:color w:val="000000"/>
        </w:rPr>
      </w:pPr>
      <w:r w:rsidRPr="00F92A58">
        <w:t>In preparation for laser ablation analysis, otoliths were first mounted on glass sides using thermoplastic glue (Crystal</w:t>
      </w:r>
      <w:r>
        <w:t>b</w:t>
      </w:r>
      <w:r w:rsidRPr="00F92A58">
        <w:t xml:space="preserve">ond 509). Due to their small size, otoliths did not need to be sectioned. Otoliths were polished on both sides, in the sagittal plane, until the core was visible. Silicon carbide sanding paper of successively finer grit (400 – 1200 grit, Allied High-Tech Products) was used in the polishing process. </w:t>
      </w:r>
    </w:p>
    <w:p w14:paraId="4CF8FC80" w14:textId="77777777" w:rsidR="00693CE2" w:rsidRPr="00F92A58" w:rsidRDefault="00693CE2" w:rsidP="00693CE2">
      <w:pPr>
        <w:rPr>
          <w:color w:val="000000"/>
        </w:rPr>
      </w:pPr>
      <w:r w:rsidRPr="00F92A58">
        <w:t>Otoliths were analyzed via laser ablation by using a NWR 213nm Nd:Y</w:t>
      </w:r>
      <w:r>
        <w:t>AG</w:t>
      </w:r>
      <w:r w:rsidRPr="00F92A58">
        <w:t xml:space="preserve"> laser (Electro Scientific Industries, Inc.), coupled to the ICP-MS instruments previously described above for their respective analyses. Prior to analysis, a low-powered laser pulse (5% power) was used as a cleaning pass across the otolith to remove potential surface contamination prior to analysis </w:t>
      </w:r>
      <w:r w:rsidRPr="00F92A58">
        <w:fldChar w:fldCharType="begin" w:fldLock="1"/>
      </w:r>
      <w:r w:rsidRPr="00F92A58">
        <w:instrText>ADDIN CSL_CITATION {"citationItems":[{"id":"ITEM-1","itemData":{"DOI":"10.1080/00028487.2014.889749","ISSN":"15488659","abstract":"Otolith microchemistry is a widely used tool in fish ecology and fisheries management. Cleaning-protocol assessments are lacking, however, especially for larval fish otoliths, which are more fragile and difficult to manipulate than larger otoliths. Herein, we assess the value of cleaning larval fish otoliths with sonication, a commonly used technique that is time consuming and risks loss or breakage of small otoliths, as well as with a lesser-known technique using a low-power laser cleaning pulse (LPLCP). We measured trace elements in larval Walleye Sander vitreus reared in different water strontium concentrations. Strontium and Ba did not differ among any cleaning treatments, indicating that neither sonication nor a LPLCP is necessary. Likewise, Mn did not differ between sonicated and nonsonicated treatments; however, Mn was lower when a LPLCP was used. We suggest omitting the sonication step when preparing otoliths for trace element analysis of Sr, Ba, Mn, and other trace elements found in high abundances. The addition of a LPLCP is useful, although more research in this arena is warranted. Our findings should greatly reduce otolith processing time and the risk of losing and breaking larval otoliths during the cleaning process. © American Fisheries Society 2014.","author":[{"dropping-particle":"","family":"Gover","given":"Theodore R.","non-dropping-particle":"","parse-names":false,"suffix":""},{"dropping-particle":"","family":"Nims","given":"Megan K.","non-dropping-particle":"","parse-names":false,"suffix":""},{"dropping-particle":"","family":"Tassell","given":"Jason J.","non-dropping-particle":"Van","parse-names":false,"suffix":""},{"dropping-particle":"","family":"Collingsworth","given":"Paris D.","non-dropping-particle":"","parse-names":false,"suffix":""},{"dropping-particle":"","family":"Olesik","given":"John W.","non-dropping-particle":"","parse-names":false,"suffix":""},{"dropping-particle":"","family":"Ludsin","given":"Stuart A.","non-dropping-particle":"","parse-names":false,"suffix":""},{"dropping-particle":"","family":"Marschall","given":"Elizabeth A.","non-dropping-particle":"","parse-names":false,"suffix":""}],"container-title":"Transactions of the American Fisheries Society","id":"ITEM-1","issue":"3","issued":{"date-parts":[["2014"]]},"page":"779-783","title":"How Much Cleaning is Needed When Processing Otoliths from Fish Larvae for Microchemical Analysis?","type":"article-journal","volume":"143"},"uris":["http://www.mendeley.com/documents/?uuid=a9091880-e7cb-4bd6-98a5-dd26c3d75793"]}],"mendeley":{"formattedCitation":"(Gover et al., 2014)","plainTextFormattedCitation":"(Gover et al., 2014)","previouslyFormattedCitation":"(Gover et al., 2014)"},"properties":{"noteIndex":0},"schema":"https://github.com/citation-style-language/schema/raw/master/csl-citation.json"}</w:instrText>
      </w:r>
      <w:r w:rsidRPr="00F92A58">
        <w:fldChar w:fldCharType="separate"/>
      </w:r>
      <w:r w:rsidRPr="00F92A58">
        <w:rPr>
          <w:noProof/>
        </w:rPr>
        <w:t>(Gover et al., 2014)</w:t>
      </w:r>
      <w:r w:rsidRPr="00F92A58">
        <w:fldChar w:fldCharType="end"/>
      </w:r>
      <w:r w:rsidRPr="00F92A58">
        <w:t xml:space="preserve">. Laser analysis transects were laid from outside the freshwater zone (early ocean) of the otolith, passing directly through the core, to outside the freshwater zone on the opposite side, perpendicular to the sulcus. Parameters for laser ablation are as follows, spot size: 40 µm, power output: 50%, scan speed: 3 µm/second, repetition rate: 5 Hz. For both isotopic and elemental analysis, the ablated material was carried from the laser to the ICP-MS using a flow of argon carrier gas at 500 mL/min. Sample washout was monitored between each otolith sample to ensure that signals had returned to background levels before proceeding with subsequent analyses. </w:t>
      </w:r>
    </w:p>
    <w:p w14:paraId="06FB9970" w14:textId="77777777" w:rsidR="00693CE2" w:rsidRPr="00F92A58" w:rsidRDefault="00693CE2" w:rsidP="00693CE2">
      <w:pPr>
        <w:rPr>
          <w:color w:val="000000"/>
        </w:rPr>
      </w:pPr>
      <w:r w:rsidRPr="00F92A58">
        <w:t xml:space="preserve">For Sr isotopic analyses, the MC-ICP-MS was tuned using a marine coral standard to ensure that the </w:t>
      </w:r>
      <w:r w:rsidRPr="00F92A58">
        <w:rPr>
          <w:vertAlign w:val="superscript"/>
        </w:rPr>
        <w:t>87</w:t>
      </w:r>
      <w:r w:rsidRPr="00F92A58">
        <w:t>Sr/</w:t>
      </w:r>
      <w:r w:rsidRPr="00F92A58">
        <w:rPr>
          <w:vertAlign w:val="superscript"/>
        </w:rPr>
        <w:t>86</w:t>
      </w:r>
      <w:r w:rsidRPr="00F92A58">
        <w:t>Sr value of modern seawater (</w:t>
      </w:r>
      <w:r w:rsidRPr="00F92A58">
        <w:rPr>
          <w:vertAlign w:val="superscript"/>
        </w:rPr>
        <w:t>87</w:t>
      </w:r>
      <w:r w:rsidRPr="00F92A58">
        <w:t>Sr/</w:t>
      </w:r>
      <w:r w:rsidRPr="00F92A58">
        <w:rPr>
          <w:vertAlign w:val="superscript"/>
        </w:rPr>
        <w:t>86</w:t>
      </w:r>
      <w:r w:rsidRPr="00F92A58">
        <w:t xml:space="preserve">Sr = 0.70918; </w:t>
      </w:r>
      <w:r w:rsidRPr="00F92A58">
        <w:fldChar w:fldCharType="begin" w:fldLock="1"/>
      </w:r>
      <w:r w:rsidRPr="00F92A58">
        <w:instrText>ADDIN CSL_CITATION {"citationItems":[{"id":"ITEM-1","itemData":{"author":[{"dropping-particle":"","family":"Elderfield","given":"H","non-dropping-particle":"","parse-names":false,"suffix":""}],"container-title":"Palaeogeography, Palaeoclimatology, Palaeoecology","id":"ITEM-1","issued":{"date-parts":[["1986"]]},"page":"71-90","title":"Strontium isotope stratigraphy","type":"article-journal","volume":"57"},"uris":["http://www.mendeley.com/documents/?uuid=837be402-602a-4145-8f2b-5db52cfc78ad"]}],"mendeley":{"formattedCitation":"(Elderfield, 1986)","manualFormatting":"Elderfield, 1986)","plainTextFormattedCitation":"(Elderfield, 1986)","previouslyFormattedCitation":"(Elderfield, 1986)"},"properties":{"noteIndex":0},"schema":"https://github.com/citation-style-language/schema/raw/master/csl-citation.json"}</w:instrText>
      </w:r>
      <w:r w:rsidRPr="00F92A58">
        <w:fldChar w:fldCharType="separate"/>
      </w:r>
      <w:r w:rsidRPr="00F92A58">
        <w:rPr>
          <w:noProof/>
        </w:rPr>
        <w:t>Elderfield, 1986)</w:t>
      </w:r>
      <w:r w:rsidRPr="00F92A58">
        <w:fldChar w:fldCharType="end"/>
      </w:r>
      <w:r w:rsidRPr="00F92A58">
        <w:t xml:space="preserve"> was obtained within 2 standard errors (</w:t>
      </w:r>
      <w:r w:rsidRPr="00F92A58">
        <w:rPr>
          <w:vertAlign w:val="superscript"/>
        </w:rPr>
        <w:t>87</w:t>
      </w:r>
      <w:r w:rsidRPr="00F92A58">
        <w:t>Sr/</w:t>
      </w:r>
      <w:r w:rsidRPr="00F92A58">
        <w:rPr>
          <w:vertAlign w:val="superscript"/>
        </w:rPr>
        <w:t>86</w:t>
      </w:r>
      <w:r w:rsidRPr="00F92A58">
        <w:t xml:space="preserve">Sr = 0.70916 </w:t>
      </w:r>
      <w:r w:rsidRPr="00F92A58">
        <w:rPr>
          <w:u w:val="single"/>
        </w:rPr>
        <w:t>+</w:t>
      </w:r>
      <w:r w:rsidRPr="00F92A58">
        <w:t xml:space="preserve"> 0.00003, </w:t>
      </w:r>
      <w:r w:rsidRPr="00F92A58">
        <w:rPr>
          <w:i/>
          <w:iCs/>
        </w:rPr>
        <w:t>n</w:t>
      </w:r>
      <w:r w:rsidRPr="00F92A58">
        <w:t xml:space="preserve"> = 21). The same coral standard was analyzed after every 10-15 samples to monitor instrument drift. To correct for the isobaric interference of Krypton-84 with Sr-84, on-peak zeroes were measured and subtracted prior to each run. A Rb-86 correction was also applied to the Sr-86 signal by measuring the Rubidium-85 signal and calculating the corresponding Rb-86 value assuming natural Rb isotopic composition. To account for mass fractionation, an exponential correction factor (Equation 1; Russell et al., 1978) was obtained from the measured </w:t>
      </w:r>
      <w:r w:rsidRPr="00F92A58">
        <w:rPr>
          <w:vertAlign w:val="superscript"/>
        </w:rPr>
        <w:t>86</w:t>
      </w:r>
      <w:r w:rsidRPr="00F92A58">
        <w:t>Sr/</w:t>
      </w:r>
      <w:r w:rsidRPr="00F92A58">
        <w:rPr>
          <w:vertAlign w:val="superscript"/>
        </w:rPr>
        <w:t>88</w:t>
      </w:r>
      <w:r w:rsidRPr="00F92A58">
        <w:t xml:space="preserve">Sr based on its variation from the accepted value of 0.1194. This was then applied to the </w:t>
      </w:r>
      <w:r w:rsidRPr="00F92A58">
        <w:rPr>
          <w:vertAlign w:val="superscript"/>
        </w:rPr>
        <w:t>87</w:t>
      </w:r>
      <w:r w:rsidRPr="00F92A58">
        <w:t>Sr/</w:t>
      </w:r>
      <w:r w:rsidRPr="00F92A58">
        <w:rPr>
          <w:vertAlign w:val="superscript"/>
        </w:rPr>
        <w:t>86</w:t>
      </w:r>
      <w:r w:rsidRPr="00F92A58">
        <w:t xml:space="preserve">Sr ratio. </w:t>
      </w:r>
    </w:p>
    <w:p w14:paraId="7D3A167B" w14:textId="77777777" w:rsidR="00693CE2" w:rsidRPr="00F92A58" w:rsidRDefault="00693CE2" w:rsidP="00693CE2">
      <w:pPr>
        <w:jc w:val="right"/>
        <w:rPr>
          <w:rFonts w:eastAsiaTheme="minorEastAsia" w:cs="Times New Roman"/>
          <w:szCs w:val="24"/>
        </w:rPr>
      </w:pPr>
      <m:oMath>
        <m:r>
          <w:rPr>
            <w:rFonts w:ascii="Cambria Math" w:hAnsi="Cambria Math" w:cs="Times New Roman"/>
            <w:szCs w:val="24"/>
          </w:rPr>
          <m:t>True Ratio=Measured Ratio*</m:t>
        </m:r>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Atomic Mass of X</m:t>
                    </m:r>
                  </m:num>
                  <m:den>
                    <m:r>
                      <w:rPr>
                        <w:rFonts w:ascii="Cambria Math" w:hAnsi="Cambria Math" w:cs="Times New Roman"/>
                        <w:szCs w:val="24"/>
                      </w:rPr>
                      <m:t>Atomic Mass of Y</m:t>
                    </m:r>
                  </m:den>
                </m:f>
              </m:e>
            </m:d>
          </m:e>
          <m:sup>
            <m:r>
              <w:rPr>
                <w:rFonts w:ascii="Cambria Math" w:hAnsi="Cambria Math" w:cs="Times New Roman"/>
                <w:szCs w:val="24"/>
              </w:rPr>
              <m:t>Fractionation Factor</m:t>
            </m:r>
          </m:sup>
        </m:sSup>
        <m:r>
          <w:rPr>
            <w:rFonts w:ascii="Cambria Math" w:hAnsi="Cambria Math" w:cs="Times New Roman"/>
            <w:szCs w:val="24"/>
          </w:rPr>
          <m:t xml:space="preserve">        </m:t>
        </m:r>
      </m:oMath>
      <w:r w:rsidRPr="00F86029">
        <w:rPr>
          <w:rFonts w:cs="Times New Roman"/>
          <w:szCs w:val="24"/>
        </w:rPr>
        <w:t>(Eqn 1)</w:t>
      </w:r>
    </w:p>
    <w:p w14:paraId="387D60C0" w14:textId="77777777" w:rsidR="00693CE2" w:rsidRPr="00F92A58" w:rsidRDefault="00693CE2" w:rsidP="00693CE2">
      <w:pPr>
        <w:rPr>
          <w:color w:val="000000"/>
        </w:rPr>
      </w:pPr>
      <w:r w:rsidRPr="00F92A58">
        <w:t xml:space="preserve">For elemental analysis, an external calibration curve was constructed using two silicate glass standard reference materials (SRM 612 and 610; NIST). Known values for reference materials were taken from </w:t>
      </w:r>
      <w:r w:rsidRPr="00F92A58">
        <w:fldChar w:fldCharType="begin" w:fldLock="1"/>
      </w:r>
      <w:r w:rsidRPr="00F92A58">
        <w:instrText>ADDIN CSL_CITATION {"citationItems":[{"id":"ITEM-1","itemData":{"DOI":"10.1111/j.1751-908X.1997.tb00538.x","ISSN":"01505505","abstract":"Microanalytical trace element techniques (such as ion probe or laser ablation ICP-MS) are hampered by a lack of well characterized/ homogeneous standards. Two silicate glass reference materials produced by National Institute of Standards and Technology (NIST), MIST SRM 610 and NIST SRM 612, have been shown to be homogeneous and are spiked with up to sixty one trace elements at nominal concentrations of 500 μg g-1 and 50 μg g-1 respectively. These samples (supplied as 3 mm wafers) are equivalent to NIST SRM 611 and NIST SRM 613 respectively (which are supplied as 1 mm wafers) and are becoming more widely used as potential microanalytical reference materials. NIST however, only certifies up to eight elements in these glasses. Here we have compiled concentration data from approximately sixty published works for both glasses, and have produced new analyses from our laboratories. Compilations are presented for the matrix composition of these glasses and for fifty eight trace elements. The trace element data includes all available new and published data, and summaries present the overall average and standard deviation, the range, median, geometric mean and a preferred average (which excludes all data outside ± one standard deviation of the overall average). For the elements which have been certified, there is a good agreement between the compiled averages and the NIST data. This compilation is designed to provide useful new working values for these reference materials.","author":[{"dropping-particle":"","family":"Pearce","given":"Nicholas J.G.","non-dropping-particle":"","parse-names":false,"suffix":""},{"dropping-particle":"","family":"Perkins","given":"William T.","non-dropping-particle":"","parse-names":false,"suffix":""},{"dropping-particle":"","family":"Westgate","given":"John A.","non-dropping-particle":"","parse-names":false,"suffix":""},{"dropping-particle":"","family":"Gorton","given":"Michael P.","non-dropping-particle":"","parse-names":false,"suffix":""},{"dropping-particle":"","family":"Jackson","given":"Simon E.","non-dropping-particle":"","parse-names":false,"suffix":""},{"dropping-particle":"","family":"Neal","given":"Clive R.","non-dropping-particle":"","parse-names":false,"suffix":""},{"dropping-particle":"","family":"Chenery","given":"Simon P.","non-dropping-particle":"","parse-names":false,"suffix":""}],"container-title":"Geostandards Newsletter","id":"ITEM-1","issue":"1","issued":{"date-parts":[["1997"]]},"page":"115-144","title":"A compilation of new and published major and trace element data for NIST SRM 610 and NIST SRM 612 glass reference materials","type":"article-journal","volume":"21"},"uris":["http://www.mendeley.com/documents/?uuid=b4b27573-defa-43ea-aad2-35f20d8f0b2b"]}],"mendeley":{"formattedCitation":"(Pearce et al., 1997)","plainTextFormattedCitation":"(Pearce et al., 1997)","previouslyFormattedCitation":"(Pearce et al., 1997)"},"properties":{"noteIndex":0},"schema":"https://github.com/citation-style-language/schema/raw/master/csl-citation.json"}</w:instrText>
      </w:r>
      <w:r w:rsidRPr="00F92A58">
        <w:fldChar w:fldCharType="separate"/>
      </w:r>
      <w:r w:rsidRPr="00F92A58">
        <w:rPr>
          <w:noProof/>
        </w:rPr>
        <w:t>(Pearce et al., 1997)</w:t>
      </w:r>
      <w:r w:rsidRPr="00F92A58">
        <w:fldChar w:fldCharType="end"/>
      </w:r>
      <w:r w:rsidRPr="00F92A58">
        <w:t xml:space="preserve">. Samples were analyzed quantitatively for </w:t>
      </w:r>
      <w:r w:rsidRPr="00F92A58">
        <w:rPr>
          <w:vertAlign w:val="superscript"/>
        </w:rPr>
        <w:t>43</w:t>
      </w:r>
      <w:r w:rsidRPr="00F92A58">
        <w:t xml:space="preserve">Ca, </w:t>
      </w:r>
      <w:r w:rsidRPr="00F92A58">
        <w:rPr>
          <w:vertAlign w:val="superscript"/>
        </w:rPr>
        <w:t>88</w:t>
      </w:r>
      <w:r w:rsidRPr="00F92A58">
        <w:t xml:space="preserve">Sr, and </w:t>
      </w:r>
      <w:r w:rsidRPr="00F92A58">
        <w:rPr>
          <w:vertAlign w:val="superscript"/>
        </w:rPr>
        <w:t>137</w:t>
      </w:r>
      <w:r w:rsidRPr="00F92A58">
        <w:t xml:space="preserve">Ba. All data was background subtracted by running blanks prior to analysis. The instrument was re-calibrated each time that the laser chamber was opened to change samples (~n=15). Otolith elemental concentration data was converted to element to calcium molar ratios for reporting. </w:t>
      </w:r>
    </w:p>
    <w:p w14:paraId="3CF5672A" w14:textId="77777777" w:rsidR="00693CE2" w:rsidRPr="00F92A58" w:rsidRDefault="00693CE2" w:rsidP="00693CE2">
      <w:pPr>
        <w:pStyle w:val="Heading2"/>
      </w:pPr>
      <w:r>
        <w:t xml:space="preserve">2.4 </w:t>
      </w:r>
      <w:r w:rsidRPr="00F92A58">
        <w:t xml:space="preserve">Identifying the Core and Freshwater Regions in the Otolith </w:t>
      </w:r>
    </w:p>
    <w:p w14:paraId="2D837FB0" w14:textId="77777777" w:rsidR="00693CE2" w:rsidRPr="00F92A58" w:rsidRDefault="00693CE2" w:rsidP="00693CE2">
      <w:pPr>
        <w:rPr>
          <w:rFonts w:cs="Times New Roman"/>
          <w:szCs w:val="24"/>
        </w:rPr>
      </w:pPr>
      <w:r w:rsidRPr="00F92A58">
        <w:rPr>
          <w:rFonts w:cs="Times New Roman"/>
          <w:szCs w:val="24"/>
        </w:rPr>
        <w:t xml:space="preserve">Otolith data was smoothed using a 7-point moving average to reduce variation in signal due to the laser ablation sampling method. Core and freshwater regions in the otolith were first identified on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transects and then the corresponding portion in the Sr/Ca and Ba/Ca transect was extracted. To identify these otolith regions,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transects from laser ablation analyses were first plotted in relation to distance from the core. The core region in most otoliths was easily identifiable for strontium isotopic signatures due to its proximity to the global marine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value. The beginning of the freshwater transect of the otolith was identified as a significant departure (positive or negative) from the core value. The end of the freshwater transect was identified as a return to the global marine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value. Once the freshwater portion of the otolith was established, the maximum or minimum freshwater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value was identified and a 10-point average around this point was taken. This value was reported as the freshwater value for each individual fish. </w:t>
      </w:r>
    </w:p>
    <w:p w14:paraId="28C65D14" w14:textId="77777777" w:rsidR="00693CE2" w:rsidRPr="00F92A58" w:rsidRDefault="00693CE2" w:rsidP="00693CE2">
      <w:pPr>
        <w:pStyle w:val="Heading2"/>
      </w:pPr>
      <w:r>
        <w:t xml:space="preserve">2.5 </w:t>
      </w:r>
      <w:r w:rsidRPr="00F92A58">
        <w:t>Statistical Analyses</w:t>
      </w:r>
    </w:p>
    <w:p w14:paraId="5CED8F72" w14:textId="77777777" w:rsidR="00693CE2" w:rsidRPr="00F92A58" w:rsidRDefault="00693CE2" w:rsidP="00693CE2">
      <w:pPr>
        <w:rPr>
          <w:rFonts w:cs="Times New Roman"/>
          <w:szCs w:val="24"/>
        </w:rPr>
      </w:pPr>
      <w:r w:rsidRPr="00F92A58">
        <w:rPr>
          <w:rFonts w:cs="Times New Roman"/>
          <w:szCs w:val="24"/>
        </w:rPr>
        <w:t xml:space="preserve">Statistical analysis could not be carried out on water samples due to small sample sizes. Therefore, differences in the ranges of water values were examined visually using box and whisker plots. </w:t>
      </w:r>
    </w:p>
    <w:p w14:paraId="20A4F7AF" w14:textId="77777777" w:rsidR="00693CE2" w:rsidRPr="00F92A58" w:rsidRDefault="00693CE2" w:rsidP="00693CE2">
      <w:pPr>
        <w:rPr>
          <w:rFonts w:cs="Times New Roman"/>
          <w:szCs w:val="24"/>
        </w:rPr>
      </w:pPr>
      <w:r w:rsidRPr="00F92A58">
        <w:rPr>
          <w:rFonts w:cs="Times New Roman"/>
          <w:szCs w:val="24"/>
        </w:rPr>
        <w:t xml:space="preserve">Prior to analysis, the otolith data were examined for normality (Shapiro-Wilk test) and equality of variances (Levene’s test). Due to the data being non-normally distributed, Kruskal-Wallis and Conover-Iman pairwise comparisons were used to tests for statistical differences between groups of fish. </w:t>
      </w:r>
      <w:r>
        <w:rPr>
          <w:rFonts w:cs="Times New Roman"/>
          <w:szCs w:val="24"/>
        </w:rPr>
        <w:t xml:space="preserve">A Bonferroni correction was applied to the Conover-Iman pairwise comparisons to account for small sample sizes. </w:t>
      </w:r>
      <w:r w:rsidRPr="00F92A58">
        <w:rPr>
          <w:rFonts w:cs="Times New Roman"/>
          <w:szCs w:val="24"/>
        </w:rPr>
        <w:t xml:space="preserve">First, differences between the two populations of fish from PWS for the otolith core and freshwater portions otolith for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Sr/Ca, and Ba/Ca were examined. As there were no significant differences between these two groups, fish from PWS were combined into one group for subsequent analyses. </w:t>
      </w:r>
      <w:r>
        <w:rPr>
          <w:rFonts w:cs="Times New Roman"/>
          <w:szCs w:val="24"/>
        </w:rPr>
        <w:t xml:space="preserve">Fish from Northern AK locations were examined for significant differences based on their capture location (e.g., Camp-99, Elson Lagoon, Kaktovik, Point Hope). </w:t>
      </w:r>
      <w:r w:rsidRPr="00F92A58">
        <w:rPr>
          <w:rFonts w:cs="Times New Roman"/>
          <w:szCs w:val="24"/>
        </w:rPr>
        <w:t xml:space="preserve">The level of significance for all tests was α </w:t>
      </w:r>
      <w:r w:rsidRPr="00F92A58">
        <w:rPr>
          <w:rFonts w:cs="Times New Roman"/>
          <w:szCs w:val="24"/>
          <w:u w:val="single"/>
        </w:rPr>
        <w:t>&lt;</w:t>
      </w:r>
      <w:r w:rsidRPr="00F92A58">
        <w:rPr>
          <w:rFonts w:cs="Times New Roman"/>
          <w:szCs w:val="24"/>
        </w:rPr>
        <w:t xml:space="preserve"> 0.05. Python was used for all statistical tests. </w:t>
      </w:r>
    </w:p>
    <w:p w14:paraId="73BEC44C" w14:textId="77777777" w:rsidR="00693CE2" w:rsidRPr="00F92A58" w:rsidRDefault="00693CE2" w:rsidP="00693CE2">
      <w:pPr>
        <w:pStyle w:val="Heading1"/>
      </w:pPr>
      <w:r w:rsidRPr="00F92A58">
        <w:t xml:space="preserve">3. Results </w:t>
      </w:r>
    </w:p>
    <w:p w14:paraId="787D7BA3" w14:textId="77777777" w:rsidR="00693CE2" w:rsidRPr="00F92A58" w:rsidRDefault="00693CE2" w:rsidP="00693CE2">
      <w:pPr>
        <w:pStyle w:val="Heading2"/>
      </w:pPr>
      <w:r>
        <w:t xml:space="preserve">3.1 </w:t>
      </w:r>
      <w:r w:rsidRPr="00F92A58">
        <w:t>Water Chemistry</w:t>
      </w:r>
    </w:p>
    <w:p w14:paraId="00FD08F1" w14:textId="77777777" w:rsidR="00693CE2" w:rsidRDefault="00693CE2" w:rsidP="00693CE2">
      <w:pPr>
        <w:ind w:firstLine="0"/>
        <w:rPr>
          <w:rFonts w:cs="Times New Roman"/>
          <w:szCs w:val="24"/>
        </w:rPr>
      </w:pPr>
      <w:r w:rsidRPr="00F92A58">
        <w:rPr>
          <w:rFonts w:cs="Times New Roman"/>
          <w:szCs w:val="24"/>
        </w:rPr>
        <w:t xml:space="preserve">Water results at each sampling location are presented in Table </w:t>
      </w:r>
      <w:r>
        <w:rPr>
          <w:rFonts w:cs="Times New Roman"/>
          <w:szCs w:val="24"/>
        </w:rPr>
        <w:t>5.</w:t>
      </w:r>
      <w:r w:rsidRPr="00F92A58">
        <w:rPr>
          <w:rFonts w:cs="Times New Roman"/>
          <w:szCs w:val="24"/>
        </w:rPr>
        <w:t xml:space="preserve">1. Water data were averaged for the Northern Alaska (NAK) and PWS locations for comparison to otolith values (Figure </w:t>
      </w:r>
      <w:r>
        <w:rPr>
          <w:rFonts w:cs="Times New Roman"/>
          <w:szCs w:val="24"/>
        </w:rPr>
        <w:t>5.</w:t>
      </w:r>
      <w:r w:rsidRPr="00F92A58">
        <w:rPr>
          <w:rFonts w:cs="Times New Roman"/>
          <w:szCs w:val="24"/>
        </w:rPr>
        <w:t xml:space="preserve">1). </w:t>
      </w:r>
      <w:r w:rsidRPr="005A3BCE">
        <w:rPr>
          <w:rFonts w:cs="Times New Roman"/>
          <w:szCs w:val="24"/>
        </w:rPr>
        <w:t xml:space="preserve"> </w:t>
      </w:r>
      <w:r w:rsidRPr="00F92A58">
        <w:rPr>
          <w:rFonts w:cs="Times New Roman"/>
          <w:szCs w:val="24"/>
        </w:rPr>
        <w:t xml:space="preserve">NAK water has a geochemical signature that is distinct from PWS for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while Ba/Ca and Sr/Ca have overlap between NAK and PWS locations (Figure </w:t>
      </w:r>
      <w:r>
        <w:rPr>
          <w:rFonts w:cs="Times New Roman"/>
          <w:szCs w:val="24"/>
        </w:rPr>
        <w:t>5.</w:t>
      </w:r>
      <w:r w:rsidRPr="00F92A58">
        <w:rPr>
          <w:rFonts w:cs="Times New Roman"/>
          <w:szCs w:val="24"/>
        </w:rPr>
        <w:t xml:space="preserve">1). However, Ba/Ca of NAK water has a much broader range as compared to PWS, meaning that Ba/Ca could potentially be used to determine if pink salmon are of Northern Alaskan origin if fish have otolith Ba/Ca signatures well outside of the range of PWS water. Strontium isotopes for NAK locations range from 0.709300 (Kokolik River) to 0.714305 (Kobuk River) (Table </w:t>
      </w:r>
      <w:r>
        <w:rPr>
          <w:rFonts w:cs="Times New Roman"/>
          <w:szCs w:val="24"/>
        </w:rPr>
        <w:t>5.</w:t>
      </w:r>
      <w:r w:rsidRPr="00F92A58">
        <w:rPr>
          <w:rFonts w:cs="Times New Roman"/>
          <w:szCs w:val="24"/>
        </w:rPr>
        <w:t xml:space="preserve">1). Water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values from this study are in agreement with the regional trends in Sr isotopic composition for AK rivers presented in </w:t>
      </w:r>
      <w:r w:rsidRPr="00F92A58">
        <w:rPr>
          <w:rFonts w:cs="Times New Roman"/>
          <w:szCs w:val="24"/>
        </w:rPr>
        <w:fldChar w:fldCharType="begin" w:fldLock="1"/>
      </w:r>
      <w:r w:rsidRPr="00F92A58">
        <w:rPr>
          <w:rFonts w:cs="Times New Roman"/>
          <w:szCs w:val="24"/>
        </w:rPr>
        <w:instrText>ADDIN CSL_CITATION {"citationItems":[{"id":"ITEM-1","itemData":{"DOI":"10.1016/j.chemgeo.2014.08.018","ISSN":"00092541","abstract":"The characterization of strontium (Sr) isotopic (87Sr/86Sr) variation in surface waters of Alaska (AK) has significant implications for provenance studies aiming to track movement patterns of animals. This study presents 87Sr/86Sr ratios, concentrations of Sr, Ca, Mg, Na and K, and selected molar ratios (Sr/Na, Ca/Na, Mg/Na and Ca/Sr) from 61 rivers from across AK to characterize regional patterns in i) 87Sr/86Sr variation and ii) carbonate versus silicate weathering influencing 87Sr/86Sr ratios. 87Sr/86Sr ratios range from 0.70422-0.74041±0.00009. Rivers north of the Denali Fault exhibit more radiogenic and variable 87Sr/86Sr ratios (0.70763 to 0.74041) than rivers to the south (0.70422 to 0.70895), reflecting the tectonic growth of southern AK via accretion of relatively young mafic-rich exotic island arcs along North America's continental margin during the Mesozoic. Within interior AK an east-west gradient exists. Radiogenic 87Sr/86Sr ratios (&gt;0.725) in east-central AK and relatively low ratios (&lt;0.709) in western AK reflect AK's progressive western growth along the ancestral North American miogeocline from the Precambrian to Mesozoic. High relief rivers draining north of the Brooks Range are more radiogenic (&gt;0.711) than lowland rivers (&lt;0.709). Elemental ratios indicate carbonate weathering has the strongest influence on 87Sr/86Sr ratios in high relief watersheds north of the Denali Fault and in watersheds of south-central AK. Elemental and 87Sr/86Sr ratios indicate silicate weathering is important across AK, but is most influential in lowland basins north of the Denali Fault and in southwestern AK. This study illustrates the large Sr isotopic heterogeneity across AK on multiple spatial scales and provides necessary baseline information for provenance studies.","author":[{"dropping-particle":"","family":"Brennan","given":"Sean R.","non-dropping-particle":"","parse-names":false,"suffix":""},{"dropping-particle":"","family":"Fernandez","given":"Diego P.","non-dropping-particle":"","parse-names":false,"suffix":""},{"dropping-particle":"","family":"Mackey","given":"Glen","non-dropping-particle":"","parse-names":false,"suffix":""},{"dropping-particle":"","family":"Cerling","given":"Thure E.","non-dropping-particle":"","parse-names":false,"suffix":""},{"dropping-particle":"","family":"Bataille","given":"Clement P.","non-dropping-particle":"","parse-names":false,"suffix":""},{"dropping-particle":"","family":"Bowen","given":"Gabriel J.","non-dropping-particle":"","parse-names":false,"suffix":""},{"dropping-particle":"","family":"Wooller","given":"Matthew J.","non-dropping-particle":"","parse-names":false,"suffix":""}],"container-title":"Chemical Geology","id":"ITEM-1","issued":{"date-parts":[["2014"]]},"page":"167-181","publisher":"Elsevier B.V.","title":"Strontium isotope variation and carbonate versus silicate weathering in rivers from across Alaska: Implications for provenance studies","type":"article-journal","volume":"389"},"uris":["http://www.mendeley.com/documents/?uuid=2c98c862-113d-41cd-90a1-91d3b250d784"]}],"mendeley":{"formattedCitation":"(Brennan et al., 2014)","plainTextFormattedCitation":"(Brennan et al., 2014)","previouslyFormattedCitation":"(Brennan et al., 2014)"},"properties":{"noteIndex":0},"schema":"https://github.com/citation-style-language/schema/raw/master/csl-citation.json"}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(Brennan et al., 2014)</w:t>
      </w:r>
      <w:r w:rsidRPr="00F92A58">
        <w:rPr>
          <w:rFonts w:cs="Times New Roman"/>
          <w:szCs w:val="24"/>
        </w:rPr>
        <w:fldChar w:fldCharType="end"/>
      </w:r>
      <w:r w:rsidRPr="00F92A58">
        <w:rPr>
          <w:rFonts w:cs="Times New Roman"/>
          <w:szCs w:val="24"/>
        </w:rPr>
        <w:t xml:space="preserve"> (Figure </w:t>
      </w:r>
      <w:r>
        <w:rPr>
          <w:rFonts w:cs="Times New Roman"/>
          <w:szCs w:val="24"/>
        </w:rPr>
        <w:t>5.</w:t>
      </w:r>
      <w:r w:rsidRPr="00F92A58">
        <w:rPr>
          <w:rFonts w:cs="Times New Roman"/>
          <w:szCs w:val="24"/>
        </w:rPr>
        <w:t xml:space="preserve">2). </w:t>
      </w:r>
    </w:p>
    <w:p w14:paraId="064CA83F" w14:textId="77777777" w:rsidR="00693CE2" w:rsidRPr="00F92A58" w:rsidRDefault="00693CE2" w:rsidP="00693CE2">
      <w:pPr>
        <w:pStyle w:val="Heading2"/>
      </w:pPr>
      <w:r>
        <w:t xml:space="preserve">3.2 </w:t>
      </w:r>
      <w:r w:rsidRPr="00F92A58">
        <w:t>Otolith Chemistry</w:t>
      </w:r>
    </w:p>
    <w:p w14:paraId="45DF302F" w14:textId="77777777" w:rsidR="00693CE2" w:rsidRPr="008B7FFD" w:rsidRDefault="00693CE2" w:rsidP="00693CE2">
      <w:pPr>
        <w:ind w:firstLine="0"/>
        <w:rPr>
          <w:rFonts w:cs="Times New Roman"/>
          <w:b/>
          <w:bCs/>
          <w:i/>
          <w:iCs/>
          <w:szCs w:val="24"/>
        </w:rPr>
      </w:pPr>
      <w:r w:rsidRPr="008B7FFD">
        <w:rPr>
          <w:rFonts w:cs="Times New Roman"/>
          <w:b/>
          <w:bCs/>
          <w:i/>
          <w:iCs/>
          <w:szCs w:val="24"/>
          <w:vertAlign w:val="superscript"/>
        </w:rPr>
        <w:t>87</w:t>
      </w:r>
      <w:r w:rsidRPr="008B7FFD">
        <w:rPr>
          <w:rFonts w:cs="Times New Roman"/>
          <w:b/>
          <w:bCs/>
          <w:i/>
          <w:iCs/>
          <w:szCs w:val="24"/>
        </w:rPr>
        <w:t>Sr/</w:t>
      </w:r>
      <w:r w:rsidRPr="008B7FFD">
        <w:rPr>
          <w:rFonts w:cs="Times New Roman"/>
          <w:b/>
          <w:bCs/>
          <w:i/>
          <w:iCs/>
          <w:szCs w:val="24"/>
          <w:vertAlign w:val="superscript"/>
        </w:rPr>
        <w:t>86</w:t>
      </w:r>
      <w:r w:rsidRPr="008B7FFD">
        <w:rPr>
          <w:rFonts w:cs="Times New Roman"/>
          <w:b/>
          <w:bCs/>
          <w:i/>
          <w:iCs/>
          <w:szCs w:val="24"/>
        </w:rPr>
        <w:t>Sr</w:t>
      </w:r>
    </w:p>
    <w:p w14:paraId="1E48625C" w14:textId="77777777" w:rsidR="00693CE2" w:rsidRDefault="00693CE2" w:rsidP="00693CE2">
      <w:pPr>
        <w:rPr>
          <w:rFonts w:cs="Times New Roman"/>
          <w:szCs w:val="24"/>
        </w:rPr>
      </w:pPr>
      <w:r w:rsidRPr="00F92A58">
        <w:rPr>
          <w:rFonts w:cs="Times New Roman"/>
          <w:szCs w:val="24"/>
        </w:rPr>
        <w:t>Otolith data is summarized in Table</w:t>
      </w:r>
      <w:r>
        <w:rPr>
          <w:rFonts w:cs="Times New Roman"/>
          <w:szCs w:val="24"/>
        </w:rPr>
        <w:t xml:space="preserve"> 5.</w:t>
      </w:r>
      <w:r w:rsidRPr="00F92A58">
        <w:rPr>
          <w:rFonts w:cs="Times New Roman"/>
          <w:szCs w:val="24"/>
        </w:rPr>
        <w:t xml:space="preserve">2. </w:t>
      </w:r>
      <w:r>
        <w:rPr>
          <w:rFonts w:cs="Times New Roman"/>
          <w:szCs w:val="24"/>
        </w:rPr>
        <w:t xml:space="preserve">There were significant differences between NAK fish based on catch location for </w:t>
      </w:r>
      <w:r w:rsidRPr="00027391">
        <w:rPr>
          <w:rFonts w:cs="Times New Roman"/>
          <w:szCs w:val="24"/>
          <w:vertAlign w:val="superscript"/>
        </w:rPr>
        <w:t>87</w:t>
      </w:r>
      <w:r>
        <w:rPr>
          <w:rFonts w:cs="Times New Roman"/>
          <w:szCs w:val="24"/>
        </w:rPr>
        <w:t>Sr/</w:t>
      </w:r>
      <w:r w:rsidRPr="00027391">
        <w:rPr>
          <w:rFonts w:cs="Times New Roman"/>
          <w:szCs w:val="24"/>
          <w:vertAlign w:val="superscript"/>
        </w:rPr>
        <w:t>86</w:t>
      </w:r>
      <w:r>
        <w:rPr>
          <w:rFonts w:cs="Times New Roman"/>
          <w:szCs w:val="24"/>
        </w:rPr>
        <w:t xml:space="preserve">Sr in the freshwater and core portion of the otolith (Table 5.3). </w:t>
      </w:r>
    </w:p>
    <w:p w14:paraId="59F2317F" w14:textId="77777777" w:rsidR="00693CE2" w:rsidRDefault="00693CE2" w:rsidP="00693CE2">
      <w:pPr>
        <w:ind w:firstLine="0"/>
        <w:rPr>
          <w:rFonts w:cs="Times New Roman"/>
          <w:szCs w:val="24"/>
        </w:rPr>
      </w:pPr>
    </w:p>
    <w:p w14:paraId="3B61B951" w14:textId="77777777" w:rsidR="00693CE2" w:rsidRDefault="00693CE2" w:rsidP="00693CE2">
      <w:pPr>
        <w:rPr>
          <w:rFonts w:cs="Times New Roman"/>
          <w:szCs w:val="24"/>
        </w:rPr>
      </w:pPr>
    </w:p>
    <w:p w14:paraId="2F0F2CA6" w14:textId="77777777" w:rsidR="00693CE2" w:rsidRDefault="00693CE2" w:rsidP="00693CE2">
      <w:pPr>
        <w:rPr>
          <w:rFonts w:cs="Times New Roman"/>
          <w:szCs w:val="24"/>
        </w:rPr>
        <w:sectPr w:rsidR="00693CE2" w:rsidSect="00AF30CB">
          <w:headerReference w:type="default" r:id="rId8"/>
          <w:footerReference w:type="first" r:id="rId9"/>
          <w:pgSz w:w="12240" w:h="15840"/>
          <w:pgMar w:top="1440" w:right="1440" w:bottom="1728" w:left="1440" w:header="720" w:footer="720" w:gutter="0"/>
          <w:cols w:space="720"/>
          <w:titlePg/>
          <w:docGrid w:linePitch="360"/>
        </w:sectPr>
      </w:pPr>
    </w:p>
    <w:p w14:paraId="74309612" w14:textId="77777777" w:rsidR="00693CE2" w:rsidRDefault="00693CE2" w:rsidP="00693CE2">
      <w:pPr>
        <w:pStyle w:val="Tabletitle"/>
      </w:pPr>
      <w:bookmarkStart w:id="2" w:name="_Toc130365564"/>
      <w:r w:rsidRPr="00580A09">
        <w:t xml:space="preserve">Table </w:t>
      </w:r>
      <w:r>
        <w:t>5.</w:t>
      </w:r>
      <w:r w:rsidRPr="00580A09">
        <w:t xml:space="preserve">1. Location, </w:t>
      </w:r>
      <w:r w:rsidRPr="00580A09">
        <w:rPr>
          <w:vertAlign w:val="superscript"/>
        </w:rPr>
        <w:t>87</w:t>
      </w:r>
      <w:r w:rsidRPr="00580A09">
        <w:t>Sr/</w:t>
      </w:r>
      <w:r w:rsidRPr="00580A09">
        <w:rPr>
          <w:vertAlign w:val="superscript"/>
        </w:rPr>
        <w:t>86</w:t>
      </w:r>
      <w:r w:rsidRPr="00580A09">
        <w:t>Sr, and elemental ratios (mmol/mol) for water samples collected in Northern Alaska (NAK) and Prince William Sound (PWS).</w:t>
      </w:r>
      <w:bookmarkEnd w:id="2"/>
    </w:p>
    <w:tbl>
      <w:tblPr>
        <w:tblStyle w:val="PlainTable21"/>
        <w:tblW w:w="12672" w:type="dxa"/>
        <w:tblCellSpacing w:w="0" w:type="dxa"/>
        <w:tblCellMar>
          <w:top w:w="58" w:type="dxa"/>
          <w:left w:w="86" w:type="dxa"/>
          <w:bottom w:w="58" w:type="dxa"/>
          <w:right w:w="86" w:type="dxa"/>
        </w:tblCellMar>
        <w:tblLook w:val="04A0" w:firstRow="1" w:lastRow="0" w:firstColumn="1" w:lastColumn="0" w:noHBand="0" w:noVBand="1"/>
      </w:tblPr>
      <w:tblGrid>
        <w:gridCol w:w="1142"/>
        <w:gridCol w:w="1690"/>
        <w:gridCol w:w="805"/>
        <w:gridCol w:w="1159"/>
        <w:gridCol w:w="474"/>
        <w:gridCol w:w="595"/>
        <w:gridCol w:w="1066"/>
        <w:gridCol w:w="1229"/>
        <w:gridCol w:w="1378"/>
        <w:gridCol w:w="1004"/>
        <w:gridCol w:w="1330"/>
        <w:gridCol w:w="800"/>
      </w:tblGrid>
      <w:tr w:rsidR="00693CE2" w:rsidRPr="00CF579F" w14:paraId="5270701C" w14:textId="77777777" w:rsidTr="00A927AE">
        <w:trPr>
          <w:cnfStyle w:val="100000000000" w:firstRow="1" w:lastRow="0" w:firstColumn="0" w:lastColumn="0" w:oddVBand="0" w:evenVBand="0" w:oddHBand="0" w:evenHBand="0" w:firstRowFirstColumn="0" w:firstRowLastColumn="0" w:lastRowFirstColumn="0" w:lastRowLastColumn="0"/>
          <w:trHeight w:val="560"/>
          <w:tblCellSpacing w:w="0" w:type="dxa"/>
        </w:trPr>
        <w:tc>
          <w:tcPr>
            <w:cnfStyle w:val="001000000000" w:firstRow="0" w:lastRow="0" w:firstColumn="1" w:lastColumn="0" w:oddVBand="0" w:evenVBand="0" w:oddHBand="0" w:evenHBand="0" w:firstRowFirstColumn="0" w:firstRowLastColumn="0" w:lastRowFirstColumn="0" w:lastRowLastColumn="0"/>
            <w:tcW w:w="1143" w:type="dxa"/>
            <w:tcBorders>
              <w:top w:val="single" w:sz="4" w:space="0" w:color="auto"/>
              <w:bottom w:val="single" w:sz="4" w:space="0" w:color="auto"/>
            </w:tcBorders>
            <w:noWrap/>
            <w:vAlign w:val="bottom"/>
            <w:hideMark/>
          </w:tcPr>
          <w:p w14:paraId="06FA3278" w14:textId="77777777" w:rsidR="00693CE2" w:rsidRPr="003B53D4" w:rsidRDefault="00693CE2" w:rsidP="00A927AE">
            <w:pPr>
              <w:spacing w:line="240" w:lineRule="auto"/>
              <w:ind w:firstLine="0"/>
              <w:jc w:val="center"/>
              <w:rPr>
                <w:rFonts w:eastAsia="Times New Roman" w:cs="Times New Roman"/>
                <w:b w:val="0"/>
                <w:bCs w:val="0"/>
                <w:color w:val="000000"/>
                <w:sz w:val="22"/>
              </w:rPr>
            </w:pPr>
            <w:r w:rsidRPr="003B53D4">
              <w:rPr>
                <w:rFonts w:eastAsia="Times New Roman" w:cs="Times New Roman"/>
                <w:b w:val="0"/>
                <w:bCs w:val="0"/>
                <w:color w:val="000000"/>
                <w:sz w:val="22"/>
              </w:rPr>
              <w:t>Region</w:t>
            </w:r>
          </w:p>
        </w:tc>
        <w:tc>
          <w:tcPr>
            <w:tcW w:w="1692" w:type="dxa"/>
            <w:tcBorders>
              <w:top w:val="single" w:sz="4" w:space="0" w:color="auto"/>
              <w:bottom w:val="single" w:sz="4" w:space="0" w:color="auto"/>
            </w:tcBorders>
            <w:noWrap/>
            <w:vAlign w:val="bottom"/>
            <w:hideMark/>
          </w:tcPr>
          <w:p w14:paraId="476ED7DF"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Site</w:t>
            </w:r>
          </w:p>
        </w:tc>
        <w:tc>
          <w:tcPr>
            <w:tcW w:w="806" w:type="dxa"/>
            <w:tcBorders>
              <w:top w:val="single" w:sz="4" w:space="0" w:color="auto"/>
              <w:bottom w:val="single" w:sz="4" w:space="0" w:color="auto"/>
            </w:tcBorders>
            <w:noWrap/>
            <w:vAlign w:val="bottom"/>
            <w:hideMark/>
          </w:tcPr>
          <w:p w14:paraId="025C5B49"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Site Code</w:t>
            </w:r>
          </w:p>
        </w:tc>
        <w:tc>
          <w:tcPr>
            <w:tcW w:w="1161" w:type="dxa"/>
            <w:tcBorders>
              <w:top w:val="single" w:sz="4" w:space="0" w:color="auto"/>
              <w:bottom w:val="single" w:sz="4" w:space="0" w:color="auto"/>
            </w:tcBorders>
            <w:noWrap/>
            <w:vAlign w:val="bottom"/>
            <w:hideMark/>
          </w:tcPr>
          <w:p w14:paraId="2C26A7C2"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Lat</w:t>
            </w:r>
          </w:p>
        </w:tc>
        <w:tc>
          <w:tcPr>
            <w:tcW w:w="1071" w:type="dxa"/>
            <w:gridSpan w:val="2"/>
            <w:tcBorders>
              <w:top w:val="single" w:sz="4" w:space="0" w:color="auto"/>
              <w:bottom w:val="single" w:sz="4" w:space="0" w:color="auto"/>
            </w:tcBorders>
            <w:noWrap/>
            <w:vAlign w:val="bottom"/>
            <w:hideMark/>
          </w:tcPr>
          <w:p w14:paraId="61FE85B5"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Long</w:t>
            </w:r>
          </w:p>
        </w:tc>
        <w:tc>
          <w:tcPr>
            <w:tcW w:w="1068" w:type="dxa"/>
            <w:tcBorders>
              <w:top w:val="single" w:sz="4" w:space="0" w:color="auto"/>
              <w:bottom w:val="single" w:sz="4" w:space="0" w:color="auto"/>
            </w:tcBorders>
            <w:noWrap/>
            <w:vAlign w:val="bottom"/>
            <w:hideMark/>
          </w:tcPr>
          <w:p w14:paraId="7C5C657D"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vertAlign w:val="superscript"/>
              </w:rPr>
              <w:t>87</w:t>
            </w:r>
            <w:r w:rsidRPr="003B53D4">
              <w:rPr>
                <w:rFonts w:eastAsia="Times New Roman" w:cs="Times New Roman"/>
                <w:b w:val="0"/>
                <w:bCs w:val="0"/>
                <w:color w:val="000000"/>
                <w:sz w:val="22"/>
              </w:rPr>
              <w:t>Sr/</w:t>
            </w:r>
            <w:r w:rsidRPr="003B53D4">
              <w:rPr>
                <w:rFonts w:eastAsia="Times New Roman" w:cs="Times New Roman"/>
                <w:b w:val="0"/>
                <w:bCs w:val="0"/>
                <w:color w:val="000000"/>
                <w:sz w:val="22"/>
                <w:vertAlign w:val="superscript"/>
              </w:rPr>
              <w:t>86</w:t>
            </w:r>
            <w:r w:rsidRPr="003B53D4">
              <w:rPr>
                <w:rFonts w:eastAsia="Times New Roman" w:cs="Times New Roman"/>
                <w:b w:val="0"/>
                <w:bCs w:val="0"/>
                <w:color w:val="000000"/>
                <w:sz w:val="22"/>
              </w:rPr>
              <w:t>Sr</w:t>
            </w:r>
          </w:p>
        </w:tc>
        <w:tc>
          <w:tcPr>
            <w:tcW w:w="1231" w:type="dxa"/>
            <w:tcBorders>
              <w:top w:val="single" w:sz="4" w:space="0" w:color="auto"/>
              <w:bottom w:val="single" w:sz="4" w:space="0" w:color="auto"/>
            </w:tcBorders>
            <w:noWrap/>
            <w:vAlign w:val="bottom"/>
            <w:hideMark/>
          </w:tcPr>
          <w:p w14:paraId="7FAE6C76"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Std Error</w:t>
            </w:r>
          </w:p>
        </w:tc>
        <w:tc>
          <w:tcPr>
            <w:tcW w:w="1380" w:type="dxa"/>
            <w:tcBorders>
              <w:top w:val="single" w:sz="4" w:space="0" w:color="auto"/>
              <w:bottom w:val="single" w:sz="4" w:space="0" w:color="auto"/>
            </w:tcBorders>
            <w:vAlign w:val="bottom"/>
            <w:hideMark/>
          </w:tcPr>
          <w:p w14:paraId="6183D50A"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Sr/Ca (mmol/mol)</w:t>
            </w:r>
          </w:p>
        </w:tc>
        <w:tc>
          <w:tcPr>
            <w:tcW w:w="1005" w:type="dxa"/>
            <w:tcBorders>
              <w:top w:val="single" w:sz="4" w:space="0" w:color="auto"/>
              <w:bottom w:val="single" w:sz="4" w:space="0" w:color="auto"/>
            </w:tcBorders>
            <w:noWrap/>
            <w:vAlign w:val="bottom"/>
            <w:hideMark/>
          </w:tcPr>
          <w:p w14:paraId="1990C94F"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u w:val="single"/>
              </w:rPr>
              <w:t>+</w:t>
            </w:r>
            <w:r w:rsidRPr="003B53D4">
              <w:rPr>
                <w:rFonts w:eastAsia="Times New Roman" w:cs="Times New Roman"/>
                <w:b w:val="0"/>
                <w:bCs w:val="0"/>
                <w:color w:val="000000"/>
                <w:sz w:val="22"/>
              </w:rPr>
              <w:t>1 SD</w:t>
            </w:r>
          </w:p>
        </w:tc>
        <w:tc>
          <w:tcPr>
            <w:tcW w:w="1314" w:type="dxa"/>
            <w:tcBorders>
              <w:top w:val="single" w:sz="4" w:space="0" w:color="auto"/>
              <w:bottom w:val="single" w:sz="4" w:space="0" w:color="auto"/>
            </w:tcBorders>
            <w:vAlign w:val="bottom"/>
            <w:hideMark/>
          </w:tcPr>
          <w:p w14:paraId="6287AC05"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rPr>
              <w:t>Ba/Ca (mmol/mol)</w:t>
            </w:r>
          </w:p>
        </w:tc>
        <w:tc>
          <w:tcPr>
            <w:tcW w:w="801" w:type="dxa"/>
            <w:tcBorders>
              <w:top w:val="single" w:sz="4" w:space="0" w:color="auto"/>
              <w:bottom w:val="single" w:sz="4" w:space="0" w:color="auto"/>
            </w:tcBorders>
            <w:noWrap/>
            <w:vAlign w:val="bottom"/>
            <w:hideMark/>
          </w:tcPr>
          <w:p w14:paraId="09DF313C" w14:textId="77777777" w:rsidR="00693CE2" w:rsidRPr="003B53D4" w:rsidRDefault="00693CE2" w:rsidP="00A927AE">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2"/>
              </w:rPr>
            </w:pPr>
            <w:r w:rsidRPr="003B53D4">
              <w:rPr>
                <w:rFonts w:eastAsia="Times New Roman" w:cs="Times New Roman"/>
                <w:b w:val="0"/>
                <w:bCs w:val="0"/>
                <w:color w:val="000000"/>
                <w:sz w:val="22"/>
                <w:u w:val="single"/>
              </w:rPr>
              <w:t>+</w:t>
            </w:r>
            <w:r w:rsidRPr="003B53D4">
              <w:rPr>
                <w:rFonts w:eastAsia="Times New Roman" w:cs="Times New Roman"/>
                <w:b w:val="0"/>
                <w:bCs w:val="0"/>
                <w:color w:val="000000"/>
                <w:sz w:val="22"/>
              </w:rPr>
              <w:t>1 SD</w:t>
            </w:r>
          </w:p>
        </w:tc>
      </w:tr>
      <w:tr w:rsidR="00693CE2" w:rsidRPr="007C0E5B" w14:paraId="7533DD06"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restart"/>
            <w:tcBorders>
              <w:top w:val="single" w:sz="4" w:space="0" w:color="auto"/>
            </w:tcBorders>
            <w:noWrap/>
            <w:vAlign w:val="center"/>
            <w:hideMark/>
          </w:tcPr>
          <w:p w14:paraId="3E89CD8B"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r w:rsidRPr="00C82375">
              <w:rPr>
                <w:rFonts w:eastAsia="Times New Roman" w:cs="Times New Roman"/>
                <w:b w:val="0"/>
                <w:bCs w:val="0"/>
                <w:color w:val="000000"/>
                <w:sz w:val="20"/>
                <w:szCs w:val="20"/>
              </w:rPr>
              <w:t>Northern Alaska (NAK)</w:t>
            </w:r>
          </w:p>
        </w:tc>
        <w:tc>
          <w:tcPr>
            <w:tcW w:w="1692" w:type="dxa"/>
            <w:tcBorders>
              <w:top w:val="single" w:sz="4" w:space="0" w:color="auto"/>
              <w:bottom w:val="nil"/>
            </w:tcBorders>
            <w:noWrap/>
            <w:vAlign w:val="center"/>
            <w:hideMark/>
          </w:tcPr>
          <w:p w14:paraId="479F3280"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Colville River</w:t>
            </w:r>
          </w:p>
        </w:tc>
        <w:tc>
          <w:tcPr>
            <w:tcW w:w="806" w:type="dxa"/>
            <w:tcBorders>
              <w:top w:val="nil"/>
              <w:bottom w:val="nil"/>
            </w:tcBorders>
            <w:noWrap/>
            <w:vAlign w:val="center"/>
            <w:hideMark/>
          </w:tcPr>
          <w:p w14:paraId="41612CA5"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CR</w:t>
            </w:r>
          </w:p>
        </w:tc>
        <w:tc>
          <w:tcPr>
            <w:tcW w:w="1161" w:type="dxa"/>
            <w:tcBorders>
              <w:top w:val="nil"/>
              <w:bottom w:val="nil"/>
            </w:tcBorders>
            <w:noWrap/>
            <w:vAlign w:val="center"/>
            <w:hideMark/>
          </w:tcPr>
          <w:p w14:paraId="47FA8F1B"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70.22165</w:t>
            </w:r>
          </w:p>
        </w:tc>
        <w:tc>
          <w:tcPr>
            <w:tcW w:w="1071" w:type="dxa"/>
            <w:gridSpan w:val="2"/>
            <w:tcBorders>
              <w:top w:val="nil"/>
              <w:bottom w:val="nil"/>
            </w:tcBorders>
            <w:noWrap/>
            <w:vAlign w:val="center"/>
            <w:hideMark/>
          </w:tcPr>
          <w:p w14:paraId="7250DE7D"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-150.992</w:t>
            </w:r>
          </w:p>
        </w:tc>
        <w:tc>
          <w:tcPr>
            <w:tcW w:w="1068" w:type="dxa"/>
            <w:tcBorders>
              <w:top w:val="single" w:sz="4" w:space="0" w:color="auto"/>
              <w:bottom w:val="nil"/>
            </w:tcBorders>
            <w:noWrap/>
            <w:vAlign w:val="center"/>
            <w:hideMark/>
          </w:tcPr>
          <w:p w14:paraId="23745FE4"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0.711194</w:t>
            </w:r>
          </w:p>
        </w:tc>
        <w:tc>
          <w:tcPr>
            <w:tcW w:w="1231" w:type="dxa"/>
            <w:tcBorders>
              <w:top w:val="nil"/>
              <w:bottom w:val="nil"/>
            </w:tcBorders>
            <w:noWrap/>
            <w:vAlign w:val="center"/>
            <w:hideMark/>
          </w:tcPr>
          <w:p w14:paraId="428F78AF"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9.78E-06</w:t>
            </w:r>
          </w:p>
        </w:tc>
        <w:tc>
          <w:tcPr>
            <w:tcW w:w="1380" w:type="dxa"/>
            <w:tcBorders>
              <w:top w:val="nil"/>
              <w:bottom w:val="nil"/>
            </w:tcBorders>
            <w:noWrap/>
            <w:vAlign w:val="center"/>
            <w:hideMark/>
          </w:tcPr>
          <w:p w14:paraId="151596A9"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1.57</w:t>
            </w:r>
          </w:p>
        </w:tc>
        <w:tc>
          <w:tcPr>
            <w:tcW w:w="1005" w:type="dxa"/>
            <w:tcBorders>
              <w:top w:val="nil"/>
              <w:bottom w:val="nil"/>
            </w:tcBorders>
            <w:noWrap/>
            <w:vAlign w:val="center"/>
            <w:hideMark/>
          </w:tcPr>
          <w:p w14:paraId="78419700"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0.026</w:t>
            </w:r>
          </w:p>
        </w:tc>
        <w:tc>
          <w:tcPr>
            <w:tcW w:w="1314" w:type="dxa"/>
            <w:tcBorders>
              <w:top w:val="nil"/>
              <w:bottom w:val="nil"/>
            </w:tcBorders>
            <w:noWrap/>
            <w:vAlign w:val="center"/>
            <w:hideMark/>
          </w:tcPr>
          <w:p w14:paraId="074AD164" w14:textId="77777777" w:rsidR="00693CE2" w:rsidRPr="003B53D4" w:rsidRDefault="00693CE2" w:rsidP="00A927AE">
            <w:pPr>
              <w:tabs>
                <w:tab w:val="decimal" w:pos="600"/>
              </w:tabs>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1.08</w:t>
            </w:r>
          </w:p>
        </w:tc>
        <w:tc>
          <w:tcPr>
            <w:tcW w:w="801" w:type="dxa"/>
            <w:tcBorders>
              <w:top w:val="nil"/>
              <w:bottom w:val="nil"/>
            </w:tcBorders>
            <w:noWrap/>
            <w:vAlign w:val="center"/>
            <w:hideMark/>
          </w:tcPr>
          <w:p w14:paraId="5C4F9C81"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0.038</w:t>
            </w:r>
          </w:p>
        </w:tc>
      </w:tr>
      <w:tr w:rsidR="00693CE2" w:rsidRPr="003B53D4" w14:paraId="39848349"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61B3190D"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2ED4FAE4"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Meade River</w:t>
            </w:r>
          </w:p>
        </w:tc>
        <w:tc>
          <w:tcPr>
            <w:tcW w:w="806" w:type="dxa"/>
            <w:tcBorders>
              <w:top w:val="nil"/>
              <w:bottom w:val="nil"/>
            </w:tcBorders>
            <w:noWrap/>
            <w:vAlign w:val="center"/>
            <w:hideMark/>
          </w:tcPr>
          <w:p w14:paraId="3BA9B746"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MR</w:t>
            </w:r>
          </w:p>
        </w:tc>
        <w:tc>
          <w:tcPr>
            <w:tcW w:w="1161" w:type="dxa"/>
            <w:tcBorders>
              <w:top w:val="nil"/>
              <w:bottom w:val="nil"/>
            </w:tcBorders>
            <w:noWrap/>
            <w:vAlign w:val="center"/>
            <w:hideMark/>
          </w:tcPr>
          <w:p w14:paraId="78E8C5FA"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70.479694</w:t>
            </w:r>
          </w:p>
        </w:tc>
        <w:tc>
          <w:tcPr>
            <w:tcW w:w="1071" w:type="dxa"/>
            <w:gridSpan w:val="2"/>
            <w:tcBorders>
              <w:top w:val="nil"/>
              <w:bottom w:val="nil"/>
            </w:tcBorders>
            <w:noWrap/>
            <w:vAlign w:val="center"/>
            <w:hideMark/>
          </w:tcPr>
          <w:p w14:paraId="150007F3"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-157.406</w:t>
            </w:r>
          </w:p>
        </w:tc>
        <w:tc>
          <w:tcPr>
            <w:tcW w:w="1068" w:type="dxa"/>
            <w:tcBorders>
              <w:top w:val="nil"/>
              <w:bottom w:val="nil"/>
            </w:tcBorders>
            <w:noWrap/>
            <w:vAlign w:val="center"/>
            <w:hideMark/>
          </w:tcPr>
          <w:p w14:paraId="3D3DC022"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0.711234</w:t>
            </w:r>
          </w:p>
        </w:tc>
        <w:tc>
          <w:tcPr>
            <w:tcW w:w="1231" w:type="dxa"/>
            <w:tcBorders>
              <w:top w:val="nil"/>
              <w:bottom w:val="nil"/>
            </w:tcBorders>
            <w:noWrap/>
            <w:vAlign w:val="center"/>
            <w:hideMark/>
          </w:tcPr>
          <w:p w14:paraId="05009D70"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1.09E-05</w:t>
            </w:r>
          </w:p>
        </w:tc>
        <w:tc>
          <w:tcPr>
            <w:tcW w:w="1380" w:type="dxa"/>
            <w:tcBorders>
              <w:top w:val="nil"/>
              <w:bottom w:val="nil"/>
            </w:tcBorders>
            <w:noWrap/>
            <w:vAlign w:val="center"/>
            <w:hideMark/>
          </w:tcPr>
          <w:p w14:paraId="03A4974D"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1.17</w:t>
            </w:r>
          </w:p>
        </w:tc>
        <w:tc>
          <w:tcPr>
            <w:tcW w:w="1005" w:type="dxa"/>
            <w:tcBorders>
              <w:top w:val="nil"/>
              <w:bottom w:val="nil"/>
            </w:tcBorders>
            <w:noWrap/>
            <w:vAlign w:val="center"/>
            <w:hideMark/>
          </w:tcPr>
          <w:p w14:paraId="5C4D0EA2"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0.037</w:t>
            </w:r>
          </w:p>
        </w:tc>
        <w:tc>
          <w:tcPr>
            <w:tcW w:w="1314" w:type="dxa"/>
            <w:tcBorders>
              <w:top w:val="nil"/>
              <w:bottom w:val="nil"/>
            </w:tcBorders>
            <w:noWrap/>
            <w:vAlign w:val="center"/>
            <w:hideMark/>
          </w:tcPr>
          <w:p w14:paraId="13373665"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1.04</w:t>
            </w:r>
          </w:p>
        </w:tc>
        <w:tc>
          <w:tcPr>
            <w:tcW w:w="801" w:type="dxa"/>
            <w:tcBorders>
              <w:top w:val="nil"/>
              <w:bottom w:val="nil"/>
            </w:tcBorders>
            <w:noWrap/>
            <w:vAlign w:val="center"/>
            <w:hideMark/>
          </w:tcPr>
          <w:p w14:paraId="482E767D"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0.023</w:t>
            </w:r>
          </w:p>
        </w:tc>
      </w:tr>
      <w:tr w:rsidR="00693CE2" w:rsidRPr="003B53D4" w14:paraId="7E95E607"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2BAD543F"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3385CEBA"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Kobuk River</w:t>
            </w:r>
          </w:p>
        </w:tc>
        <w:tc>
          <w:tcPr>
            <w:tcW w:w="806" w:type="dxa"/>
            <w:tcBorders>
              <w:top w:val="nil"/>
              <w:bottom w:val="nil"/>
            </w:tcBorders>
            <w:noWrap/>
            <w:vAlign w:val="center"/>
            <w:hideMark/>
          </w:tcPr>
          <w:p w14:paraId="2F58873E"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KB</w:t>
            </w:r>
          </w:p>
        </w:tc>
        <w:tc>
          <w:tcPr>
            <w:tcW w:w="1161" w:type="dxa"/>
            <w:tcBorders>
              <w:top w:val="nil"/>
              <w:bottom w:val="nil"/>
            </w:tcBorders>
            <w:noWrap/>
            <w:vAlign w:val="center"/>
            <w:hideMark/>
          </w:tcPr>
          <w:p w14:paraId="72492EE9"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66.961158</w:t>
            </w:r>
          </w:p>
        </w:tc>
        <w:tc>
          <w:tcPr>
            <w:tcW w:w="1071" w:type="dxa"/>
            <w:gridSpan w:val="2"/>
            <w:tcBorders>
              <w:top w:val="nil"/>
              <w:bottom w:val="nil"/>
            </w:tcBorders>
            <w:noWrap/>
            <w:vAlign w:val="center"/>
            <w:hideMark/>
          </w:tcPr>
          <w:p w14:paraId="7C99953B"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-160.460</w:t>
            </w:r>
          </w:p>
        </w:tc>
        <w:tc>
          <w:tcPr>
            <w:tcW w:w="1068" w:type="dxa"/>
            <w:tcBorders>
              <w:top w:val="nil"/>
              <w:bottom w:val="nil"/>
            </w:tcBorders>
            <w:noWrap/>
            <w:vAlign w:val="center"/>
            <w:hideMark/>
          </w:tcPr>
          <w:p w14:paraId="2AFEEA8D"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0.714305</w:t>
            </w:r>
          </w:p>
        </w:tc>
        <w:tc>
          <w:tcPr>
            <w:tcW w:w="1231" w:type="dxa"/>
            <w:tcBorders>
              <w:top w:val="nil"/>
              <w:bottom w:val="nil"/>
            </w:tcBorders>
            <w:noWrap/>
            <w:vAlign w:val="center"/>
            <w:hideMark/>
          </w:tcPr>
          <w:p w14:paraId="1078EF47"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8.12E-06</w:t>
            </w:r>
          </w:p>
        </w:tc>
        <w:tc>
          <w:tcPr>
            <w:tcW w:w="1380" w:type="dxa"/>
            <w:tcBorders>
              <w:top w:val="nil"/>
              <w:bottom w:val="nil"/>
            </w:tcBorders>
            <w:noWrap/>
            <w:vAlign w:val="center"/>
            <w:hideMark/>
          </w:tcPr>
          <w:p w14:paraId="0A803849"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2.19</w:t>
            </w:r>
          </w:p>
        </w:tc>
        <w:tc>
          <w:tcPr>
            <w:tcW w:w="1005" w:type="dxa"/>
            <w:tcBorders>
              <w:top w:val="nil"/>
              <w:bottom w:val="nil"/>
            </w:tcBorders>
            <w:noWrap/>
            <w:vAlign w:val="center"/>
            <w:hideMark/>
          </w:tcPr>
          <w:p w14:paraId="73FBF28D"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0.032</w:t>
            </w:r>
          </w:p>
        </w:tc>
        <w:tc>
          <w:tcPr>
            <w:tcW w:w="1314" w:type="dxa"/>
            <w:tcBorders>
              <w:top w:val="nil"/>
              <w:bottom w:val="nil"/>
            </w:tcBorders>
            <w:noWrap/>
            <w:vAlign w:val="center"/>
            <w:hideMark/>
          </w:tcPr>
          <w:p w14:paraId="2395079B"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0.205</w:t>
            </w:r>
          </w:p>
        </w:tc>
        <w:tc>
          <w:tcPr>
            <w:tcW w:w="801" w:type="dxa"/>
            <w:tcBorders>
              <w:top w:val="nil"/>
              <w:bottom w:val="nil"/>
            </w:tcBorders>
            <w:noWrap/>
            <w:vAlign w:val="center"/>
            <w:hideMark/>
          </w:tcPr>
          <w:p w14:paraId="27518CDE"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0.013</w:t>
            </w:r>
          </w:p>
        </w:tc>
      </w:tr>
      <w:tr w:rsidR="00693CE2" w:rsidRPr="003B53D4" w14:paraId="3738878B"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57A6A263"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2EB095F2"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Kokolik River</w:t>
            </w:r>
          </w:p>
        </w:tc>
        <w:tc>
          <w:tcPr>
            <w:tcW w:w="806" w:type="dxa"/>
            <w:tcBorders>
              <w:top w:val="nil"/>
              <w:bottom w:val="nil"/>
            </w:tcBorders>
            <w:noWrap/>
            <w:vAlign w:val="center"/>
            <w:hideMark/>
          </w:tcPr>
          <w:p w14:paraId="4775208F"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KK</w:t>
            </w:r>
          </w:p>
        </w:tc>
        <w:tc>
          <w:tcPr>
            <w:tcW w:w="1161" w:type="dxa"/>
            <w:tcBorders>
              <w:top w:val="nil"/>
              <w:bottom w:val="nil"/>
            </w:tcBorders>
            <w:noWrap/>
            <w:vAlign w:val="center"/>
            <w:hideMark/>
          </w:tcPr>
          <w:p w14:paraId="736ED7E7"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69.74905</w:t>
            </w:r>
          </w:p>
        </w:tc>
        <w:tc>
          <w:tcPr>
            <w:tcW w:w="1071" w:type="dxa"/>
            <w:gridSpan w:val="2"/>
            <w:tcBorders>
              <w:top w:val="nil"/>
              <w:bottom w:val="nil"/>
            </w:tcBorders>
            <w:noWrap/>
            <w:vAlign w:val="center"/>
            <w:hideMark/>
          </w:tcPr>
          <w:p w14:paraId="7E5D9D78"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-162.934</w:t>
            </w:r>
          </w:p>
        </w:tc>
        <w:tc>
          <w:tcPr>
            <w:tcW w:w="1068" w:type="dxa"/>
            <w:tcBorders>
              <w:top w:val="nil"/>
              <w:bottom w:val="nil"/>
            </w:tcBorders>
            <w:noWrap/>
            <w:vAlign w:val="center"/>
            <w:hideMark/>
          </w:tcPr>
          <w:p w14:paraId="686EFBCD"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0.709300</w:t>
            </w:r>
          </w:p>
        </w:tc>
        <w:tc>
          <w:tcPr>
            <w:tcW w:w="1231" w:type="dxa"/>
            <w:tcBorders>
              <w:top w:val="nil"/>
              <w:bottom w:val="nil"/>
            </w:tcBorders>
            <w:noWrap/>
            <w:vAlign w:val="center"/>
            <w:hideMark/>
          </w:tcPr>
          <w:p w14:paraId="04BEE761"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8.86E-06</w:t>
            </w:r>
          </w:p>
        </w:tc>
        <w:tc>
          <w:tcPr>
            <w:tcW w:w="1380" w:type="dxa"/>
            <w:tcBorders>
              <w:top w:val="nil"/>
              <w:bottom w:val="nil"/>
            </w:tcBorders>
            <w:noWrap/>
            <w:vAlign w:val="center"/>
            <w:hideMark/>
          </w:tcPr>
          <w:p w14:paraId="2ABF2A0A"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7.94</w:t>
            </w:r>
          </w:p>
        </w:tc>
        <w:tc>
          <w:tcPr>
            <w:tcW w:w="1005" w:type="dxa"/>
            <w:tcBorders>
              <w:top w:val="nil"/>
              <w:bottom w:val="nil"/>
            </w:tcBorders>
            <w:noWrap/>
            <w:vAlign w:val="center"/>
            <w:hideMark/>
          </w:tcPr>
          <w:p w14:paraId="02BC8526"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0.099</w:t>
            </w:r>
          </w:p>
        </w:tc>
        <w:tc>
          <w:tcPr>
            <w:tcW w:w="1314" w:type="dxa"/>
            <w:tcBorders>
              <w:top w:val="nil"/>
              <w:bottom w:val="nil"/>
            </w:tcBorders>
            <w:noWrap/>
            <w:vAlign w:val="center"/>
            <w:hideMark/>
          </w:tcPr>
          <w:p w14:paraId="154CA92C"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0.526</w:t>
            </w:r>
          </w:p>
        </w:tc>
        <w:tc>
          <w:tcPr>
            <w:tcW w:w="801" w:type="dxa"/>
            <w:tcBorders>
              <w:top w:val="nil"/>
              <w:bottom w:val="nil"/>
            </w:tcBorders>
            <w:noWrap/>
            <w:vAlign w:val="center"/>
            <w:hideMark/>
          </w:tcPr>
          <w:p w14:paraId="3902B077"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0.011</w:t>
            </w:r>
          </w:p>
        </w:tc>
      </w:tr>
      <w:tr w:rsidR="00693CE2" w:rsidRPr="003B53D4" w14:paraId="160CCA66"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0EB4AFD3"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44C9DA57"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Topagorok River</w:t>
            </w:r>
          </w:p>
        </w:tc>
        <w:tc>
          <w:tcPr>
            <w:tcW w:w="806" w:type="dxa"/>
            <w:tcBorders>
              <w:top w:val="nil"/>
              <w:bottom w:val="nil"/>
            </w:tcBorders>
            <w:noWrap/>
            <w:vAlign w:val="center"/>
            <w:hideMark/>
          </w:tcPr>
          <w:p w14:paraId="0ECA0749"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TG</w:t>
            </w:r>
          </w:p>
        </w:tc>
        <w:tc>
          <w:tcPr>
            <w:tcW w:w="1161" w:type="dxa"/>
            <w:tcBorders>
              <w:top w:val="nil"/>
              <w:bottom w:val="nil"/>
            </w:tcBorders>
            <w:noWrap/>
            <w:vAlign w:val="center"/>
            <w:hideMark/>
          </w:tcPr>
          <w:p w14:paraId="77864087"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70.756193</w:t>
            </w:r>
          </w:p>
        </w:tc>
        <w:tc>
          <w:tcPr>
            <w:tcW w:w="1071" w:type="dxa"/>
            <w:gridSpan w:val="2"/>
            <w:tcBorders>
              <w:top w:val="nil"/>
              <w:bottom w:val="nil"/>
            </w:tcBorders>
            <w:noWrap/>
            <w:vAlign w:val="center"/>
            <w:hideMark/>
          </w:tcPr>
          <w:p w14:paraId="7466600B"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-155.929</w:t>
            </w:r>
          </w:p>
        </w:tc>
        <w:tc>
          <w:tcPr>
            <w:tcW w:w="1068" w:type="dxa"/>
            <w:tcBorders>
              <w:top w:val="nil"/>
              <w:bottom w:val="nil"/>
            </w:tcBorders>
            <w:noWrap/>
            <w:vAlign w:val="center"/>
            <w:hideMark/>
          </w:tcPr>
          <w:p w14:paraId="167F8082"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0.710112</w:t>
            </w:r>
          </w:p>
        </w:tc>
        <w:tc>
          <w:tcPr>
            <w:tcW w:w="1231" w:type="dxa"/>
            <w:tcBorders>
              <w:top w:val="nil"/>
              <w:bottom w:val="nil"/>
            </w:tcBorders>
            <w:noWrap/>
            <w:vAlign w:val="center"/>
            <w:hideMark/>
          </w:tcPr>
          <w:p w14:paraId="3471AE1B"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8.79E-06</w:t>
            </w:r>
          </w:p>
        </w:tc>
        <w:tc>
          <w:tcPr>
            <w:tcW w:w="1380" w:type="dxa"/>
            <w:tcBorders>
              <w:top w:val="nil"/>
              <w:bottom w:val="nil"/>
            </w:tcBorders>
            <w:noWrap/>
            <w:vAlign w:val="center"/>
            <w:hideMark/>
          </w:tcPr>
          <w:p w14:paraId="0831021A"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1.61</w:t>
            </w:r>
          </w:p>
        </w:tc>
        <w:tc>
          <w:tcPr>
            <w:tcW w:w="1005" w:type="dxa"/>
            <w:tcBorders>
              <w:top w:val="nil"/>
              <w:bottom w:val="nil"/>
            </w:tcBorders>
            <w:noWrap/>
            <w:vAlign w:val="center"/>
            <w:hideMark/>
          </w:tcPr>
          <w:p w14:paraId="5B2A4D13"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0.026</w:t>
            </w:r>
          </w:p>
        </w:tc>
        <w:tc>
          <w:tcPr>
            <w:tcW w:w="1314" w:type="dxa"/>
            <w:tcBorders>
              <w:top w:val="nil"/>
              <w:bottom w:val="nil"/>
            </w:tcBorders>
            <w:noWrap/>
            <w:vAlign w:val="center"/>
            <w:hideMark/>
          </w:tcPr>
          <w:p w14:paraId="00DBC37F"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0.935</w:t>
            </w:r>
          </w:p>
        </w:tc>
        <w:tc>
          <w:tcPr>
            <w:tcW w:w="801" w:type="dxa"/>
            <w:tcBorders>
              <w:top w:val="nil"/>
              <w:bottom w:val="nil"/>
            </w:tcBorders>
            <w:noWrap/>
            <w:vAlign w:val="center"/>
            <w:hideMark/>
          </w:tcPr>
          <w:p w14:paraId="09E7A0B4"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0.026</w:t>
            </w:r>
          </w:p>
        </w:tc>
      </w:tr>
      <w:tr w:rsidR="00693CE2" w:rsidRPr="003B53D4" w14:paraId="56753432"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03BD6218"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1368E2F0"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Kukpowruk River</w:t>
            </w:r>
          </w:p>
        </w:tc>
        <w:tc>
          <w:tcPr>
            <w:tcW w:w="806" w:type="dxa"/>
            <w:tcBorders>
              <w:top w:val="nil"/>
              <w:bottom w:val="nil"/>
            </w:tcBorders>
            <w:noWrap/>
            <w:vAlign w:val="center"/>
            <w:hideMark/>
          </w:tcPr>
          <w:p w14:paraId="39D6D376"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KR</w:t>
            </w:r>
          </w:p>
        </w:tc>
        <w:tc>
          <w:tcPr>
            <w:tcW w:w="1161" w:type="dxa"/>
            <w:tcBorders>
              <w:top w:val="nil"/>
              <w:bottom w:val="nil"/>
            </w:tcBorders>
            <w:noWrap/>
            <w:vAlign w:val="center"/>
            <w:hideMark/>
          </w:tcPr>
          <w:p w14:paraId="017B35E4"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69.615593</w:t>
            </w:r>
          </w:p>
        </w:tc>
        <w:tc>
          <w:tcPr>
            <w:tcW w:w="1071" w:type="dxa"/>
            <w:gridSpan w:val="2"/>
            <w:tcBorders>
              <w:top w:val="nil"/>
              <w:bottom w:val="nil"/>
            </w:tcBorders>
            <w:noWrap/>
            <w:vAlign w:val="center"/>
            <w:hideMark/>
          </w:tcPr>
          <w:p w14:paraId="6ECF29B7"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-163.015</w:t>
            </w:r>
          </w:p>
        </w:tc>
        <w:tc>
          <w:tcPr>
            <w:tcW w:w="1068" w:type="dxa"/>
            <w:tcBorders>
              <w:top w:val="nil"/>
              <w:bottom w:val="nil"/>
            </w:tcBorders>
            <w:noWrap/>
            <w:vAlign w:val="center"/>
            <w:hideMark/>
          </w:tcPr>
          <w:p w14:paraId="1C805309"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0.709932</w:t>
            </w:r>
          </w:p>
        </w:tc>
        <w:tc>
          <w:tcPr>
            <w:tcW w:w="1231" w:type="dxa"/>
            <w:tcBorders>
              <w:top w:val="nil"/>
              <w:bottom w:val="nil"/>
            </w:tcBorders>
            <w:noWrap/>
            <w:vAlign w:val="center"/>
            <w:hideMark/>
          </w:tcPr>
          <w:p w14:paraId="01FE4189"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8.78E-06</w:t>
            </w:r>
          </w:p>
        </w:tc>
        <w:tc>
          <w:tcPr>
            <w:tcW w:w="1380" w:type="dxa"/>
            <w:tcBorders>
              <w:top w:val="nil"/>
              <w:bottom w:val="nil"/>
            </w:tcBorders>
            <w:noWrap/>
            <w:vAlign w:val="center"/>
            <w:hideMark/>
          </w:tcPr>
          <w:p w14:paraId="1224E044"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3.66</w:t>
            </w:r>
          </w:p>
        </w:tc>
        <w:tc>
          <w:tcPr>
            <w:tcW w:w="1005" w:type="dxa"/>
            <w:tcBorders>
              <w:top w:val="nil"/>
              <w:bottom w:val="nil"/>
            </w:tcBorders>
            <w:noWrap/>
            <w:vAlign w:val="center"/>
            <w:hideMark/>
          </w:tcPr>
          <w:p w14:paraId="2BBC4CB9"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0.039</w:t>
            </w:r>
          </w:p>
        </w:tc>
        <w:tc>
          <w:tcPr>
            <w:tcW w:w="1314" w:type="dxa"/>
            <w:tcBorders>
              <w:top w:val="nil"/>
              <w:bottom w:val="nil"/>
            </w:tcBorders>
            <w:noWrap/>
            <w:vAlign w:val="center"/>
            <w:hideMark/>
          </w:tcPr>
          <w:p w14:paraId="71D832A4"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0.505</w:t>
            </w:r>
          </w:p>
        </w:tc>
        <w:tc>
          <w:tcPr>
            <w:tcW w:w="801" w:type="dxa"/>
            <w:tcBorders>
              <w:top w:val="nil"/>
              <w:bottom w:val="nil"/>
            </w:tcBorders>
            <w:noWrap/>
            <w:vAlign w:val="center"/>
            <w:hideMark/>
          </w:tcPr>
          <w:p w14:paraId="0E1BAAD4"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0.010</w:t>
            </w:r>
          </w:p>
        </w:tc>
      </w:tr>
      <w:tr w:rsidR="00693CE2" w:rsidRPr="003B53D4" w14:paraId="10BC9A62"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6960504E"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2EF5C0FD"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Camp-99</w:t>
            </w:r>
          </w:p>
        </w:tc>
        <w:tc>
          <w:tcPr>
            <w:tcW w:w="806" w:type="dxa"/>
            <w:tcBorders>
              <w:top w:val="nil"/>
              <w:bottom w:val="nil"/>
            </w:tcBorders>
            <w:noWrap/>
            <w:vAlign w:val="center"/>
            <w:hideMark/>
          </w:tcPr>
          <w:p w14:paraId="24F97F08"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C99</w:t>
            </w:r>
          </w:p>
        </w:tc>
        <w:tc>
          <w:tcPr>
            <w:tcW w:w="1161" w:type="dxa"/>
            <w:tcBorders>
              <w:top w:val="nil"/>
              <w:bottom w:val="nil"/>
            </w:tcBorders>
            <w:vAlign w:val="center"/>
            <w:hideMark/>
          </w:tcPr>
          <w:p w14:paraId="128B1693"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70.94694</w:t>
            </w:r>
          </w:p>
        </w:tc>
        <w:tc>
          <w:tcPr>
            <w:tcW w:w="1071" w:type="dxa"/>
            <w:gridSpan w:val="2"/>
            <w:tcBorders>
              <w:top w:val="nil"/>
              <w:bottom w:val="nil"/>
            </w:tcBorders>
            <w:noWrap/>
            <w:vAlign w:val="center"/>
            <w:hideMark/>
          </w:tcPr>
          <w:p w14:paraId="7CEDAF82"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-156.648</w:t>
            </w:r>
          </w:p>
        </w:tc>
        <w:tc>
          <w:tcPr>
            <w:tcW w:w="1068" w:type="dxa"/>
            <w:tcBorders>
              <w:top w:val="nil"/>
              <w:bottom w:val="nil"/>
            </w:tcBorders>
            <w:noWrap/>
            <w:vAlign w:val="center"/>
            <w:hideMark/>
          </w:tcPr>
          <w:p w14:paraId="45731193"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0.710321</w:t>
            </w:r>
          </w:p>
        </w:tc>
        <w:tc>
          <w:tcPr>
            <w:tcW w:w="1231" w:type="dxa"/>
            <w:tcBorders>
              <w:top w:val="nil"/>
              <w:bottom w:val="nil"/>
            </w:tcBorders>
            <w:noWrap/>
            <w:vAlign w:val="center"/>
            <w:hideMark/>
          </w:tcPr>
          <w:p w14:paraId="6A761E46"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7.86E-06</w:t>
            </w:r>
          </w:p>
        </w:tc>
        <w:tc>
          <w:tcPr>
            <w:tcW w:w="1380" w:type="dxa"/>
            <w:tcBorders>
              <w:top w:val="nil"/>
              <w:bottom w:val="nil"/>
            </w:tcBorders>
            <w:noWrap/>
            <w:vAlign w:val="center"/>
            <w:hideMark/>
          </w:tcPr>
          <w:p w14:paraId="50745685"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2.37</w:t>
            </w:r>
          </w:p>
        </w:tc>
        <w:tc>
          <w:tcPr>
            <w:tcW w:w="1005" w:type="dxa"/>
            <w:tcBorders>
              <w:top w:val="nil"/>
              <w:bottom w:val="nil"/>
            </w:tcBorders>
            <w:noWrap/>
            <w:vAlign w:val="center"/>
            <w:hideMark/>
          </w:tcPr>
          <w:p w14:paraId="1A280628"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0.019</w:t>
            </w:r>
          </w:p>
        </w:tc>
        <w:tc>
          <w:tcPr>
            <w:tcW w:w="1314" w:type="dxa"/>
            <w:tcBorders>
              <w:top w:val="nil"/>
              <w:bottom w:val="nil"/>
            </w:tcBorders>
            <w:noWrap/>
            <w:vAlign w:val="center"/>
            <w:hideMark/>
          </w:tcPr>
          <w:p w14:paraId="0C80FE35"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1.43</w:t>
            </w:r>
          </w:p>
        </w:tc>
        <w:tc>
          <w:tcPr>
            <w:tcW w:w="801" w:type="dxa"/>
            <w:tcBorders>
              <w:top w:val="nil"/>
              <w:bottom w:val="nil"/>
            </w:tcBorders>
            <w:noWrap/>
            <w:vAlign w:val="center"/>
            <w:hideMark/>
          </w:tcPr>
          <w:p w14:paraId="4BA4EA48"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0.024</w:t>
            </w:r>
          </w:p>
        </w:tc>
      </w:tr>
      <w:tr w:rsidR="00693CE2" w:rsidRPr="003B53D4" w14:paraId="4A3D350F"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2E7B6D5B"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501F0809"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Tusikvaak Lake</w:t>
            </w:r>
          </w:p>
        </w:tc>
        <w:tc>
          <w:tcPr>
            <w:tcW w:w="806" w:type="dxa"/>
            <w:tcBorders>
              <w:top w:val="nil"/>
              <w:bottom w:val="nil"/>
            </w:tcBorders>
            <w:noWrap/>
            <w:vAlign w:val="center"/>
            <w:hideMark/>
          </w:tcPr>
          <w:p w14:paraId="51842227"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TL</w:t>
            </w:r>
          </w:p>
        </w:tc>
        <w:tc>
          <w:tcPr>
            <w:tcW w:w="1161" w:type="dxa"/>
            <w:tcBorders>
              <w:top w:val="nil"/>
              <w:bottom w:val="nil"/>
            </w:tcBorders>
            <w:noWrap/>
            <w:vAlign w:val="center"/>
            <w:hideMark/>
          </w:tcPr>
          <w:p w14:paraId="551F06B0"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71.12550</w:t>
            </w:r>
          </w:p>
        </w:tc>
        <w:tc>
          <w:tcPr>
            <w:tcW w:w="1071" w:type="dxa"/>
            <w:gridSpan w:val="2"/>
            <w:tcBorders>
              <w:top w:val="nil"/>
              <w:bottom w:val="nil"/>
            </w:tcBorders>
            <w:noWrap/>
            <w:vAlign w:val="center"/>
            <w:hideMark/>
          </w:tcPr>
          <w:p w14:paraId="22506395"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-156.180</w:t>
            </w:r>
          </w:p>
        </w:tc>
        <w:tc>
          <w:tcPr>
            <w:tcW w:w="1068" w:type="dxa"/>
            <w:tcBorders>
              <w:top w:val="nil"/>
              <w:bottom w:val="nil"/>
            </w:tcBorders>
            <w:noWrap/>
            <w:vAlign w:val="center"/>
            <w:hideMark/>
          </w:tcPr>
          <w:p w14:paraId="01091636"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0.711189</w:t>
            </w:r>
          </w:p>
        </w:tc>
        <w:tc>
          <w:tcPr>
            <w:tcW w:w="1231" w:type="dxa"/>
            <w:tcBorders>
              <w:top w:val="nil"/>
              <w:bottom w:val="nil"/>
            </w:tcBorders>
            <w:noWrap/>
            <w:vAlign w:val="center"/>
            <w:hideMark/>
          </w:tcPr>
          <w:p w14:paraId="54A5C93E"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4.79E-05</w:t>
            </w:r>
          </w:p>
        </w:tc>
        <w:tc>
          <w:tcPr>
            <w:tcW w:w="1380" w:type="dxa"/>
            <w:tcBorders>
              <w:top w:val="nil"/>
              <w:bottom w:val="nil"/>
            </w:tcBorders>
            <w:noWrap/>
            <w:vAlign w:val="center"/>
            <w:hideMark/>
          </w:tcPr>
          <w:p w14:paraId="77262F21"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2.50</w:t>
            </w:r>
          </w:p>
        </w:tc>
        <w:tc>
          <w:tcPr>
            <w:tcW w:w="1005" w:type="dxa"/>
            <w:tcBorders>
              <w:top w:val="nil"/>
              <w:bottom w:val="nil"/>
            </w:tcBorders>
            <w:noWrap/>
            <w:vAlign w:val="center"/>
            <w:hideMark/>
          </w:tcPr>
          <w:p w14:paraId="0EEB07F7"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0.007</w:t>
            </w:r>
          </w:p>
        </w:tc>
        <w:tc>
          <w:tcPr>
            <w:tcW w:w="1314" w:type="dxa"/>
            <w:tcBorders>
              <w:top w:val="nil"/>
              <w:bottom w:val="nil"/>
            </w:tcBorders>
            <w:noWrap/>
            <w:vAlign w:val="center"/>
            <w:hideMark/>
          </w:tcPr>
          <w:p w14:paraId="699D55AF"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1.64</w:t>
            </w:r>
          </w:p>
        </w:tc>
        <w:tc>
          <w:tcPr>
            <w:tcW w:w="801" w:type="dxa"/>
            <w:tcBorders>
              <w:top w:val="nil"/>
              <w:bottom w:val="nil"/>
            </w:tcBorders>
            <w:noWrap/>
            <w:vAlign w:val="center"/>
            <w:hideMark/>
          </w:tcPr>
          <w:p w14:paraId="53ED1B4D"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0.013</w:t>
            </w:r>
          </w:p>
        </w:tc>
      </w:tr>
      <w:tr w:rsidR="00693CE2" w:rsidRPr="003B53D4" w14:paraId="16B16D70"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2929635B"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33D56AE8"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No Name</w:t>
            </w:r>
          </w:p>
        </w:tc>
        <w:tc>
          <w:tcPr>
            <w:tcW w:w="806" w:type="dxa"/>
            <w:tcBorders>
              <w:top w:val="nil"/>
              <w:bottom w:val="nil"/>
            </w:tcBorders>
            <w:noWrap/>
            <w:vAlign w:val="center"/>
            <w:hideMark/>
          </w:tcPr>
          <w:p w14:paraId="1D731FC0"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NN</w:t>
            </w:r>
          </w:p>
        </w:tc>
        <w:tc>
          <w:tcPr>
            <w:tcW w:w="1161" w:type="dxa"/>
            <w:tcBorders>
              <w:top w:val="nil"/>
              <w:bottom w:val="nil"/>
            </w:tcBorders>
            <w:noWrap/>
            <w:vAlign w:val="center"/>
            <w:hideMark/>
          </w:tcPr>
          <w:p w14:paraId="6495B794"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69.514075</w:t>
            </w:r>
          </w:p>
        </w:tc>
        <w:tc>
          <w:tcPr>
            <w:tcW w:w="1071" w:type="dxa"/>
            <w:gridSpan w:val="2"/>
            <w:tcBorders>
              <w:top w:val="nil"/>
              <w:bottom w:val="nil"/>
            </w:tcBorders>
            <w:noWrap/>
            <w:vAlign w:val="center"/>
            <w:hideMark/>
          </w:tcPr>
          <w:p w14:paraId="5EB096C2"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-154.779</w:t>
            </w:r>
          </w:p>
        </w:tc>
        <w:tc>
          <w:tcPr>
            <w:tcW w:w="1068" w:type="dxa"/>
            <w:tcBorders>
              <w:top w:val="nil"/>
              <w:bottom w:val="nil"/>
            </w:tcBorders>
            <w:noWrap/>
            <w:vAlign w:val="center"/>
            <w:hideMark/>
          </w:tcPr>
          <w:p w14:paraId="37948331"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0.712851</w:t>
            </w:r>
          </w:p>
        </w:tc>
        <w:tc>
          <w:tcPr>
            <w:tcW w:w="1231" w:type="dxa"/>
            <w:tcBorders>
              <w:top w:val="nil"/>
              <w:bottom w:val="nil"/>
            </w:tcBorders>
            <w:noWrap/>
            <w:vAlign w:val="center"/>
            <w:hideMark/>
          </w:tcPr>
          <w:p w14:paraId="5779CC29"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5.30E-05</w:t>
            </w:r>
          </w:p>
        </w:tc>
        <w:tc>
          <w:tcPr>
            <w:tcW w:w="1380" w:type="dxa"/>
            <w:tcBorders>
              <w:top w:val="nil"/>
              <w:bottom w:val="nil"/>
            </w:tcBorders>
            <w:noWrap/>
            <w:vAlign w:val="center"/>
            <w:hideMark/>
          </w:tcPr>
          <w:p w14:paraId="769A272B"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1.62</w:t>
            </w:r>
          </w:p>
        </w:tc>
        <w:tc>
          <w:tcPr>
            <w:tcW w:w="1005" w:type="dxa"/>
            <w:tcBorders>
              <w:top w:val="nil"/>
              <w:bottom w:val="nil"/>
            </w:tcBorders>
            <w:noWrap/>
            <w:vAlign w:val="center"/>
            <w:hideMark/>
          </w:tcPr>
          <w:p w14:paraId="12DD9A81"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0.023</w:t>
            </w:r>
          </w:p>
        </w:tc>
        <w:tc>
          <w:tcPr>
            <w:tcW w:w="1314" w:type="dxa"/>
            <w:tcBorders>
              <w:top w:val="nil"/>
              <w:bottom w:val="nil"/>
            </w:tcBorders>
            <w:noWrap/>
            <w:vAlign w:val="center"/>
            <w:hideMark/>
          </w:tcPr>
          <w:p w14:paraId="5A7D0055"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1.32</w:t>
            </w:r>
          </w:p>
        </w:tc>
        <w:tc>
          <w:tcPr>
            <w:tcW w:w="801" w:type="dxa"/>
            <w:tcBorders>
              <w:top w:val="nil"/>
              <w:bottom w:val="nil"/>
            </w:tcBorders>
            <w:noWrap/>
            <w:vAlign w:val="center"/>
            <w:hideMark/>
          </w:tcPr>
          <w:p w14:paraId="0882A2EF"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0.003</w:t>
            </w:r>
          </w:p>
        </w:tc>
      </w:tr>
      <w:tr w:rsidR="00693CE2" w:rsidRPr="003B53D4" w14:paraId="2A773EC0"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2FC02786"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bottom w:val="nil"/>
            </w:tcBorders>
            <w:noWrap/>
            <w:vAlign w:val="center"/>
            <w:hideMark/>
          </w:tcPr>
          <w:p w14:paraId="79B8FE3E"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Kukpuk River</w:t>
            </w:r>
          </w:p>
        </w:tc>
        <w:tc>
          <w:tcPr>
            <w:tcW w:w="806" w:type="dxa"/>
            <w:tcBorders>
              <w:top w:val="nil"/>
              <w:bottom w:val="nil"/>
            </w:tcBorders>
            <w:noWrap/>
            <w:vAlign w:val="center"/>
            <w:hideMark/>
          </w:tcPr>
          <w:p w14:paraId="48FE8410"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KP</w:t>
            </w:r>
          </w:p>
        </w:tc>
        <w:tc>
          <w:tcPr>
            <w:tcW w:w="1161" w:type="dxa"/>
            <w:tcBorders>
              <w:top w:val="nil"/>
              <w:bottom w:val="nil"/>
            </w:tcBorders>
            <w:noWrap/>
            <w:vAlign w:val="center"/>
            <w:hideMark/>
          </w:tcPr>
          <w:p w14:paraId="671D373F"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68.38426</w:t>
            </w:r>
          </w:p>
        </w:tc>
        <w:tc>
          <w:tcPr>
            <w:tcW w:w="1071" w:type="dxa"/>
            <w:gridSpan w:val="2"/>
            <w:tcBorders>
              <w:top w:val="nil"/>
              <w:bottom w:val="nil"/>
            </w:tcBorders>
            <w:noWrap/>
            <w:vAlign w:val="center"/>
            <w:hideMark/>
          </w:tcPr>
          <w:p w14:paraId="66DD5921"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-166.298</w:t>
            </w:r>
          </w:p>
        </w:tc>
        <w:tc>
          <w:tcPr>
            <w:tcW w:w="1068" w:type="dxa"/>
            <w:tcBorders>
              <w:top w:val="nil"/>
              <w:bottom w:val="nil"/>
            </w:tcBorders>
            <w:noWrap/>
            <w:vAlign w:val="center"/>
            <w:hideMark/>
          </w:tcPr>
          <w:p w14:paraId="54B140BF"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0.710518</w:t>
            </w:r>
          </w:p>
        </w:tc>
        <w:tc>
          <w:tcPr>
            <w:tcW w:w="1231" w:type="dxa"/>
            <w:tcBorders>
              <w:top w:val="nil"/>
              <w:bottom w:val="nil"/>
            </w:tcBorders>
            <w:noWrap/>
            <w:vAlign w:val="center"/>
            <w:hideMark/>
          </w:tcPr>
          <w:p w14:paraId="2F0DBF99"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9.36E-06</w:t>
            </w:r>
          </w:p>
        </w:tc>
        <w:tc>
          <w:tcPr>
            <w:tcW w:w="1380" w:type="dxa"/>
            <w:tcBorders>
              <w:top w:val="nil"/>
              <w:bottom w:val="nil"/>
            </w:tcBorders>
            <w:noWrap/>
            <w:vAlign w:val="center"/>
            <w:hideMark/>
          </w:tcPr>
          <w:p w14:paraId="3D7C0CC0"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3.39</w:t>
            </w:r>
          </w:p>
        </w:tc>
        <w:tc>
          <w:tcPr>
            <w:tcW w:w="1005" w:type="dxa"/>
            <w:tcBorders>
              <w:top w:val="nil"/>
              <w:bottom w:val="nil"/>
            </w:tcBorders>
            <w:noWrap/>
            <w:vAlign w:val="center"/>
            <w:hideMark/>
          </w:tcPr>
          <w:p w14:paraId="5B01F61E"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0.056</w:t>
            </w:r>
          </w:p>
        </w:tc>
        <w:tc>
          <w:tcPr>
            <w:tcW w:w="1314" w:type="dxa"/>
            <w:tcBorders>
              <w:top w:val="nil"/>
              <w:bottom w:val="nil"/>
            </w:tcBorders>
            <w:noWrap/>
            <w:vAlign w:val="center"/>
            <w:hideMark/>
          </w:tcPr>
          <w:p w14:paraId="754BCAF7"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0.542</w:t>
            </w:r>
          </w:p>
        </w:tc>
        <w:tc>
          <w:tcPr>
            <w:tcW w:w="801" w:type="dxa"/>
            <w:tcBorders>
              <w:top w:val="nil"/>
              <w:bottom w:val="nil"/>
            </w:tcBorders>
            <w:noWrap/>
            <w:vAlign w:val="center"/>
            <w:hideMark/>
          </w:tcPr>
          <w:p w14:paraId="77B65F69"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0.013</w:t>
            </w:r>
          </w:p>
        </w:tc>
      </w:tr>
      <w:tr w:rsidR="00693CE2" w:rsidRPr="003B53D4" w14:paraId="2A95DEAD"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3BAF0C1D"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1692" w:type="dxa"/>
            <w:tcBorders>
              <w:top w:val="nil"/>
            </w:tcBorders>
            <w:noWrap/>
            <w:vAlign w:val="center"/>
            <w:hideMark/>
          </w:tcPr>
          <w:p w14:paraId="45708F80"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Noatak River</w:t>
            </w:r>
          </w:p>
        </w:tc>
        <w:tc>
          <w:tcPr>
            <w:tcW w:w="806" w:type="dxa"/>
            <w:tcBorders>
              <w:top w:val="nil"/>
            </w:tcBorders>
            <w:noWrap/>
            <w:vAlign w:val="center"/>
            <w:hideMark/>
          </w:tcPr>
          <w:p w14:paraId="0A3DE89C"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NT</w:t>
            </w:r>
          </w:p>
        </w:tc>
        <w:tc>
          <w:tcPr>
            <w:tcW w:w="1161" w:type="dxa"/>
            <w:tcBorders>
              <w:top w:val="nil"/>
            </w:tcBorders>
            <w:noWrap/>
            <w:vAlign w:val="center"/>
            <w:hideMark/>
          </w:tcPr>
          <w:p w14:paraId="04116A9D"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67.166018</w:t>
            </w:r>
          </w:p>
        </w:tc>
        <w:tc>
          <w:tcPr>
            <w:tcW w:w="1071" w:type="dxa"/>
            <w:gridSpan w:val="2"/>
            <w:tcBorders>
              <w:top w:val="nil"/>
            </w:tcBorders>
            <w:noWrap/>
            <w:vAlign w:val="center"/>
            <w:hideMark/>
          </w:tcPr>
          <w:p w14:paraId="2B33B685"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-162.590</w:t>
            </w:r>
          </w:p>
        </w:tc>
        <w:tc>
          <w:tcPr>
            <w:tcW w:w="1068" w:type="dxa"/>
            <w:tcBorders>
              <w:top w:val="nil"/>
            </w:tcBorders>
            <w:noWrap/>
            <w:vAlign w:val="center"/>
            <w:hideMark/>
          </w:tcPr>
          <w:p w14:paraId="79EDC99B"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0.712859</w:t>
            </w:r>
          </w:p>
        </w:tc>
        <w:tc>
          <w:tcPr>
            <w:tcW w:w="1231" w:type="dxa"/>
            <w:tcBorders>
              <w:top w:val="nil"/>
            </w:tcBorders>
            <w:noWrap/>
            <w:vAlign w:val="center"/>
            <w:hideMark/>
          </w:tcPr>
          <w:p w14:paraId="325C2F7A"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7.40E-06</w:t>
            </w:r>
          </w:p>
        </w:tc>
        <w:tc>
          <w:tcPr>
            <w:tcW w:w="1380" w:type="dxa"/>
            <w:tcBorders>
              <w:top w:val="nil"/>
            </w:tcBorders>
            <w:noWrap/>
            <w:vAlign w:val="center"/>
            <w:hideMark/>
          </w:tcPr>
          <w:p w14:paraId="15963204"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1.58</w:t>
            </w:r>
          </w:p>
        </w:tc>
        <w:tc>
          <w:tcPr>
            <w:tcW w:w="1005" w:type="dxa"/>
            <w:tcBorders>
              <w:top w:val="nil"/>
            </w:tcBorders>
            <w:noWrap/>
            <w:vAlign w:val="center"/>
            <w:hideMark/>
          </w:tcPr>
          <w:p w14:paraId="3E097D00"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0.0090</w:t>
            </w:r>
          </w:p>
        </w:tc>
        <w:tc>
          <w:tcPr>
            <w:tcW w:w="1314" w:type="dxa"/>
            <w:tcBorders>
              <w:top w:val="nil"/>
            </w:tcBorders>
            <w:noWrap/>
            <w:vAlign w:val="center"/>
            <w:hideMark/>
          </w:tcPr>
          <w:p w14:paraId="0D0D2FA9"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0.398</w:t>
            </w:r>
          </w:p>
        </w:tc>
        <w:tc>
          <w:tcPr>
            <w:tcW w:w="801" w:type="dxa"/>
            <w:tcBorders>
              <w:top w:val="nil"/>
            </w:tcBorders>
            <w:noWrap/>
            <w:vAlign w:val="center"/>
            <w:hideMark/>
          </w:tcPr>
          <w:p w14:paraId="4DEA24E2"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0.004</w:t>
            </w:r>
          </w:p>
        </w:tc>
      </w:tr>
      <w:tr w:rsidR="00693CE2" w:rsidRPr="003B53D4" w14:paraId="2112FF67" w14:textId="77777777" w:rsidTr="00A927AE">
        <w:trPr>
          <w:trHeight w:val="317"/>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528C4DE4"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p>
        </w:tc>
        <w:tc>
          <w:tcPr>
            <w:tcW w:w="3659" w:type="dxa"/>
            <w:gridSpan w:val="3"/>
            <w:tcBorders>
              <w:bottom w:val="single" w:sz="4" w:space="0" w:color="7F7F7F"/>
            </w:tcBorders>
            <w:noWrap/>
            <w:vAlign w:val="center"/>
            <w:hideMark/>
          </w:tcPr>
          <w:p w14:paraId="6B9502C3"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20"/>
                <w:szCs w:val="20"/>
              </w:rPr>
            </w:pPr>
            <w:r w:rsidRPr="003B53D4">
              <w:rPr>
                <w:rFonts w:eastAsia="Times New Roman" w:cs="Times New Roman"/>
                <w:b/>
                <w:bCs/>
                <w:color w:val="000000"/>
                <w:sz w:val="20"/>
                <w:szCs w:val="20"/>
              </w:rPr>
              <w:t xml:space="preserve">Northern Alaska Mean </w:t>
            </w:r>
            <w:r w:rsidRPr="003B53D4">
              <w:rPr>
                <w:rFonts w:eastAsia="Times New Roman" w:cs="Times New Roman"/>
                <w:b/>
                <w:bCs/>
                <w:color w:val="000000"/>
                <w:sz w:val="20"/>
                <w:szCs w:val="20"/>
                <w:u w:val="single"/>
              </w:rPr>
              <w:t>+</w:t>
            </w:r>
            <w:r w:rsidRPr="003B53D4">
              <w:rPr>
                <w:rFonts w:eastAsia="Times New Roman" w:cs="Times New Roman"/>
                <w:b/>
                <w:bCs/>
                <w:color w:val="000000"/>
                <w:sz w:val="20"/>
                <w:szCs w:val="20"/>
              </w:rPr>
              <w:t>1SD</w:t>
            </w:r>
          </w:p>
        </w:tc>
        <w:tc>
          <w:tcPr>
            <w:tcW w:w="1071" w:type="dxa"/>
            <w:gridSpan w:val="2"/>
            <w:tcBorders>
              <w:bottom w:val="single" w:sz="4" w:space="0" w:color="7F7F7F"/>
            </w:tcBorders>
            <w:noWrap/>
            <w:vAlign w:val="center"/>
            <w:hideMark/>
          </w:tcPr>
          <w:p w14:paraId="4E97D200" w14:textId="77777777" w:rsidR="00693CE2" w:rsidRPr="003B53D4" w:rsidRDefault="00693CE2" w:rsidP="00A927AE">
            <w:pPr>
              <w:spacing w:line="240" w:lineRule="auto"/>
              <w:ind w:left="30" w:right="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p>
        </w:tc>
        <w:tc>
          <w:tcPr>
            <w:tcW w:w="1068" w:type="dxa"/>
            <w:tcBorders>
              <w:bottom w:val="single" w:sz="4" w:space="0" w:color="7F7F7F"/>
            </w:tcBorders>
            <w:noWrap/>
            <w:vAlign w:val="center"/>
            <w:hideMark/>
          </w:tcPr>
          <w:p w14:paraId="316017DA"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0.711256</w:t>
            </w:r>
          </w:p>
        </w:tc>
        <w:tc>
          <w:tcPr>
            <w:tcW w:w="1231" w:type="dxa"/>
            <w:tcBorders>
              <w:bottom w:val="single" w:sz="4" w:space="0" w:color="7F7F7F"/>
            </w:tcBorders>
            <w:noWrap/>
            <w:vAlign w:val="center"/>
            <w:hideMark/>
          </w:tcPr>
          <w:p w14:paraId="4E7FD578"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1.51E-03</w:t>
            </w:r>
          </w:p>
        </w:tc>
        <w:tc>
          <w:tcPr>
            <w:tcW w:w="1380" w:type="dxa"/>
            <w:tcBorders>
              <w:bottom w:val="single" w:sz="4" w:space="0" w:color="7F7F7F"/>
            </w:tcBorders>
            <w:noWrap/>
            <w:vAlign w:val="center"/>
            <w:hideMark/>
          </w:tcPr>
          <w:p w14:paraId="192D3D2E"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2.69</w:t>
            </w:r>
          </w:p>
        </w:tc>
        <w:tc>
          <w:tcPr>
            <w:tcW w:w="1005" w:type="dxa"/>
            <w:tcBorders>
              <w:bottom w:val="single" w:sz="4" w:space="0" w:color="7F7F7F"/>
            </w:tcBorders>
            <w:noWrap/>
            <w:vAlign w:val="center"/>
            <w:hideMark/>
          </w:tcPr>
          <w:p w14:paraId="7790C65B"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1.91</w:t>
            </w:r>
          </w:p>
        </w:tc>
        <w:tc>
          <w:tcPr>
            <w:tcW w:w="1314" w:type="dxa"/>
            <w:tcBorders>
              <w:bottom w:val="single" w:sz="4" w:space="0" w:color="7F7F7F"/>
            </w:tcBorders>
            <w:noWrap/>
            <w:vAlign w:val="center"/>
            <w:hideMark/>
          </w:tcPr>
          <w:p w14:paraId="08167731"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0.874</w:t>
            </w:r>
          </w:p>
        </w:tc>
        <w:tc>
          <w:tcPr>
            <w:tcW w:w="801" w:type="dxa"/>
            <w:tcBorders>
              <w:bottom w:val="single" w:sz="4" w:space="0" w:color="7F7F7F"/>
            </w:tcBorders>
            <w:noWrap/>
            <w:vAlign w:val="center"/>
            <w:hideMark/>
          </w:tcPr>
          <w:p w14:paraId="60E73617"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0.470</w:t>
            </w:r>
          </w:p>
        </w:tc>
      </w:tr>
      <w:tr w:rsidR="00693CE2" w:rsidRPr="003B53D4" w14:paraId="50595DF3" w14:textId="77777777" w:rsidTr="00A927AE">
        <w:trPr>
          <w:cnfStyle w:val="000000100000" w:firstRow="0" w:lastRow="0" w:firstColumn="0" w:lastColumn="0" w:oddVBand="0" w:evenVBand="0" w:oddHBand="1" w:evenHBand="0" w:firstRowFirstColumn="0" w:firstRowLastColumn="0" w:lastRowFirstColumn="0" w:lastRowLastColumn="0"/>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restart"/>
            <w:tcBorders>
              <w:top w:val="nil"/>
            </w:tcBorders>
            <w:vAlign w:val="center"/>
            <w:hideMark/>
          </w:tcPr>
          <w:p w14:paraId="70DCCD3C" w14:textId="77777777" w:rsidR="00693CE2" w:rsidRPr="00C82375" w:rsidRDefault="00693CE2" w:rsidP="00A927AE">
            <w:pPr>
              <w:spacing w:line="240" w:lineRule="auto"/>
              <w:ind w:firstLine="0"/>
              <w:jc w:val="center"/>
              <w:rPr>
                <w:rFonts w:eastAsia="Times New Roman" w:cs="Times New Roman"/>
                <w:b w:val="0"/>
                <w:bCs w:val="0"/>
                <w:color w:val="000000"/>
                <w:sz w:val="20"/>
                <w:szCs w:val="20"/>
              </w:rPr>
            </w:pPr>
            <w:r w:rsidRPr="00C82375">
              <w:rPr>
                <w:rFonts w:eastAsia="Times New Roman" w:cs="Times New Roman"/>
                <w:b w:val="0"/>
                <w:bCs w:val="0"/>
                <w:color w:val="000000"/>
                <w:sz w:val="20"/>
                <w:szCs w:val="20"/>
              </w:rPr>
              <w:t>Prince William Sound (PWS)</w:t>
            </w:r>
          </w:p>
        </w:tc>
        <w:tc>
          <w:tcPr>
            <w:tcW w:w="1692" w:type="dxa"/>
            <w:tcBorders>
              <w:top w:val="nil"/>
              <w:bottom w:val="nil"/>
            </w:tcBorders>
            <w:noWrap/>
            <w:vAlign w:val="center"/>
            <w:hideMark/>
          </w:tcPr>
          <w:p w14:paraId="61BA6730"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Jackson Creek</w:t>
            </w:r>
          </w:p>
        </w:tc>
        <w:tc>
          <w:tcPr>
            <w:tcW w:w="806" w:type="dxa"/>
            <w:tcBorders>
              <w:top w:val="nil"/>
              <w:bottom w:val="nil"/>
            </w:tcBorders>
            <w:noWrap/>
            <w:vAlign w:val="center"/>
            <w:hideMark/>
          </w:tcPr>
          <w:p w14:paraId="471587F6" w14:textId="77777777" w:rsidR="00693CE2" w:rsidRPr="003B53D4" w:rsidRDefault="00693CE2" w:rsidP="00A927AE">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JC</w:t>
            </w:r>
          </w:p>
        </w:tc>
        <w:tc>
          <w:tcPr>
            <w:tcW w:w="1161" w:type="dxa"/>
            <w:tcBorders>
              <w:top w:val="nil"/>
              <w:bottom w:val="nil"/>
            </w:tcBorders>
            <w:noWrap/>
            <w:vAlign w:val="center"/>
            <w:hideMark/>
          </w:tcPr>
          <w:p w14:paraId="200DB4F2" w14:textId="77777777" w:rsidR="00693CE2" w:rsidRPr="003B53D4" w:rsidRDefault="00693CE2" w:rsidP="00A927AE">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60.324029</w:t>
            </w:r>
          </w:p>
        </w:tc>
        <w:tc>
          <w:tcPr>
            <w:tcW w:w="1071" w:type="dxa"/>
            <w:gridSpan w:val="2"/>
            <w:tcBorders>
              <w:top w:val="nil"/>
              <w:bottom w:val="nil"/>
            </w:tcBorders>
            <w:noWrap/>
            <w:vAlign w:val="center"/>
            <w:hideMark/>
          </w:tcPr>
          <w:p w14:paraId="48E373D1" w14:textId="77777777" w:rsidR="00693CE2" w:rsidRPr="003B53D4" w:rsidRDefault="00693CE2" w:rsidP="00A927AE">
            <w:pPr>
              <w:spacing w:line="240" w:lineRule="auto"/>
              <w:ind w:right="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-148.279</w:t>
            </w:r>
          </w:p>
        </w:tc>
        <w:tc>
          <w:tcPr>
            <w:tcW w:w="1068" w:type="dxa"/>
            <w:tcBorders>
              <w:top w:val="nil"/>
              <w:bottom w:val="nil"/>
            </w:tcBorders>
            <w:noWrap/>
            <w:vAlign w:val="center"/>
            <w:hideMark/>
          </w:tcPr>
          <w:p w14:paraId="58DEF2D7"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0.707446</w:t>
            </w:r>
          </w:p>
        </w:tc>
        <w:tc>
          <w:tcPr>
            <w:tcW w:w="1231" w:type="dxa"/>
            <w:tcBorders>
              <w:top w:val="nil"/>
              <w:bottom w:val="nil"/>
            </w:tcBorders>
            <w:noWrap/>
            <w:vAlign w:val="center"/>
            <w:hideMark/>
          </w:tcPr>
          <w:p w14:paraId="7C16FABE"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8.27E-06</w:t>
            </w:r>
          </w:p>
        </w:tc>
        <w:tc>
          <w:tcPr>
            <w:tcW w:w="1380" w:type="dxa"/>
            <w:tcBorders>
              <w:top w:val="nil"/>
              <w:bottom w:val="nil"/>
            </w:tcBorders>
            <w:noWrap/>
            <w:vAlign w:val="center"/>
            <w:hideMark/>
          </w:tcPr>
          <w:p w14:paraId="189E46A8"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2.47</w:t>
            </w:r>
          </w:p>
        </w:tc>
        <w:tc>
          <w:tcPr>
            <w:tcW w:w="1005" w:type="dxa"/>
            <w:tcBorders>
              <w:top w:val="nil"/>
              <w:bottom w:val="nil"/>
            </w:tcBorders>
            <w:noWrap/>
            <w:vAlign w:val="center"/>
            <w:hideMark/>
          </w:tcPr>
          <w:p w14:paraId="0B0969C9"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0.120</w:t>
            </w:r>
          </w:p>
        </w:tc>
        <w:tc>
          <w:tcPr>
            <w:tcW w:w="1314" w:type="dxa"/>
            <w:tcBorders>
              <w:top w:val="nil"/>
              <w:bottom w:val="nil"/>
            </w:tcBorders>
            <w:noWrap/>
            <w:vAlign w:val="center"/>
            <w:hideMark/>
          </w:tcPr>
          <w:p w14:paraId="032BF3D4"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0.340</w:t>
            </w:r>
          </w:p>
        </w:tc>
        <w:tc>
          <w:tcPr>
            <w:tcW w:w="801" w:type="dxa"/>
            <w:tcBorders>
              <w:top w:val="nil"/>
              <w:bottom w:val="nil"/>
              <w:right w:val="nil"/>
            </w:tcBorders>
            <w:noWrap/>
            <w:vAlign w:val="center"/>
            <w:hideMark/>
          </w:tcPr>
          <w:p w14:paraId="4835BB25"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0.027</w:t>
            </w:r>
          </w:p>
        </w:tc>
      </w:tr>
      <w:tr w:rsidR="00693CE2" w:rsidRPr="003B53D4" w14:paraId="3F1FF51B" w14:textId="77777777" w:rsidTr="00A927AE">
        <w:trPr>
          <w:trHeight w:val="290"/>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vAlign w:val="center"/>
            <w:hideMark/>
          </w:tcPr>
          <w:p w14:paraId="0F760627" w14:textId="77777777" w:rsidR="00693CE2" w:rsidRPr="003B53D4" w:rsidRDefault="00693CE2" w:rsidP="00A927AE">
            <w:pPr>
              <w:spacing w:line="240" w:lineRule="auto"/>
              <w:ind w:firstLine="0"/>
              <w:jc w:val="center"/>
              <w:rPr>
                <w:rFonts w:eastAsia="Times New Roman" w:cs="Times New Roman"/>
                <w:color w:val="000000"/>
                <w:sz w:val="22"/>
              </w:rPr>
            </w:pPr>
          </w:p>
        </w:tc>
        <w:tc>
          <w:tcPr>
            <w:tcW w:w="1692" w:type="dxa"/>
            <w:tcBorders>
              <w:top w:val="nil"/>
              <w:bottom w:val="nil"/>
            </w:tcBorders>
            <w:noWrap/>
            <w:vAlign w:val="center"/>
            <w:hideMark/>
          </w:tcPr>
          <w:p w14:paraId="3DD6B599"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Hartney Bay</w:t>
            </w:r>
          </w:p>
        </w:tc>
        <w:tc>
          <w:tcPr>
            <w:tcW w:w="806" w:type="dxa"/>
            <w:tcBorders>
              <w:top w:val="nil"/>
              <w:bottom w:val="nil"/>
            </w:tcBorders>
            <w:noWrap/>
            <w:vAlign w:val="center"/>
            <w:hideMark/>
          </w:tcPr>
          <w:p w14:paraId="71018798" w14:textId="77777777" w:rsidR="00693CE2" w:rsidRPr="003B53D4" w:rsidRDefault="00693CE2" w:rsidP="00A927AE">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HB</w:t>
            </w:r>
          </w:p>
        </w:tc>
        <w:tc>
          <w:tcPr>
            <w:tcW w:w="1161" w:type="dxa"/>
            <w:tcBorders>
              <w:top w:val="nil"/>
              <w:bottom w:val="nil"/>
            </w:tcBorders>
            <w:noWrap/>
            <w:vAlign w:val="center"/>
            <w:hideMark/>
          </w:tcPr>
          <w:p w14:paraId="62BBCA54" w14:textId="77777777" w:rsidR="00693CE2" w:rsidRPr="003B53D4" w:rsidRDefault="00693CE2" w:rsidP="00A927AE">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60.502129</w:t>
            </w:r>
          </w:p>
        </w:tc>
        <w:tc>
          <w:tcPr>
            <w:tcW w:w="1071" w:type="dxa"/>
            <w:gridSpan w:val="2"/>
            <w:tcBorders>
              <w:top w:val="nil"/>
              <w:bottom w:val="nil"/>
            </w:tcBorders>
            <w:noWrap/>
            <w:vAlign w:val="center"/>
            <w:hideMark/>
          </w:tcPr>
          <w:p w14:paraId="594DD8F2" w14:textId="77777777" w:rsidR="00693CE2" w:rsidRPr="003B53D4" w:rsidRDefault="00693CE2" w:rsidP="00A927AE">
            <w:pPr>
              <w:spacing w:line="240" w:lineRule="auto"/>
              <w:ind w:right="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-145.860</w:t>
            </w:r>
          </w:p>
        </w:tc>
        <w:tc>
          <w:tcPr>
            <w:tcW w:w="1068" w:type="dxa"/>
            <w:tcBorders>
              <w:top w:val="nil"/>
              <w:bottom w:val="nil"/>
            </w:tcBorders>
            <w:noWrap/>
            <w:vAlign w:val="center"/>
            <w:hideMark/>
          </w:tcPr>
          <w:p w14:paraId="1A88B35A"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0.707002</w:t>
            </w:r>
          </w:p>
        </w:tc>
        <w:tc>
          <w:tcPr>
            <w:tcW w:w="1231" w:type="dxa"/>
            <w:tcBorders>
              <w:top w:val="nil"/>
              <w:bottom w:val="nil"/>
            </w:tcBorders>
            <w:noWrap/>
            <w:vAlign w:val="center"/>
            <w:hideMark/>
          </w:tcPr>
          <w:p w14:paraId="09554BB4" w14:textId="77777777" w:rsidR="00693CE2" w:rsidRPr="003B53D4" w:rsidRDefault="00693CE2" w:rsidP="00A927AE">
            <w:pPr>
              <w:spacing w:line="240" w:lineRule="auto"/>
              <w:ind w:right="12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7.33E-06</w:t>
            </w:r>
          </w:p>
        </w:tc>
        <w:tc>
          <w:tcPr>
            <w:tcW w:w="1380" w:type="dxa"/>
            <w:tcBorders>
              <w:top w:val="nil"/>
              <w:bottom w:val="nil"/>
            </w:tcBorders>
            <w:noWrap/>
            <w:vAlign w:val="center"/>
            <w:hideMark/>
          </w:tcPr>
          <w:p w14:paraId="28460139" w14:textId="77777777" w:rsidR="00693CE2" w:rsidRPr="003B53D4" w:rsidRDefault="00693CE2" w:rsidP="00A927AE">
            <w:pPr>
              <w:spacing w:line="240" w:lineRule="auto"/>
              <w:ind w:right="240"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6.18</w:t>
            </w:r>
          </w:p>
        </w:tc>
        <w:tc>
          <w:tcPr>
            <w:tcW w:w="1005" w:type="dxa"/>
            <w:tcBorders>
              <w:top w:val="nil"/>
              <w:bottom w:val="nil"/>
            </w:tcBorders>
            <w:noWrap/>
            <w:vAlign w:val="center"/>
            <w:hideMark/>
          </w:tcPr>
          <w:p w14:paraId="20A9B077" w14:textId="77777777" w:rsidR="00693CE2" w:rsidRPr="003B53D4" w:rsidRDefault="00693CE2" w:rsidP="00A927AE">
            <w:pPr>
              <w:spacing w:line="240" w:lineRule="auto"/>
              <w:ind w:right="24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0.242</w:t>
            </w:r>
          </w:p>
        </w:tc>
        <w:tc>
          <w:tcPr>
            <w:tcW w:w="1314" w:type="dxa"/>
            <w:tcBorders>
              <w:top w:val="nil"/>
              <w:bottom w:val="nil"/>
            </w:tcBorders>
            <w:noWrap/>
            <w:vAlign w:val="center"/>
            <w:hideMark/>
          </w:tcPr>
          <w:p w14:paraId="28E38705" w14:textId="77777777" w:rsidR="00693CE2" w:rsidRPr="003B53D4" w:rsidRDefault="00693CE2" w:rsidP="00A927AE">
            <w:pPr>
              <w:spacing w:line="240" w:lineRule="auto"/>
              <w:ind w:right="310"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0.339</w:t>
            </w:r>
          </w:p>
        </w:tc>
        <w:tc>
          <w:tcPr>
            <w:tcW w:w="801" w:type="dxa"/>
            <w:tcBorders>
              <w:top w:val="nil"/>
              <w:bottom w:val="nil"/>
              <w:right w:val="nil"/>
            </w:tcBorders>
            <w:noWrap/>
            <w:vAlign w:val="center"/>
            <w:hideMark/>
          </w:tcPr>
          <w:p w14:paraId="3BBF90BA" w14:textId="77777777" w:rsidR="00693CE2" w:rsidRPr="003B53D4" w:rsidRDefault="00693CE2" w:rsidP="00A927AE">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0.002</w:t>
            </w:r>
          </w:p>
        </w:tc>
      </w:tr>
      <w:tr w:rsidR="00693CE2" w:rsidRPr="003B53D4" w14:paraId="4FB2993D" w14:textId="77777777" w:rsidTr="00A927AE">
        <w:trPr>
          <w:cnfStyle w:val="000000100000" w:firstRow="0" w:lastRow="0" w:firstColumn="0" w:lastColumn="0" w:oddVBand="0" w:evenVBand="0" w:oddHBand="1" w:evenHBand="0" w:firstRowFirstColumn="0" w:firstRowLastColumn="0" w:lastRowFirstColumn="0" w:lastRowLastColumn="0"/>
          <w:trHeight w:val="317"/>
          <w:tblCellSpacing w:w="0" w:type="dxa"/>
        </w:trPr>
        <w:tc>
          <w:tcPr>
            <w:cnfStyle w:val="001000000000" w:firstRow="0" w:lastRow="0" w:firstColumn="1" w:lastColumn="0" w:oddVBand="0" w:evenVBand="0" w:oddHBand="0" w:evenHBand="0" w:firstRowFirstColumn="0" w:firstRowLastColumn="0" w:lastRowFirstColumn="0" w:lastRowLastColumn="0"/>
            <w:tcW w:w="1143" w:type="dxa"/>
            <w:vMerge/>
            <w:tcBorders>
              <w:bottom w:val="nil"/>
            </w:tcBorders>
            <w:vAlign w:val="center"/>
            <w:hideMark/>
          </w:tcPr>
          <w:p w14:paraId="480AD5DD" w14:textId="77777777" w:rsidR="00693CE2" w:rsidRPr="003B53D4" w:rsidRDefault="00693CE2" w:rsidP="00A927AE">
            <w:pPr>
              <w:spacing w:line="240" w:lineRule="auto"/>
              <w:ind w:firstLine="0"/>
              <w:jc w:val="center"/>
              <w:rPr>
                <w:rFonts w:eastAsia="Times New Roman" w:cs="Times New Roman"/>
                <w:color w:val="000000"/>
                <w:sz w:val="22"/>
              </w:rPr>
            </w:pPr>
          </w:p>
        </w:tc>
        <w:tc>
          <w:tcPr>
            <w:tcW w:w="4134" w:type="dxa"/>
            <w:gridSpan w:val="4"/>
            <w:tcBorders>
              <w:bottom w:val="nil"/>
            </w:tcBorders>
            <w:noWrap/>
            <w:vAlign w:val="center"/>
            <w:hideMark/>
          </w:tcPr>
          <w:p w14:paraId="62BB5CF2" w14:textId="77777777" w:rsidR="00693CE2" w:rsidRPr="003B53D4" w:rsidRDefault="00693CE2" w:rsidP="00A927AE">
            <w:pPr>
              <w:spacing w:line="240" w:lineRule="auto"/>
              <w:ind w:right="47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sz w:val="20"/>
                <w:szCs w:val="20"/>
              </w:rPr>
            </w:pPr>
            <w:r w:rsidRPr="003B53D4">
              <w:rPr>
                <w:rFonts w:eastAsia="Times New Roman" w:cs="Times New Roman"/>
                <w:b/>
                <w:bCs/>
                <w:color w:val="000000"/>
                <w:sz w:val="20"/>
                <w:szCs w:val="20"/>
              </w:rPr>
              <w:t xml:space="preserve">Prince William Mean </w:t>
            </w:r>
            <w:r w:rsidRPr="003B53D4">
              <w:rPr>
                <w:rFonts w:eastAsia="Times New Roman" w:cs="Times New Roman"/>
                <w:b/>
                <w:bCs/>
                <w:color w:val="000000"/>
                <w:sz w:val="20"/>
                <w:szCs w:val="20"/>
                <w:u w:val="single"/>
              </w:rPr>
              <w:t>+</w:t>
            </w:r>
            <w:r w:rsidRPr="003B53D4">
              <w:rPr>
                <w:rFonts w:eastAsia="Times New Roman" w:cs="Times New Roman"/>
                <w:b/>
                <w:bCs/>
                <w:color w:val="000000"/>
                <w:sz w:val="20"/>
                <w:szCs w:val="20"/>
              </w:rPr>
              <w:t>1SD</w:t>
            </w:r>
          </w:p>
        </w:tc>
        <w:tc>
          <w:tcPr>
            <w:tcW w:w="596" w:type="dxa"/>
            <w:tcBorders>
              <w:bottom w:val="nil"/>
            </w:tcBorders>
            <w:noWrap/>
            <w:vAlign w:val="center"/>
            <w:hideMark/>
          </w:tcPr>
          <w:p w14:paraId="48E98BB3" w14:textId="77777777" w:rsidR="00693CE2" w:rsidRPr="003B53D4" w:rsidRDefault="00693CE2" w:rsidP="00A927AE">
            <w:pPr>
              <w:spacing w:line="240" w:lineRule="auto"/>
              <w:ind w:left="-39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2"/>
              </w:rPr>
            </w:pPr>
          </w:p>
        </w:tc>
        <w:tc>
          <w:tcPr>
            <w:tcW w:w="1068" w:type="dxa"/>
            <w:tcBorders>
              <w:bottom w:val="nil"/>
            </w:tcBorders>
            <w:noWrap/>
            <w:vAlign w:val="center"/>
            <w:hideMark/>
          </w:tcPr>
          <w:p w14:paraId="42A13F6C"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0.707224</w:t>
            </w:r>
          </w:p>
        </w:tc>
        <w:tc>
          <w:tcPr>
            <w:tcW w:w="1231" w:type="dxa"/>
            <w:tcBorders>
              <w:bottom w:val="nil"/>
            </w:tcBorders>
            <w:noWrap/>
            <w:vAlign w:val="center"/>
            <w:hideMark/>
          </w:tcPr>
          <w:p w14:paraId="3F0AF391" w14:textId="77777777" w:rsidR="00693CE2" w:rsidRPr="003B53D4" w:rsidRDefault="00693CE2" w:rsidP="00A927AE">
            <w:pPr>
              <w:spacing w:line="240" w:lineRule="auto"/>
              <w:ind w:right="12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3.14E-04</w:t>
            </w:r>
          </w:p>
        </w:tc>
        <w:tc>
          <w:tcPr>
            <w:tcW w:w="1380" w:type="dxa"/>
            <w:tcBorders>
              <w:bottom w:val="nil"/>
            </w:tcBorders>
            <w:noWrap/>
            <w:vAlign w:val="center"/>
            <w:hideMark/>
          </w:tcPr>
          <w:p w14:paraId="222ED9A5" w14:textId="77777777" w:rsidR="00693CE2" w:rsidRPr="003B53D4" w:rsidRDefault="00693CE2" w:rsidP="00A927AE">
            <w:pPr>
              <w:spacing w:line="240" w:lineRule="auto"/>
              <w:ind w:right="240"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4.32</w:t>
            </w:r>
          </w:p>
        </w:tc>
        <w:tc>
          <w:tcPr>
            <w:tcW w:w="1005" w:type="dxa"/>
            <w:tcBorders>
              <w:bottom w:val="nil"/>
            </w:tcBorders>
            <w:noWrap/>
            <w:vAlign w:val="center"/>
            <w:hideMark/>
          </w:tcPr>
          <w:p w14:paraId="7A604BDB" w14:textId="77777777" w:rsidR="00693CE2" w:rsidRPr="003B53D4" w:rsidRDefault="00693CE2" w:rsidP="00A927AE">
            <w:pPr>
              <w:spacing w:line="240" w:lineRule="auto"/>
              <w:ind w:right="24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2.62</w:t>
            </w:r>
          </w:p>
        </w:tc>
        <w:tc>
          <w:tcPr>
            <w:tcW w:w="1314" w:type="dxa"/>
            <w:tcBorders>
              <w:bottom w:val="nil"/>
            </w:tcBorders>
            <w:noWrap/>
            <w:vAlign w:val="center"/>
            <w:hideMark/>
          </w:tcPr>
          <w:p w14:paraId="5B4B043F" w14:textId="77777777" w:rsidR="00693CE2" w:rsidRPr="003B53D4" w:rsidRDefault="00693CE2" w:rsidP="00A927AE">
            <w:pPr>
              <w:spacing w:line="240" w:lineRule="auto"/>
              <w:ind w:right="310"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0.339</w:t>
            </w:r>
          </w:p>
        </w:tc>
        <w:tc>
          <w:tcPr>
            <w:tcW w:w="801" w:type="dxa"/>
            <w:tcBorders>
              <w:bottom w:val="nil"/>
            </w:tcBorders>
            <w:noWrap/>
            <w:vAlign w:val="center"/>
            <w:hideMark/>
          </w:tcPr>
          <w:p w14:paraId="67EED01B" w14:textId="77777777" w:rsidR="00693CE2" w:rsidRPr="003B53D4" w:rsidRDefault="00693CE2" w:rsidP="00A927AE">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3B53D4">
              <w:rPr>
                <w:rFonts w:eastAsia="Times New Roman" w:cs="Times New Roman"/>
                <w:color w:val="000000"/>
                <w:sz w:val="20"/>
                <w:szCs w:val="20"/>
              </w:rPr>
              <w:t>0.001</w:t>
            </w:r>
          </w:p>
        </w:tc>
      </w:tr>
    </w:tbl>
    <w:p w14:paraId="11AD958D" w14:textId="77777777" w:rsidR="00693CE2" w:rsidRDefault="00693CE2" w:rsidP="00693CE2">
      <w:pPr>
        <w:spacing w:after="160" w:line="259" w:lineRule="auto"/>
        <w:ind w:firstLine="0"/>
        <w:rPr>
          <w:rFonts w:cs="Times New Roman"/>
          <w:szCs w:val="24"/>
        </w:rPr>
      </w:pPr>
    </w:p>
    <w:p w14:paraId="4B4EF446" w14:textId="77777777" w:rsidR="00693CE2" w:rsidRDefault="00693CE2" w:rsidP="00693CE2">
      <w:pPr>
        <w:spacing w:after="160" w:line="259" w:lineRule="auto"/>
        <w:ind w:firstLine="0"/>
        <w:rPr>
          <w:rFonts w:cs="Times New Roman"/>
          <w:szCs w:val="24"/>
        </w:rPr>
        <w:sectPr w:rsidR="00693CE2" w:rsidSect="00B83897">
          <w:headerReference w:type="first" r:id="rId10"/>
          <w:footerReference w:type="first" r:id="rId11"/>
          <w:pgSz w:w="15840" w:h="12240" w:orient="landscape"/>
          <w:pgMar w:top="1440" w:right="1440" w:bottom="1440" w:left="1728" w:header="720" w:footer="720" w:gutter="0"/>
          <w:cols w:space="720"/>
          <w:titlePg/>
          <w:docGrid w:linePitch="360"/>
        </w:sectPr>
      </w:pPr>
    </w:p>
    <w:p w14:paraId="2EFE0828" w14:textId="77777777" w:rsidR="00693CE2" w:rsidRDefault="00693CE2" w:rsidP="00693CE2">
      <w:pPr>
        <w:spacing w:after="160" w:line="259" w:lineRule="auto"/>
        <w:ind w:firstLine="0"/>
        <w:rPr>
          <w:rFonts w:cs="Times New Roman"/>
          <w:szCs w:val="24"/>
        </w:rPr>
      </w:pPr>
      <w:r w:rsidRPr="00753DA9">
        <w:rPr>
          <w:rFonts w:ascii="Calibri" w:eastAsia="Calibri" w:hAnsi="Calibri" w:cs="Times New Roman"/>
          <w:noProof/>
          <w:sz w:val="22"/>
        </w:rPr>
        <w:drawing>
          <wp:inline distT="0" distB="0" distL="0" distR="0" wp14:anchorId="06E65FA5" wp14:editId="4EEFFCC8">
            <wp:extent cx="8046720" cy="4525038"/>
            <wp:effectExtent l="0" t="0" r="0" b="8890"/>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46720" cy="4525038"/>
                    </a:xfrm>
                    <a:prstGeom prst="rect">
                      <a:avLst/>
                    </a:prstGeom>
                    <a:noFill/>
                    <a:ln>
                      <a:noFill/>
                    </a:ln>
                  </pic:spPr>
                </pic:pic>
              </a:graphicData>
            </a:graphic>
          </wp:inline>
        </w:drawing>
      </w:r>
    </w:p>
    <w:p w14:paraId="628BC17E" w14:textId="77777777" w:rsidR="00693CE2" w:rsidRPr="00B64180" w:rsidRDefault="00693CE2" w:rsidP="00693CE2">
      <w:pPr>
        <w:pStyle w:val="FigureCaption"/>
      </w:pPr>
      <w:bookmarkStart w:id="3" w:name="_Toc130216867"/>
      <w:r w:rsidRPr="00DD1C3B">
        <w:t xml:space="preserve">Figure </w:t>
      </w:r>
      <w:r>
        <w:t>5.</w:t>
      </w:r>
      <w:r w:rsidRPr="00DD1C3B">
        <w:t>1.</w:t>
      </w:r>
      <w:r w:rsidRPr="00DD1C3B">
        <w:rPr>
          <w:b/>
          <w:bCs/>
        </w:rPr>
        <w:t xml:space="preserve"> </w:t>
      </w:r>
      <w:r w:rsidRPr="00DD1C3B">
        <w:t xml:space="preserve">The </w:t>
      </w:r>
      <w:r w:rsidRPr="00DD1C3B">
        <w:rPr>
          <w:vertAlign w:val="superscript"/>
        </w:rPr>
        <w:t>87</w:t>
      </w:r>
      <w:r w:rsidRPr="00DD1C3B">
        <w:t>Sr/</w:t>
      </w:r>
      <w:r w:rsidRPr="00DD1C3B">
        <w:rPr>
          <w:vertAlign w:val="superscript"/>
        </w:rPr>
        <w:t>86</w:t>
      </w:r>
      <w:r w:rsidRPr="00DD1C3B">
        <w:t>Sr and elemental ratios of water samples collected in Northern Alaska (NAK) and Prince William Sound (PWS). The median is represented by the horizontal line through each box, the 25</w:t>
      </w:r>
      <w:r w:rsidRPr="00DD1C3B">
        <w:rPr>
          <w:vertAlign w:val="superscript"/>
        </w:rPr>
        <w:t>th</w:t>
      </w:r>
      <w:r w:rsidRPr="00DD1C3B">
        <w:t xml:space="preserve"> and 75</w:t>
      </w:r>
      <w:r w:rsidRPr="00DD1C3B">
        <w:rPr>
          <w:vertAlign w:val="superscript"/>
        </w:rPr>
        <w:t>th</w:t>
      </w:r>
      <w:r w:rsidRPr="00DD1C3B">
        <w:t xml:space="preserve"> percentiles are represented by the lower and upper boundaries, respectively; the 10</w:t>
      </w:r>
      <w:r w:rsidRPr="00DD1C3B">
        <w:rPr>
          <w:vertAlign w:val="superscript"/>
        </w:rPr>
        <w:t>th</w:t>
      </w:r>
      <w:r w:rsidRPr="00DD1C3B">
        <w:t xml:space="preserve"> and 90</w:t>
      </w:r>
      <w:r w:rsidRPr="00DD1C3B">
        <w:rPr>
          <w:vertAlign w:val="superscript"/>
        </w:rPr>
        <w:t>th</w:t>
      </w:r>
      <w:r w:rsidRPr="00DD1C3B">
        <w:t xml:space="preserve"> percentiles are represented by the whiskers.</w:t>
      </w:r>
      <w:bookmarkEnd w:id="3"/>
      <w:r w:rsidRPr="00DD1C3B">
        <w:rPr>
          <w:b/>
          <w:bCs/>
        </w:rPr>
        <w:t xml:space="preserve"> </w:t>
      </w:r>
      <w:r>
        <w:t xml:space="preserve">Outliers are represented by filled circles. </w:t>
      </w:r>
    </w:p>
    <w:p w14:paraId="268AEC3F" w14:textId="77777777" w:rsidR="00693CE2" w:rsidRDefault="00693CE2" w:rsidP="00693CE2">
      <w:pPr>
        <w:spacing w:after="160" w:line="259" w:lineRule="auto"/>
        <w:ind w:firstLine="0"/>
        <w:rPr>
          <w:rFonts w:cs="Times New Roman"/>
          <w:szCs w:val="24"/>
        </w:rPr>
      </w:pPr>
    </w:p>
    <w:p w14:paraId="3A95EED3" w14:textId="77777777" w:rsidR="00693CE2" w:rsidRDefault="00693CE2" w:rsidP="00693CE2">
      <w:pPr>
        <w:spacing w:after="160" w:line="259" w:lineRule="auto"/>
        <w:ind w:firstLine="0"/>
        <w:rPr>
          <w:rFonts w:cs="Times New Roman"/>
          <w:szCs w:val="24"/>
        </w:rPr>
      </w:pPr>
    </w:p>
    <w:p w14:paraId="24F7E880" w14:textId="77777777" w:rsidR="00693CE2" w:rsidRDefault="00693CE2" w:rsidP="00693CE2">
      <w:pPr>
        <w:spacing w:after="160" w:line="259" w:lineRule="auto"/>
        <w:ind w:firstLine="0"/>
        <w:rPr>
          <w:rFonts w:cs="Times New Roman"/>
          <w:szCs w:val="24"/>
        </w:rPr>
        <w:sectPr w:rsidR="00693CE2" w:rsidSect="00B83897">
          <w:pgSz w:w="15840" w:h="12240" w:orient="landscape"/>
          <w:pgMar w:top="1440" w:right="1440" w:bottom="1440" w:left="1728" w:header="720" w:footer="720" w:gutter="0"/>
          <w:cols w:space="720"/>
          <w:titlePg/>
          <w:docGrid w:linePitch="360"/>
        </w:sectPr>
      </w:pPr>
    </w:p>
    <w:p w14:paraId="559F33CA" w14:textId="77777777" w:rsidR="00693CE2" w:rsidRDefault="00693CE2" w:rsidP="00693CE2">
      <w:pPr>
        <w:ind w:firstLine="0"/>
        <w:jc w:val="center"/>
        <w:rPr>
          <w:rFonts w:cs="Times New Roman"/>
          <w:szCs w:val="24"/>
        </w:rPr>
      </w:pPr>
      <w:r w:rsidRPr="00C0096B">
        <w:rPr>
          <w:rFonts w:ascii="Calibri" w:eastAsia="Calibri" w:hAnsi="Calibri" w:cs="Times New Roman"/>
          <w:noProof/>
          <w:sz w:val="22"/>
        </w:rPr>
        <w:drawing>
          <wp:inline distT="0" distB="0" distL="0" distR="0" wp14:anchorId="67C15534" wp14:editId="7EEE8FD7">
            <wp:extent cx="3859359" cy="4627821"/>
            <wp:effectExtent l="0" t="0" r="8255" b="1905"/>
            <wp:docPr id="27" name="Picture 2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ap&#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27909" r="25195"/>
                    <a:stretch/>
                  </pic:blipFill>
                  <pic:spPr bwMode="auto">
                    <a:xfrm>
                      <a:off x="0" y="0"/>
                      <a:ext cx="3890545" cy="4665217"/>
                    </a:xfrm>
                    <a:prstGeom prst="rect">
                      <a:avLst/>
                    </a:prstGeom>
                    <a:noFill/>
                    <a:ln>
                      <a:noFill/>
                    </a:ln>
                    <a:extLst>
                      <a:ext uri="{53640926-AAD7-44D8-BBD7-CCE9431645EC}">
                        <a14:shadowObscured xmlns:a14="http://schemas.microsoft.com/office/drawing/2010/main"/>
                      </a:ext>
                    </a:extLst>
                  </pic:spPr>
                </pic:pic>
              </a:graphicData>
            </a:graphic>
          </wp:inline>
        </w:drawing>
      </w:r>
    </w:p>
    <w:p w14:paraId="5792BC8D" w14:textId="77777777" w:rsidR="00693CE2" w:rsidRPr="002F707D" w:rsidRDefault="00693CE2" w:rsidP="00693CE2">
      <w:pPr>
        <w:pStyle w:val="FigureCaption"/>
      </w:pPr>
      <w:bookmarkStart w:id="4" w:name="_Toc130216868"/>
      <w:r w:rsidRPr="002F707D">
        <w:t xml:space="preserve">Figure </w:t>
      </w:r>
      <w:r>
        <w:t>5.</w:t>
      </w:r>
      <w:r w:rsidRPr="002F707D">
        <w:t>2.</w:t>
      </w:r>
      <w:r w:rsidRPr="002F707D">
        <w:rPr>
          <w:b/>
          <w:bCs/>
        </w:rPr>
        <w:t xml:space="preserve"> </w:t>
      </w:r>
      <w:r w:rsidRPr="002F707D">
        <w:t xml:space="preserve">The </w:t>
      </w:r>
      <w:r w:rsidRPr="002F707D">
        <w:rPr>
          <w:vertAlign w:val="superscript"/>
        </w:rPr>
        <w:t>87</w:t>
      </w:r>
      <w:r w:rsidRPr="002F707D">
        <w:t>Sr/</w:t>
      </w:r>
      <w:r w:rsidRPr="002F707D">
        <w:rPr>
          <w:vertAlign w:val="superscript"/>
        </w:rPr>
        <w:t>86</w:t>
      </w:r>
      <w:r w:rsidRPr="002F707D">
        <w:t xml:space="preserve">Sr of Alaskan Rivers as reported in Brennan et al. (2014; circles) and this study (squares). The water </w:t>
      </w:r>
      <w:r w:rsidRPr="002F707D">
        <w:rPr>
          <w:vertAlign w:val="superscript"/>
        </w:rPr>
        <w:t>87</w:t>
      </w:r>
      <w:r w:rsidRPr="002F707D">
        <w:t>Sr/</w:t>
      </w:r>
      <w:r w:rsidRPr="002F707D">
        <w:rPr>
          <w:vertAlign w:val="superscript"/>
        </w:rPr>
        <w:t>86</w:t>
      </w:r>
      <w:r w:rsidRPr="002F707D">
        <w:t xml:space="preserve">Sr results from this study are in general agreement with the Sr isotopic data for AK rivers previously published and follow the general trends in Alaskan bedrock geology. Abbreviations for river names can be found in Table </w:t>
      </w:r>
      <w:r>
        <w:t>5.</w:t>
      </w:r>
      <w:r w:rsidRPr="002F707D">
        <w:t>1. River identification numbers can be found in Brennan et al., (2014). Geological features of AK are represented as follows: AR – Alaska Range, BR = Brooks Range, NSAK = North Slope of AK, YTU = Yukon Tanana Uplands, AAR = Alaskan-Aleutian Range, AMP = Ahklun Mountain Province, CM = Chugach Mountains. Figure reproduced with permission.</w:t>
      </w:r>
      <w:bookmarkEnd w:id="4"/>
      <w:r w:rsidRPr="002F707D">
        <w:t xml:space="preserve"> </w:t>
      </w:r>
    </w:p>
    <w:p w14:paraId="335843D7" w14:textId="77777777" w:rsidR="00693CE2" w:rsidRPr="00F92A58" w:rsidRDefault="00693CE2" w:rsidP="00693CE2">
      <w:pPr>
        <w:ind w:firstLine="0"/>
        <w:rPr>
          <w:rFonts w:cs="Times New Roman"/>
          <w:szCs w:val="24"/>
        </w:rPr>
      </w:pPr>
    </w:p>
    <w:p w14:paraId="5C2F680B" w14:textId="77777777" w:rsidR="00693CE2" w:rsidRDefault="00693CE2" w:rsidP="00693CE2">
      <w:pPr>
        <w:rPr>
          <w:rFonts w:cs="Times New Roman"/>
          <w:szCs w:val="24"/>
        </w:rPr>
      </w:pPr>
    </w:p>
    <w:p w14:paraId="21B75F24" w14:textId="77777777" w:rsidR="00693CE2" w:rsidRDefault="00693CE2" w:rsidP="00693CE2">
      <w:pPr>
        <w:rPr>
          <w:rFonts w:cs="Times New Roman"/>
          <w:szCs w:val="24"/>
        </w:rPr>
        <w:sectPr w:rsidR="00693CE2" w:rsidSect="00AF30CB">
          <w:headerReference w:type="first" r:id="rId14"/>
          <w:footerReference w:type="first" r:id="rId15"/>
          <w:pgSz w:w="12240" w:h="15840"/>
          <w:pgMar w:top="1440" w:right="1440" w:bottom="1728" w:left="1440" w:header="720" w:footer="720" w:gutter="0"/>
          <w:cols w:space="720"/>
          <w:titlePg/>
          <w:docGrid w:linePitch="360"/>
        </w:sectPr>
      </w:pPr>
    </w:p>
    <w:p w14:paraId="12C9A632" w14:textId="77777777" w:rsidR="00693CE2" w:rsidRDefault="00693CE2" w:rsidP="00693CE2">
      <w:pPr>
        <w:pStyle w:val="Tabletitle"/>
      </w:pPr>
      <w:bookmarkStart w:id="5" w:name="_Toc130365565"/>
      <w:r w:rsidRPr="00B81130">
        <w:t>Table 5.2.</w:t>
      </w:r>
      <w:r w:rsidRPr="00CD53F8">
        <w:rPr>
          <w:b/>
        </w:rPr>
        <w:t xml:space="preserve"> </w:t>
      </w:r>
      <w:r w:rsidRPr="00CD53F8">
        <w:t xml:space="preserve">Otolith core and freshwater (FW) values for </w:t>
      </w:r>
      <w:r w:rsidRPr="00CD53F8">
        <w:rPr>
          <w:vertAlign w:val="superscript"/>
        </w:rPr>
        <w:t>87</w:t>
      </w:r>
      <w:r w:rsidRPr="00CD53F8">
        <w:t>Sr/</w:t>
      </w:r>
      <w:r w:rsidRPr="00CD53F8">
        <w:rPr>
          <w:vertAlign w:val="superscript"/>
        </w:rPr>
        <w:t>86</w:t>
      </w:r>
      <w:r w:rsidRPr="00CD53F8">
        <w:t>Sr and elemental ratios for adult pink salmon captured in Northern Alaska (NAK) and Prince William Sound (PWS).</w:t>
      </w:r>
      <w:bookmarkEnd w:id="5"/>
    </w:p>
    <w:tbl>
      <w:tblPr>
        <w:tblW w:w="12672" w:type="dxa"/>
        <w:tblCellMar>
          <w:top w:w="58" w:type="dxa"/>
          <w:left w:w="58" w:type="dxa"/>
          <w:bottom w:w="58" w:type="dxa"/>
          <w:right w:w="58" w:type="dxa"/>
        </w:tblCellMar>
        <w:tblLook w:val="04A0" w:firstRow="1" w:lastRow="0" w:firstColumn="1" w:lastColumn="0" w:noHBand="0" w:noVBand="1"/>
      </w:tblPr>
      <w:tblGrid>
        <w:gridCol w:w="1064"/>
        <w:gridCol w:w="1422"/>
        <w:gridCol w:w="914"/>
        <w:gridCol w:w="773"/>
        <w:gridCol w:w="951"/>
        <w:gridCol w:w="816"/>
        <w:gridCol w:w="450"/>
        <w:gridCol w:w="148"/>
        <w:gridCol w:w="482"/>
        <w:gridCol w:w="720"/>
        <w:gridCol w:w="630"/>
        <w:gridCol w:w="734"/>
        <w:gridCol w:w="416"/>
        <w:gridCol w:w="638"/>
        <w:gridCol w:w="666"/>
        <w:gridCol w:w="666"/>
        <w:gridCol w:w="724"/>
        <w:gridCol w:w="458"/>
      </w:tblGrid>
      <w:tr w:rsidR="00693CE2" w:rsidRPr="009B0513" w14:paraId="6ABC02D3" w14:textId="77777777" w:rsidTr="00A927AE">
        <w:trPr>
          <w:trHeight w:val="300"/>
        </w:trPr>
        <w:tc>
          <w:tcPr>
            <w:tcW w:w="1064" w:type="dxa"/>
            <w:tcBorders>
              <w:top w:val="single" w:sz="4" w:space="0" w:color="auto"/>
              <w:bottom w:val="single" w:sz="4" w:space="0" w:color="auto"/>
            </w:tcBorders>
            <w:noWrap/>
            <w:vAlign w:val="bottom"/>
            <w:hideMark/>
          </w:tcPr>
          <w:p w14:paraId="5CF995E4" w14:textId="77777777" w:rsidR="00693CE2" w:rsidRPr="003542CF" w:rsidRDefault="00693CE2" w:rsidP="00A927AE">
            <w:pPr>
              <w:spacing w:line="240" w:lineRule="auto"/>
              <w:ind w:firstLine="0"/>
              <w:rPr>
                <w:rFonts w:eastAsia="Times New Roman" w:cs="Times New Roman"/>
                <w:color w:val="000000"/>
                <w:sz w:val="20"/>
                <w:szCs w:val="20"/>
              </w:rPr>
            </w:pPr>
            <w:r w:rsidRPr="003542CF">
              <w:rPr>
                <w:rFonts w:eastAsia="Times New Roman" w:cs="Times New Roman"/>
                <w:color w:val="000000"/>
                <w:sz w:val="20"/>
                <w:szCs w:val="20"/>
              </w:rPr>
              <w:t> </w:t>
            </w:r>
          </w:p>
        </w:tc>
        <w:tc>
          <w:tcPr>
            <w:tcW w:w="1422" w:type="dxa"/>
            <w:tcBorders>
              <w:top w:val="single" w:sz="4" w:space="0" w:color="auto"/>
              <w:bottom w:val="single" w:sz="4" w:space="0" w:color="auto"/>
            </w:tcBorders>
            <w:noWrap/>
            <w:vAlign w:val="bottom"/>
            <w:hideMark/>
          </w:tcPr>
          <w:p w14:paraId="6DF841D6" w14:textId="77777777" w:rsidR="00693CE2" w:rsidRPr="003542CF" w:rsidRDefault="00693CE2" w:rsidP="00A927AE">
            <w:pPr>
              <w:spacing w:line="240" w:lineRule="auto"/>
              <w:ind w:firstLine="0"/>
              <w:rPr>
                <w:rFonts w:eastAsia="Times New Roman" w:cs="Times New Roman"/>
                <w:color w:val="000000"/>
                <w:sz w:val="20"/>
                <w:szCs w:val="20"/>
              </w:rPr>
            </w:pPr>
            <w:r w:rsidRPr="003542CF">
              <w:rPr>
                <w:rFonts w:eastAsia="Times New Roman" w:cs="Times New Roman"/>
                <w:color w:val="000000"/>
                <w:sz w:val="20"/>
                <w:szCs w:val="20"/>
              </w:rPr>
              <w:t> </w:t>
            </w:r>
          </w:p>
        </w:tc>
        <w:tc>
          <w:tcPr>
            <w:tcW w:w="4052" w:type="dxa"/>
            <w:gridSpan w:val="6"/>
            <w:tcBorders>
              <w:top w:val="single" w:sz="4" w:space="0" w:color="auto"/>
              <w:bottom w:val="single" w:sz="4" w:space="0" w:color="auto"/>
            </w:tcBorders>
            <w:noWrap/>
            <w:vAlign w:val="center"/>
            <w:hideMark/>
          </w:tcPr>
          <w:p w14:paraId="6802B22A"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vertAlign w:val="superscript"/>
              </w:rPr>
              <w:t>87</w:t>
            </w:r>
            <w:r w:rsidRPr="003542CF">
              <w:rPr>
                <w:rFonts w:eastAsia="Times New Roman" w:cs="Times New Roman"/>
                <w:sz w:val="20"/>
                <w:szCs w:val="20"/>
              </w:rPr>
              <w:t>Sr/</w:t>
            </w:r>
            <w:r w:rsidRPr="003542CF">
              <w:rPr>
                <w:rFonts w:eastAsia="Times New Roman" w:cs="Times New Roman"/>
                <w:sz w:val="20"/>
                <w:szCs w:val="20"/>
                <w:vertAlign w:val="superscript"/>
              </w:rPr>
              <w:t>86</w:t>
            </w:r>
            <w:r w:rsidRPr="003542CF">
              <w:rPr>
                <w:rFonts w:eastAsia="Times New Roman" w:cs="Times New Roman"/>
                <w:sz w:val="20"/>
                <w:szCs w:val="20"/>
              </w:rPr>
              <w:t>Sr</w:t>
            </w:r>
          </w:p>
        </w:tc>
        <w:tc>
          <w:tcPr>
            <w:tcW w:w="2982" w:type="dxa"/>
            <w:gridSpan w:val="5"/>
            <w:tcBorders>
              <w:top w:val="single" w:sz="4" w:space="0" w:color="auto"/>
              <w:bottom w:val="single" w:sz="4" w:space="0" w:color="auto"/>
            </w:tcBorders>
            <w:noWrap/>
            <w:vAlign w:val="center"/>
            <w:hideMark/>
          </w:tcPr>
          <w:p w14:paraId="4A79E62D"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Sr/Ca (mmol/mol)</w:t>
            </w:r>
          </w:p>
        </w:tc>
        <w:tc>
          <w:tcPr>
            <w:tcW w:w="3152" w:type="dxa"/>
            <w:gridSpan w:val="5"/>
            <w:tcBorders>
              <w:top w:val="single" w:sz="4" w:space="0" w:color="auto"/>
              <w:bottom w:val="single" w:sz="4" w:space="0" w:color="auto"/>
            </w:tcBorders>
            <w:noWrap/>
            <w:vAlign w:val="center"/>
            <w:hideMark/>
          </w:tcPr>
          <w:p w14:paraId="41801BEC"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Ba/Ca (µmol/mol)</w:t>
            </w:r>
          </w:p>
        </w:tc>
      </w:tr>
      <w:tr w:rsidR="00693CE2" w:rsidRPr="009B0513" w14:paraId="3DC8D95A" w14:textId="77777777" w:rsidTr="00A927AE">
        <w:trPr>
          <w:trHeight w:val="288"/>
        </w:trPr>
        <w:tc>
          <w:tcPr>
            <w:tcW w:w="1064" w:type="dxa"/>
            <w:tcBorders>
              <w:top w:val="single" w:sz="4" w:space="0" w:color="auto"/>
              <w:bottom w:val="single" w:sz="4" w:space="0" w:color="auto"/>
            </w:tcBorders>
            <w:noWrap/>
            <w:vAlign w:val="center"/>
            <w:hideMark/>
          </w:tcPr>
          <w:p w14:paraId="49C54D8A"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Region</w:t>
            </w:r>
          </w:p>
        </w:tc>
        <w:tc>
          <w:tcPr>
            <w:tcW w:w="1422" w:type="dxa"/>
            <w:tcBorders>
              <w:top w:val="nil"/>
              <w:bottom w:val="single" w:sz="4" w:space="0" w:color="auto"/>
            </w:tcBorders>
            <w:noWrap/>
            <w:vAlign w:val="center"/>
            <w:hideMark/>
          </w:tcPr>
          <w:p w14:paraId="313C8EC3"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Site</w:t>
            </w:r>
          </w:p>
        </w:tc>
        <w:tc>
          <w:tcPr>
            <w:tcW w:w="914" w:type="dxa"/>
            <w:tcBorders>
              <w:top w:val="nil"/>
              <w:bottom w:val="single" w:sz="4" w:space="0" w:color="auto"/>
            </w:tcBorders>
            <w:noWrap/>
            <w:vAlign w:val="center"/>
            <w:hideMark/>
          </w:tcPr>
          <w:p w14:paraId="7B3D8A54"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Core</w:t>
            </w:r>
          </w:p>
        </w:tc>
        <w:tc>
          <w:tcPr>
            <w:tcW w:w="773" w:type="dxa"/>
            <w:tcBorders>
              <w:top w:val="nil"/>
              <w:bottom w:val="single" w:sz="4" w:space="0" w:color="auto"/>
            </w:tcBorders>
            <w:noWrap/>
            <w:vAlign w:val="center"/>
            <w:hideMark/>
          </w:tcPr>
          <w:p w14:paraId="02F0C144"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951" w:type="dxa"/>
            <w:tcBorders>
              <w:top w:val="nil"/>
              <w:bottom w:val="single" w:sz="4" w:space="0" w:color="auto"/>
            </w:tcBorders>
            <w:noWrap/>
            <w:vAlign w:val="center"/>
            <w:hideMark/>
          </w:tcPr>
          <w:p w14:paraId="6932EDD8"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FW</w:t>
            </w:r>
          </w:p>
        </w:tc>
        <w:tc>
          <w:tcPr>
            <w:tcW w:w="816" w:type="dxa"/>
            <w:tcBorders>
              <w:top w:val="nil"/>
              <w:bottom w:val="single" w:sz="4" w:space="0" w:color="auto"/>
            </w:tcBorders>
            <w:noWrap/>
            <w:vAlign w:val="center"/>
            <w:hideMark/>
          </w:tcPr>
          <w:p w14:paraId="61DB74C0"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450" w:type="dxa"/>
            <w:tcBorders>
              <w:top w:val="nil"/>
              <w:bottom w:val="single" w:sz="4" w:space="0" w:color="auto"/>
            </w:tcBorders>
            <w:noWrap/>
            <w:vAlign w:val="center"/>
            <w:hideMark/>
          </w:tcPr>
          <w:p w14:paraId="3B1ACF34"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n</w:t>
            </w:r>
          </w:p>
        </w:tc>
        <w:tc>
          <w:tcPr>
            <w:tcW w:w="630" w:type="dxa"/>
            <w:gridSpan w:val="2"/>
            <w:tcBorders>
              <w:top w:val="nil"/>
              <w:bottom w:val="single" w:sz="4" w:space="0" w:color="auto"/>
            </w:tcBorders>
            <w:noWrap/>
            <w:vAlign w:val="center"/>
            <w:hideMark/>
          </w:tcPr>
          <w:p w14:paraId="0E8BD57C"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Core</w:t>
            </w:r>
          </w:p>
        </w:tc>
        <w:tc>
          <w:tcPr>
            <w:tcW w:w="720" w:type="dxa"/>
            <w:tcBorders>
              <w:top w:val="nil"/>
              <w:bottom w:val="single" w:sz="4" w:space="0" w:color="auto"/>
            </w:tcBorders>
            <w:noWrap/>
            <w:vAlign w:val="center"/>
            <w:hideMark/>
          </w:tcPr>
          <w:p w14:paraId="2589B67D"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630" w:type="dxa"/>
            <w:tcBorders>
              <w:top w:val="nil"/>
              <w:bottom w:val="single" w:sz="4" w:space="0" w:color="auto"/>
            </w:tcBorders>
            <w:noWrap/>
            <w:vAlign w:val="center"/>
            <w:hideMark/>
          </w:tcPr>
          <w:p w14:paraId="2F2A94FB"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FW</w:t>
            </w:r>
          </w:p>
        </w:tc>
        <w:tc>
          <w:tcPr>
            <w:tcW w:w="734" w:type="dxa"/>
            <w:tcBorders>
              <w:top w:val="nil"/>
              <w:bottom w:val="single" w:sz="4" w:space="0" w:color="auto"/>
            </w:tcBorders>
            <w:noWrap/>
            <w:vAlign w:val="center"/>
            <w:hideMark/>
          </w:tcPr>
          <w:p w14:paraId="0FA2242C"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416" w:type="dxa"/>
            <w:tcBorders>
              <w:top w:val="nil"/>
              <w:bottom w:val="single" w:sz="4" w:space="0" w:color="auto"/>
            </w:tcBorders>
            <w:noWrap/>
            <w:vAlign w:val="center"/>
            <w:hideMark/>
          </w:tcPr>
          <w:p w14:paraId="5A526E4B"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n</w:t>
            </w:r>
          </w:p>
        </w:tc>
        <w:tc>
          <w:tcPr>
            <w:tcW w:w="638" w:type="dxa"/>
            <w:tcBorders>
              <w:top w:val="nil"/>
              <w:bottom w:val="single" w:sz="4" w:space="0" w:color="auto"/>
            </w:tcBorders>
            <w:noWrap/>
            <w:vAlign w:val="center"/>
            <w:hideMark/>
          </w:tcPr>
          <w:p w14:paraId="275E29EF"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Core</w:t>
            </w:r>
          </w:p>
        </w:tc>
        <w:tc>
          <w:tcPr>
            <w:tcW w:w="666" w:type="dxa"/>
            <w:tcBorders>
              <w:top w:val="nil"/>
              <w:bottom w:val="single" w:sz="4" w:space="0" w:color="auto"/>
            </w:tcBorders>
            <w:noWrap/>
            <w:vAlign w:val="center"/>
            <w:hideMark/>
          </w:tcPr>
          <w:p w14:paraId="627B84DF"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666" w:type="dxa"/>
            <w:tcBorders>
              <w:top w:val="nil"/>
              <w:bottom w:val="single" w:sz="4" w:space="0" w:color="auto"/>
            </w:tcBorders>
            <w:noWrap/>
            <w:vAlign w:val="center"/>
            <w:hideMark/>
          </w:tcPr>
          <w:p w14:paraId="37A5510E"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FW</w:t>
            </w:r>
          </w:p>
        </w:tc>
        <w:tc>
          <w:tcPr>
            <w:tcW w:w="724" w:type="dxa"/>
            <w:tcBorders>
              <w:top w:val="nil"/>
              <w:bottom w:val="single" w:sz="4" w:space="0" w:color="auto"/>
            </w:tcBorders>
            <w:noWrap/>
            <w:vAlign w:val="center"/>
            <w:hideMark/>
          </w:tcPr>
          <w:p w14:paraId="5C234B18"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color w:val="000000"/>
                <w:sz w:val="20"/>
                <w:szCs w:val="20"/>
                <w:u w:val="single"/>
              </w:rPr>
              <w:t>+</w:t>
            </w:r>
            <w:r w:rsidRPr="003542CF">
              <w:rPr>
                <w:rFonts w:eastAsia="Times New Roman" w:cs="Times New Roman"/>
                <w:color w:val="000000"/>
                <w:sz w:val="20"/>
                <w:szCs w:val="20"/>
              </w:rPr>
              <w:t>1 SD</w:t>
            </w:r>
          </w:p>
        </w:tc>
        <w:tc>
          <w:tcPr>
            <w:tcW w:w="458" w:type="dxa"/>
            <w:tcBorders>
              <w:top w:val="nil"/>
              <w:bottom w:val="single" w:sz="4" w:space="0" w:color="auto"/>
            </w:tcBorders>
            <w:noWrap/>
            <w:vAlign w:val="center"/>
            <w:hideMark/>
          </w:tcPr>
          <w:p w14:paraId="5104BCB9" w14:textId="77777777" w:rsidR="00693CE2" w:rsidRPr="003542CF" w:rsidRDefault="00693CE2" w:rsidP="00A927AE">
            <w:pPr>
              <w:spacing w:line="240" w:lineRule="auto"/>
              <w:ind w:firstLine="0"/>
              <w:jc w:val="center"/>
              <w:rPr>
                <w:rFonts w:eastAsia="Times New Roman" w:cs="Times New Roman"/>
                <w:sz w:val="20"/>
                <w:szCs w:val="20"/>
              </w:rPr>
            </w:pPr>
            <w:r w:rsidRPr="003542CF">
              <w:rPr>
                <w:rFonts w:eastAsia="Times New Roman" w:cs="Times New Roman"/>
                <w:sz w:val="20"/>
                <w:szCs w:val="20"/>
              </w:rPr>
              <w:t>n</w:t>
            </w:r>
          </w:p>
        </w:tc>
      </w:tr>
      <w:tr w:rsidR="00693CE2" w:rsidRPr="003542CF" w14:paraId="35D9D674" w14:textId="77777777" w:rsidTr="00A927AE">
        <w:trPr>
          <w:trHeight w:val="350"/>
        </w:trPr>
        <w:tc>
          <w:tcPr>
            <w:tcW w:w="1064" w:type="dxa"/>
            <w:vMerge w:val="restart"/>
            <w:tcBorders>
              <w:top w:val="single" w:sz="4" w:space="0" w:color="auto"/>
              <w:bottom w:val="single" w:sz="4" w:space="0" w:color="auto"/>
            </w:tcBorders>
            <w:noWrap/>
            <w:vAlign w:val="center"/>
            <w:hideMark/>
          </w:tcPr>
          <w:p w14:paraId="5D472ADC" w14:textId="77777777" w:rsidR="00693CE2" w:rsidRPr="003542CF" w:rsidRDefault="00693CE2" w:rsidP="00A927AE">
            <w:pPr>
              <w:spacing w:line="240" w:lineRule="auto"/>
              <w:ind w:firstLine="0"/>
              <w:jc w:val="center"/>
              <w:rPr>
                <w:rFonts w:eastAsia="Times New Roman" w:cs="Times New Roman"/>
                <w:color w:val="000000"/>
                <w:sz w:val="20"/>
                <w:szCs w:val="20"/>
              </w:rPr>
            </w:pPr>
            <w:r w:rsidRPr="003542CF">
              <w:rPr>
                <w:rFonts w:eastAsia="Times New Roman" w:cs="Times New Roman"/>
                <w:color w:val="000000"/>
                <w:sz w:val="20"/>
                <w:szCs w:val="20"/>
              </w:rPr>
              <w:t>Northern AK (NAK)</w:t>
            </w:r>
          </w:p>
        </w:tc>
        <w:tc>
          <w:tcPr>
            <w:tcW w:w="1422" w:type="dxa"/>
            <w:tcBorders>
              <w:top w:val="single" w:sz="4" w:space="0" w:color="auto"/>
            </w:tcBorders>
            <w:noWrap/>
            <w:vAlign w:val="center"/>
            <w:hideMark/>
          </w:tcPr>
          <w:p w14:paraId="0E44199C" w14:textId="77777777" w:rsidR="00693CE2" w:rsidRPr="003542CF" w:rsidRDefault="00693CE2" w:rsidP="00A927AE">
            <w:pPr>
              <w:spacing w:line="240" w:lineRule="auto"/>
              <w:ind w:firstLine="0"/>
              <w:jc w:val="center"/>
              <w:rPr>
                <w:rFonts w:eastAsia="Times New Roman" w:cs="Times New Roman"/>
                <w:color w:val="000000"/>
                <w:sz w:val="20"/>
                <w:szCs w:val="20"/>
              </w:rPr>
            </w:pPr>
            <w:r w:rsidRPr="003542CF">
              <w:rPr>
                <w:rFonts w:eastAsia="Times New Roman" w:cs="Times New Roman"/>
                <w:color w:val="000000"/>
                <w:sz w:val="20"/>
                <w:szCs w:val="20"/>
              </w:rPr>
              <w:t>Camp 99</w:t>
            </w:r>
          </w:p>
        </w:tc>
        <w:tc>
          <w:tcPr>
            <w:tcW w:w="914" w:type="dxa"/>
            <w:tcBorders>
              <w:top w:val="single" w:sz="4" w:space="0" w:color="auto"/>
            </w:tcBorders>
            <w:noWrap/>
            <w:vAlign w:val="center"/>
            <w:hideMark/>
          </w:tcPr>
          <w:p w14:paraId="6597276C"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0.70918</w:t>
            </w:r>
          </w:p>
        </w:tc>
        <w:tc>
          <w:tcPr>
            <w:tcW w:w="773" w:type="dxa"/>
            <w:tcBorders>
              <w:top w:val="single" w:sz="4" w:space="0" w:color="auto"/>
            </w:tcBorders>
            <w:noWrap/>
            <w:vAlign w:val="center"/>
            <w:hideMark/>
          </w:tcPr>
          <w:p w14:paraId="72D04B73"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0.0004</w:t>
            </w:r>
          </w:p>
        </w:tc>
        <w:tc>
          <w:tcPr>
            <w:tcW w:w="951" w:type="dxa"/>
            <w:tcBorders>
              <w:top w:val="single" w:sz="4" w:space="0" w:color="auto"/>
            </w:tcBorders>
            <w:noWrap/>
            <w:vAlign w:val="center"/>
            <w:hideMark/>
          </w:tcPr>
          <w:p w14:paraId="3BEB663A"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0.70910</w:t>
            </w:r>
          </w:p>
        </w:tc>
        <w:tc>
          <w:tcPr>
            <w:tcW w:w="816" w:type="dxa"/>
            <w:tcBorders>
              <w:top w:val="single" w:sz="4" w:space="0" w:color="auto"/>
            </w:tcBorders>
            <w:noWrap/>
            <w:vAlign w:val="center"/>
            <w:hideMark/>
          </w:tcPr>
          <w:p w14:paraId="50BD84D4"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0.0008</w:t>
            </w:r>
          </w:p>
        </w:tc>
        <w:tc>
          <w:tcPr>
            <w:tcW w:w="450" w:type="dxa"/>
            <w:tcBorders>
              <w:top w:val="single" w:sz="4" w:space="0" w:color="auto"/>
            </w:tcBorders>
            <w:noWrap/>
            <w:vAlign w:val="center"/>
            <w:hideMark/>
          </w:tcPr>
          <w:p w14:paraId="119D96FB"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14</w:t>
            </w:r>
          </w:p>
        </w:tc>
        <w:tc>
          <w:tcPr>
            <w:tcW w:w="630" w:type="dxa"/>
            <w:gridSpan w:val="2"/>
            <w:tcBorders>
              <w:top w:val="single" w:sz="4" w:space="0" w:color="auto"/>
            </w:tcBorders>
            <w:noWrap/>
            <w:vAlign w:val="center"/>
            <w:hideMark/>
          </w:tcPr>
          <w:p w14:paraId="65B5C61E"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1.91</w:t>
            </w:r>
          </w:p>
        </w:tc>
        <w:tc>
          <w:tcPr>
            <w:tcW w:w="720" w:type="dxa"/>
            <w:tcBorders>
              <w:top w:val="single" w:sz="4" w:space="0" w:color="auto"/>
            </w:tcBorders>
            <w:noWrap/>
            <w:vAlign w:val="center"/>
            <w:hideMark/>
          </w:tcPr>
          <w:p w14:paraId="097E49D0"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0.21</w:t>
            </w:r>
          </w:p>
        </w:tc>
        <w:tc>
          <w:tcPr>
            <w:tcW w:w="630" w:type="dxa"/>
            <w:tcBorders>
              <w:top w:val="single" w:sz="4" w:space="0" w:color="auto"/>
            </w:tcBorders>
            <w:noWrap/>
            <w:vAlign w:val="center"/>
            <w:hideMark/>
          </w:tcPr>
          <w:p w14:paraId="4CE26D07"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1.59</w:t>
            </w:r>
          </w:p>
        </w:tc>
        <w:tc>
          <w:tcPr>
            <w:tcW w:w="734" w:type="dxa"/>
            <w:tcBorders>
              <w:top w:val="single" w:sz="4" w:space="0" w:color="auto"/>
            </w:tcBorders>
            <w:noWrap/>
            <w:vAlign w:val="center"/>
            <w:hideMark/>
          </w:tcPr>
          <w:p w14:paraId="257D95CA"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0.21</w:t>
            </w:r>
          </w:p>
        </w:tc>
        <w:tc>
          <w:tcPr>
            <w:tcW w:w="416" w:type="dxa"/>
            <w:tcBorders>
              <w:top w:val="single" w:sz="4" w:space="0" w:color="auto"/>
            </w:tcBorders>
            <w:noWrap/>
            <w:vAlign w:val="center"/>
            <w:hideMark/>
          </w:tcPr>
          <w:p w14:paraId="5DE81D9A"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6</w:t>
            </w:r>
          </w:p>
        </w:tc>
        <w:tc>
          <w:tcPr>
            <w:tcW w:w="638" w:type="dxa"/>
            <w:tcBorders>
              <w:top w:val="single" w:sz="4" w:space="0" w:color="auto"/>
            </w:tcBorders>
            <w:noWrap/>
            <w:vAlign w:val="center"/>
            <w:hideMark/>
          </w:tcPr>
          <w:p w14:paraId="2CC49821"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6.98</w:t>
            </w:r>
          </w:p>
        </w:tc>
        <w:tc>
          <w:tcPr>
            <w:tcW w:w="666" w:type="dxa"/>
            <w:tcBorders>
              <w:top w:val="single" w:sz="4" w:space="0" w:color="auto"/>
            </w:tcBorders>
            <w:noWrap/>
            <w:vAlign w:val="center"/>
            <w:hideMark/>
          </w:tcPr>
          <w:p w14:paraId="0D0CF525"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2.75</w:t>
            </w:r>
          </w:p>
        </w:tc>
        <w:tc>
          <w:tcPr>
            <w:tcW w:w="666" w:type="dxa"/>
            <w:tcBorders>
              <w:top w:val="single" w:sz="4" w:space="0" w:color="auto"/>
            </w:tcBorders>
            <w:noWrap/>
            <w:vAlign w:val="center"/>
            <w:hideMark/>
          </w:tcPr>
          <w:p w14:paraId="45254709"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10.1</w:t>
            </w:r>
          </w:p>
        </w:tc>
        <w:tc>
          <w:tcPr>
            <w:tcW w:w="724" w:type="dxa"/>
            <w:tcBorders>
              <w:top w:val="single" w:sz="4" w:space="0" w:color="auto"/>
            </w:tcBorders>
            <w:noWrap/>
            <w:vAlign w:val="center"/>
            <w:hideMark/>
          </w:tcPr>
          <w:p w14:paraId="4222FFC2"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4.44</w:t>
            </w:r>
          </w:p>
        </w:tc>
        <w:tc>
          <w:tcPr>
            <w:tcW w:w="458" w:type="dxa"/>
            <w:tcBorders>
              <w:top w:val="single" w:sz="4" w:space="0" w:color="auto"/>
            </w:tcBorders>
            <w:noWrap/>
            <w:vAlign w:val="center"/>
            <w:hideMark/>
          </w:tcPr>
          <w:p w14:paraId="53BA86FF" w14:textId="77777777" w:rsidR="00693CE2" w:rsidRPr="003542CF" w:rsidRDefault="00693CE2" w:rsidP="00A927AE">
            <w:pPr>
              <w:spacing w:line="240" w:lineRule="auto"/>
              <w:ind w:firstLine="0"/>
              <w:jc w:val="right"/>
              <w:rPr>
                <w:rFonts w:eastAsia="Times New Roman" w:cs="Times New Roman"/>
                <w:color w:val="000000"/>
                <w:sz w:val="20"/>
                <w:szCs w:val="20"/>
              </w:rPr>
            </w:pPr>
            <w:r w:rsidRPr="003542CF">
              <w:rPr>
                <w:rFonts w:eastAsia="Times New Roman" w:cs="Times New Roman"/>
                <w:color w:val="000000"/>
                <w:sz w:val="20"/>
                <w:szCs w:val="20"/>
              </w:rPr>
              <w:t>6</w:t>
            </w:r>
          </w:p>
        </w:tc>
      </w:tr>
      <w:tr w:rsidR="00693CE2" w:rsidRPr="009B0513" w14:paraId="48BFC409" w14:textId="77777777" w:rsidTr="00A927AE">
        <w:trPr>
          <w:trHeight w:val="368"/>
        </w:trPr>
        <w:tc>
          <w:tcPr>
            <w:tcW w:w="1064" w:type="dxa"/>
            <w:vMerge/>
            <w:tcBorders>
              <w:top w:val="single" w:sz="4" w:space="0" w:color="auto"/>
              <w:bottom w:val="single" w:sz="4" w:space="0" w:color="auto"/>
            </w:tcBorders>
            <w:vAlign w:val="center"/>
            <w:hideMark/>
          </w:tcPr>
          <w:p w14:paraId="0104F69D"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tcBorders>
            <w:noWrap/>
            <w:vAlign w:val="center"/>
            <w:hideMark/>
          </w:tcPr>
          <w:p w14:paraId="367589AD"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color w:val="000000"/>
                <w:sz w:val="20"/>
                <w:szCs w:val="20"/>
              </w:rPr>
              <w:t>Elson Lagoon</w:t>
            </w:r>
          </w:p>
        </w:tc>
        <w:tc>
          <w:tcPr>
            <w:tcW w:w="914" w:type="dxa"/>
            <w:tcBorders>
              <w:top w:val="nil"/>
            </w:tcBorders>
            <w:noWrap/>
            <w:vAlign w:val="center"/>
            <w:hideMark/>
          </w:tcPr>
          <w:p w14:paraId="562F84D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0.70894</w:t>
            </w:r>
          </w:p>
        </w:tc>
        <w:tc>
          <w:tcPr>
            <w:tcW w:w="773" w:type="dxa"/>
            <w:tcBorders>
              <w:top w:val="nil"/>
            </w:tcBorders>
            <w:noWrap/>
            <w:vAlign w:val="center"/>
            <w:hideMark/>
          </w:tcPr>
          <w:p w14:paraId="780927D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0.0004</w:t>
            </w:r>
          </w:p>
        </w:tc>
        <w:tc>
          <w:tcPr>
            <w:tcW w:w="951" w:type="dxa"/>
            <w:tcBorders>
              <w:top w:val="nil"/>
            </w:tcBorders>
            <w:noWrap/>
            <w:vAlign w:val="center"/>
            <w:hideMark/>
          </w:tcPr>
          <w:p w14:paraId="124A523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0.70874</w:t>
            </w:r>
          </w:p>
        </w:tc>
        <w:tc>
          <w:tcPr>
            <w:tcW w:w="816" w:type="dxa"/>
            <w:tcBorders>
              <w:top w:val="nil"/>
            </w:tcBorders>
            <w:noWrap/>
            <w:vAlign w:val="center"/>
            <w:hideMark/>
          </w:tcPr>
          <w:p w14:paraId="48413CE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0.0007</w:t>
            </w:r>
          </w:p>
        </w:tc>
        <w:tc>
          <w:tcPr>
            <w:tcW w:w="450" w:type="dxa"/>
            <w:tcBorders>
              <w:top w:val="nil"/>
            </w:tcBorders>
            <w:noWrap/>
            <w:vAlign w:val="center"/>
            <w:hideMark/>
          </w:tcPr>
          <w:p w14:paraId="09CB69B4"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83</w:t>
            </w:r>
          </w:p>
        </w:tc>
        <w:tc>
          <w:tcPr>
            <w:tcW w:w="630" w:type="dxa"/>
            <w:gridSpan w:val="2"/>
            <w:tcBorders>
              <w:top w:val="nil"/>
            </w:tcBorders>
            <w:noWrap/>
            <w:vAlign w:val="center"/>
            <w:hideMark/>
          </w:tcPr>
          <w:p w14:paraId="5BA2DFC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2.22 </w:t>
            </w:r>
          </w:p>
        </w:tc>
        <w:tc>
          <w:tcPr>
            <w:tcW w:w="720" w:type="dxa"/>
            <w:tcBorders>
              <w:top w:val="nil"/>
            </w:tcBorders>
            <w:noWrap/>
            <w:vAlign w:val="center"/>
            <w:hideMark/>
          </w:tcPr>
          <w:p w14:paraId="1270AB4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0.44</w:t>
            </w:r>
          </w:p>
        </w:tc>
        <w:tc>
          <w:tcPr>
            <w:tcW w:w="630" w:type="dxa"/>
            <w:tcBorders>
              <w:top w:val="nil"/>
            </w:tcBorders>
            <w:noWrap/>
            <w:vAlign w:val="center"/>
            <w:hideMark/>
          </w:tcPr>
          <w:p w14:paraId="076729D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1.99</w:t>
            </w:r>
          </w:p>
        </w:tc>
        <w:tc>
          <w:tcPr>
            <w:tcW w:w="734" w:type="dxa"/>
            <w:tcBorders>
              <w:top w:val="nil"/>
            </w:tcBorders>
            <w:noWrap/>
            <w:vAlign w:val="center"/>
            <w:hideMark/>
          </w:tcPr>
          <w:p w14:paraId="1BBD0AA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0.43</w:t>
            </w:r>
          </w:p>
        </w:tc>
        <w:tc>
          <w:tcPr>
            <w:tcW w:w="416" w:type="dxa"/>
            <w:tcBorders>
              <w:top w:val="nil"/>
            </w:tcBorders>
            <w:noWrap/>
            <w:vAlign w:val="center"/>
            <w:hideMark/>
          </w:tcPr>
          <w:p w14:paraId="3E4E719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58</w:t>
            </w:r>
          </w:p>
        </w:tc>
        <w:tc>
          <w:tcPr>
            <w:tcW w:w="638" w:type="dxa"/>
            <w:tcBorders>
              <w:top w:val="nil"/>
            </w:tcBorders>
            <w:noWrap/>
            <w:vAlign w:val="center"/>
            <w:hideMark/>
          </w:tcPr>
          <w:p w14:paraId="6267E420"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8.27</w:t>
            </w:r>
          </w:p>
        </w:tc>
        <w:tc>
          <w:tcPr>
            <w:tcW w:w="666" w:type="dxa"/>
            <w:tcBorders>
              <w:top w:val="nil"/>
            </w:tcBorders>
            <w:noWrap/>
            <w:vAlign w:val="center"/>
            <w:hideMark/>
          </w:tcPr>
          <w:p w14:paraId="46A783A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4.26</w:t>
            </w:r>
          </w:p>
        </w:tc>
        <w:tc>
          <w:tcPr>
            <w:tcW w:w="666" w:type="dxa"/>
            <w:tcBorders>
              <w:top w:val="nil"/>
            </w:tcBorders>
            <w:noWrap/>
            <w:vAlign w:val="center"/>
            <w:hideMark/>
          </w:tcPr>
          <w:p w14:paraId="23728A51"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12.7</w:t>
            </w:r>
          </w:p>
        </w:tc>
        <w:tc>
          <w:tcPr>
            <w:tcW w:w="724" w:type="dxa"/>
            <w:tcBorders>
              <w:top w:val="nil"/>
            </w:tcBorders>
            <w:noWrap/>
            <w:vAlign w:val="center"/>
            <w:hideMark/>
          </w:tcPr>
          <w:p w14:paraId="7C31076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6.91</w:t>
            </w:r>
          </w:p>
        </w:tc>
        <w:tc>
          <w:tcPr>
            <w:tcW w:w="458" w:type="dxa"/>
            <w:tcBorders>
              <w:top w:val="nil"/>
            </w:tcBorders>
            <w:noWrap/>
            <w:vAlign w:val="center"/>
            <w:hideMark/>
          </w:tcPr>
          <w:p w14:paraId="7FF72E7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58</w:t>
            </w:r>
          </w:p>
        </w:tc>
      </w:tr>
      <w:tr w:rsidR="00693CE2" w:rsidRPr="009B0513" w14:paraId="2B48722D" w14:textId="77777777" w:rsidTr="00A927AE">
        <w:trPr>
          <w:trHeight w:val="296"/>
        </w:trPr>
        <w:tc>
          <w:tcPr>
            <w:tcW w:w="1064" w:type="dxa"/>
            <w:vMerge/>
            <w:tcBorders>
              <w:top w:val="single" w:sz="4" w:space="0" w:color="auto"/>
              <w:bottom w:val="single" w:sz="4" w:space="0" w:color="auto"/>
            </w:tcBorders>
            <w:vAlign w:val="center"/>
            <w:hideMark/>
          </w:tcPr>
          <w:p w14:paraId="7FD05785"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tcBorders>
            <w:noWrap/>
            <w:vAlign w:val="center"/>
            <w:hideMark/>
          </w:tcPr>
          <w:p w14:paraId="76BA89BE"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color w:val="000000"/>
                <w:sz w:val="20"/>
                <w:szCs w:val="20"/>
              </w:rPr>
              <w:t>Kaktovik</w:t>
            </w:r>
          </w:p>
        </w:tc>
        <w:tc>
          <w:tcPr>
            <w:tcW w:w="914" w:type="dxa"/>
            <w:tcBorders>
              <w:top w:val="nil"/>
            </w:tcBorders>
            <w:noWrap/>
            <w:vAlign w:val="center"/>
            <w:hideMark/>
          </w:tcPr>
          <w:p w14:paraId="6D4324B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0.70875</w:t>
            </w:r>
          </w:p>
        </w:tc>
        <w:tc>
          <w:tcPr>
            <w:tcW w:w="773" w:type="dxa"/>
            <w:tcBorders>
              <w:top w:val="nil"/>
            </w:tcBorders>
            <w:noWrap/>
            <w:vAlign w:val="center"/>
            <w:hideMark/>
          </w:tcPr>
          <w:p w14:paraId="43E5B4C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0.0004</w:t>
            </w:r>
          </w:p>
        </w:tc>
        <w:tc>
          <w:tcPr>
            <w:tcW w:w="951" w:type="dxa"/>
            <w:tcBorders>
              <w:top w:val="nil"/>
            </w:tcBorders>
            <w:noWrap/>
            <w:vAlign w:val="center"/>
            <w:hideMark/>
          </w:tcPr>
          <w:p w14:paraId="5E55778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0.70861</w:t>
            </w:r>
          </w:p>
        </w:tc>
        <w:tc>
          <w:tcPr>
            <w:tcW w:w="816" w:type="dxa"/>
            <w:tcBorders>
              <w:top w:val="nil"/>
            </w:tcBorders>
            <w:noWrap/>
            <w:vAlign w:val="center"/>
            <w:hideMark/>
          </w:tcPr>
          <w:p w14:paraId="0FD7878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0.0004</w:t>
            </w:r>
          </w:p>
        </w:tc>
        <w:tc>
          <w:tcPr>
            <w:tcW w:w="450" w:type="dxa"/>
            <w:tcBorders>
              <w:top w:val="nil"/>
            </w:tcBorders>
            <w:noWrap/>
            <w:vAlign w:val="center"/>
            <w:hideMark/>
          </w:tcPr>
          <w:p w14:paraId="5A7822A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5</w:t>
            </w:r>
          </w:p>
        </w:tc>
        <w:tc>
          <w:tcPr>
            <w:tcW w:w="630" w:type="dxa"/>
            <w:gridSpan w:val="2"/>
            <w:tcBorders>
              <w:top w:val="nil"/>
            </w:tcBorders>
            <w:noWrap/>
            <w:vAlign w:val="center"/>
            <w:hideMark/>
          </w:tcPr>
          <w:p w14:paraId="4DD7741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2.50</w:t>
            </w:r>
          </w:p>
        </w:tc>
        <w:tc>
          <w:tcPr>
            <w:tcW w:w="720" w:type="dxa"/>
            <w:tcBorders>
              <w:top w:val="nil"/>
            </w:tcBorders>
            <w:noWrap/>
            <w:vAlign w:val="center"/>
            <w:hideMark/>
          </w:tcPr>
          <w:p w14:paraId="5D8D21A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0.93</w:t>
            </w:r>
          </w:p>
        </w:tc>
        <w:tc>
          <w:tcPr>
            <w:tcW w:w="630" w:type="dxa"/>
            <w:tcBorders>
              <w:top w:val="nil"/>
            </w:tcBorders>
            <w:noWrap/>
            <w:vAlign w:val="center"/>
            <w:hideMark/>
          </w:tcPr>
          <w:p w14:paraId="0A51875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2.35</w:t>
            </w:r>
          </w:p>
        </w:tc>
        <w:tc>
          <w:tcPr>
            <w:tcW w:w="734" w:type="dxa"/>
            <w:tcBorders>
              <w:top w:val="nil"/>
            </w:tcBorders>
            <w:noWrap/>
            <w:vAlign w:val="center"/>
            <w:hideMark/>
          </w:tcPr>
          <w:p w14:paraId="74C310B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0.98</w:t>
            </w:r>
          </w:p>
        </w:tc>
        <w:tc>
          <w:tcPr>
            <w:tcW w:w="416" w:type="dxa"/>
            <w:tcBorders>
              <w:top w:val="nil"/>
            </w:tcBorders>
            <w:noWrap/>
            <w:vAlign w:val="center"/>
            <w:hideMark/>
          </w:tcPr>
          <w:p w14:paraId="7A65281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5</w:t>
            </w:r>
          </w:p>
        </w:tc>
        <w:tc>
          <w:tcPr>
            <w:tcW w:w="638" w:type="dxa"/>
            <w:tcBorders>
              <w:top w:val="nil"/>
            </w:tcBorders>
            <w:noWrap/>
            <w:vAlign w:val="center"/>
            <w:hideMark/>
          </w:tcPr>
          <w:p w14:paraId="15BF5AD0"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7.88</w:t>
            </w:r>
          </w:p>
        </w:tc>
        <w:tc>
          <w:tcPr>
            <w:tcW w:w="666" w:type="dxa"/>
            <w:tcBorders>
              <w:top w:val="nil"/>
            </w:tcBorders>
            <w:noWrap/>
            <w:vAlign w:val="center"/>
            <w:hideMark/>
          </w:tcPr>
          <w:p w14:paraId="690BA56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1.59</w:t>
            </w:r>
          </w:p>
        </w:tc>
        <w:tc>
          <w:tcPr>
            <w:tcW w:w="666" w:type="dxa"/>
            <w:tcBorders>
              <w:top w:val="nil"/>
            </w:tcBorders>
            <w:noWrap/>
            <w:vAlign w:val="center"/>
            <w:hideMark/>
          </w:tcPr>
          <w:p w14:paraId="7ED5DB20"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7.51</w:t>
            </w:r>
          </w:p>
        </w:tc>
        <w:tc>
          <w:tcPr>
            <w:tcW w:w="724" w:type="dxa"/>
            <w:tcBorders>
              <w:top w:val="nil"/>
            </w:tcBorders>
            <w:noWrap/>
            <w:vAlign w:val="center"/>
            <w:hideMark/>
          </w:tcPr>
          <w:p w14:paraId="6D4451FC"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4.33</w:t>
            </w:r>
          </w:p>
        </w:tc>
        <w:tc>
          <w:tcPr>
            <w:tcW w:w="458" w:type="dxa"/>
            <w:tcBorders>
              <w:top w:val="nil"/>
            </w:tcBorders>
            <w:noWrap/>
            <w:vAlign w:val="center"/>
            <w:hideMark/>
          </w:tcPr>
          <w:p w14:paraId="710A180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5</w:t>
            </w:r>
          </w:p>
        </w:tc>
      </w:tr>
      <w:tr w:rsidR="00693CE2" w:rsidRPr="009B0513" w14:paraId="170AA13C" w14:textId="77777777" w:rsidTr="00A927AE">
        <w:trPr>
          <w:trHeight w:val="323"/>
        </w:trPr>
        <w:tc>
          <w:tcPr>
            <w:tcW w:w="1064" w:type="dxa"/>
            <w:vMerge/>
            <w:tcBorders>
              <w:top w:val="single" w:sz="4" w:space="0" w:color="auto"/>
              <w:bottom w:val="single" w:sz="4" w:space="0" w:color="auto"/>
            </w:tcBorders>
            <w:vAlign w:val="center"/>
            <w:hideMark/>
          </w:tcPr>
          <w:p w14:paraId="1550F3A7"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bottom w:val="single" w:sz="4" w:space="0" w:color="auto"/>
            </w:tcBorders>
            <w:noWrap/>
            <w:vAlign w:val="center"/>
            <w:hideMark/>
          </w:tcPr>
          <w:p w14:paraId="5DA01632"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color w:val="000000"/>
                <w:sz w:val="20"/>
                <w:szCs w:val="20"/>
              </w:rPr>
              <w:t>Point Hope</w:t>
            </w:r>
          </w:p>
        </w:tc>
        <w:tc>
          <w:tcPr>
            <w:tcW w:w="914" w:type="dxa"/>
            <w:tcBorders>
              <w:top w:val="nil"/>
              <w:bottom w:val="single" w:sz="4" w:space="0" w:color="auto"/>
            </w:tcBorders>
            <w:noWrap/>
            <w:vAlign w:val="center"/>
            <w:hideMark/>
          </w:tcPr>
          <w:p w14:paraId="618075C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0.70852</w:t>
            </w:r>
          </w:p>
        </w:tc>
        <w:tc>
          <w:tcPr>
            <w:tcW w:w="773" w:type="dxa"/>
            <w:tcBorders>
              <w:top w:val="nil"/>
              <w:bottom w:val="single" w:sz="4" w:space="0" w:color="auto"/>
            </w:tcBorders>
            <w:noWrap/>
            <w:vAlign w:val="center"/>
            <w:hideMark/>
          </w:tcPr>
          <w:p w14:paraId="1832FF34"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0.0003</w:t>
            </w:r>
          </w:p>
        </w:tc>
        <w:tc>
          <w:tcPr>
            <w:tcW w:w="951" w:type="dxa"/>
            <w:tcBorders>
              <w:top w:val="nil"/>
              <w:bottom w:val="single" w:sz="4" w:space="0" w:color="auto"/>
            </w:tcBorders>
            <w:noWrap/>
            <w:vAlign w:val="center"/>
            <w:hideMark/>
          </w:tcPr>
          <w:p w14:paraId="7775324C"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0.70816</w:t>
            </w:r>
          </w:p>
        </w:tc>
        <w:tc>
          <w:tcPr>
            <w:tcW w:w="816" w:type="dxa"/>
            <w:tcBorders>
              <w:top w:val="nil"/>
              <w:bottom w:val="single" w:sz="4" w:space="0" w:color="auto"/>
            </w:tcBorders>
            <w:noWrap/>
            <w:vAlign w:val="center"/>
            <w:hideMark/>
          </w:tcPr>
          <w:p w14:paraId="6617879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0.0007</w:t>
            </w:r>
          </w:p>
        </w:tc>
        <w:tc>
          <w:tcPr>
            <w:tcW w:w="450" w:type="dxa"/>
            <w:tcBorders>
              <w:top w:val="nil"/>
              <w:bottom w:val="single" w:sz="4" w:space="0" w:color="auto"/>
            </w:tcBorders>
            <w:noWrap/>
            <w:vAlign w:val="center"/>
            <w:hideMark/>
          </w:tcPr>
          <w:p w14:paraId="2FB9A0F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w:t>
            </w:r>
          </w:p>
        </w:tc>
        <w:tc>
          <w:tcPr>
            <w:tcW w:w="630" w:type="dxa"/>
            <w:gridSpan w:val="2"/>
            <w:tcBorders>
              <w:top w:val="nil"/>
              <w:bottom w:val="single" w:sz="4" w:space="0" w:color="auto"/>
            </w:tcBorders>
            <w:noWrap/>
            <w:vAlign w:val="center"/>
            <w:hideMark/>
          </w:tcPr>
          <w:p w14:paraId="7F61204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3.97</w:t>
            </w:r>
          </w:p>
        </w:tc>
        <w:tc>
          <w:tcPr>
            <w:tcW w:w="720" w:type="dxa"/>
            <w:tcBorders>
              <w:top w:val="nil"/>
              <w:bottom w:val="single" w:sz="4" w:space="0" w:color="auto"/>
            </w:tcBorders>
            <w:noWrap/>
            <w:vAlign w:val="center"/>
            <w:hideMark/>
          </w:tcPr>
          <w:p w14:paraId="4C1F7FD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0.84</w:t>
            </w:r>
          </w:p>
        </w:tc>
        <w:tc>
          <w:tcPr>
            <w:tcW w:w="630" w:type="dxa"/>
            <w:tcBorders>
              <w:top w:val="nil"/>
              <w:bottom w:val="single" w:sz="4" w:space="0" w:color="auto"/>
            </w:tcBorders>
            <w:noWrap/>
            <w:vAlign w:val="center"/>
            <w:hideMark/>
          </w:tcPr>
          <w:p w14:paraId="6F77F1F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3.74</w:t>
            </w:r>
          </w:p>
        </w:tc>
        <w:tc>
          <w:tcPr>
            <w:tcW w:w="734" w:type="dxa"/>
            <w:tcBorders>
              <w:top w:val="nil"/>
              <w:bottom w:val="single" w:sz="4" w:space="0" w:color="auto"/>
            </w:tcBorders>
            <w:noWrap/>
            <w:vAlign w:val="center"/>
            <w:hideMark/>
          </w:tcPr>
          <w:p w14:paraId="678A2D3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0.95</w:t>
            </w:r>
          </w:p>
        </w:tc>
        <w:tc>
          <w:tcPr>
            <w:tcW w:w="416" w:type="dxa"/>
            <w:tcBorders>
              <w:top w:val="nil"/>
              <w:bottom w:val="single" w:sz="4" w:space="0" w:color="auto"/>
            </w:tcBorders>
            <w:noWrap/>
            <w:vAlign w:val="center"/>
            <w:hideMark/>
          </w:tcPr>
          <w:p w14:paraId="3AF4FEA1"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w:t>
            </w:r>
          </w:p>
        </w:tc>
        <w:tc>
          <w:tcPr>
            <w:tcW w:w="638" w:type="dxa"/>
            <w:tcBorders>
              <w:top w:val="nil"/>
              <w:bottom w:val="single" w:sz="4" w:space="0" w:color="auto"/>
            </w:tcBorders>
            <w:noWrap/>
            <w:vAlign w:val="center"/>
            <w:hideMark/>
          </w:tcPr>
          <w:p w14:paraId="63D93F0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22.5</w:t>
            </w:r>
          </w:p>
        </w:tc>
        <w:tc>
          <w:tcPr>
            <w:tcW w:w="666" w:type="dxa"/>
            <w:tcBorders>
              <w:top w:val="nil"/>
              <w:bottom w:val="single" w:sz="4" w:space="0" w:color="auto"/>
            </w:tcBorders>
            <w:noWrap/>
            <w:vAlign w:val="center"/>
            <w:hideMark/>
          </w:tcPr>
          <w:p w14:paraId="2054CA6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12.11</w:t>
            </w:r>
          </w:p>
        </w:tc>
        <w:tc>
          <w:tcPr>
            <w:tcW w:w="666" w:type="dxa"/>
            <w:tcBorders>
              <w:top w:val="nil"/>
              <w:bottom w:val="single" w:sz="4" w:space="0" w:color="auto"/>
            </w:tcBorders>
            <w:noWrap/>
            <w:vAlign w:val="center"/>
            <w:hideMark/>
          </w:tcPr>
          <w:p w14:paraId="6FE50AA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16.9</w:t>
            </w:r>
          </w:p>
        </w:tc>
        <w:tc>
          <w:tcPr>
            <w:tcW w:w="724" w:type="dxa"/>
            <w:tcBorders>
              <w:top w:val="nil"/>
              <w:bottom w:val="single" w:sz="4" w:space="0" w:color="auto"/>
            </w:tcBorders>
            <w:noWrap/>
            <w:vAlign w:val="center"/>
            <w:hideMark/>
          </w:tcPr>
          <w:p w14:paraId="40D7C9C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15.4</w:t>
            </w:r>
          </w:p>
        </w:tc>
        <w:tc>
          <w:tcPr>
            <w:tcW w:w="458" w:type="dxa"/>
            <w:tcBorders>
              <w:top w:val="nil"/>
              <w:bottom w:val="single" w:sz="4" w:space="0" w:color="auto"/>
            </w:tcBorders>
            <w:noWrap/>
            <w:vAlign w:val="center"/>
            <w:hideMark/>
          </w:tcPr>
          <w:p w14:paraId="31655214"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w:t>
            </w:r>
          </w:p>
        </w:tc>
      </w:tr>
      <w:tr w:rsidR="00693CE2" w:rsidRPr="009B0513" w14:paraId="26FF3953" w14:textId="77777777" w:rsidTr="00A927AE">
        <w:trPr>
          <w:trHeight w:val="305"/>
        </w:trPr>
        <w:tc>
          <w:tcPr>
            <w:tcW w:w="1064" w:type="dxa"/>
            <w:vMerge/>
            <w:tcBorders>
              <w:top w:val="single" w:sz="4" w:space="0" w:color="auto"/>
              <w:bottom w:val="single" w:sz="4" w:space="0" w:color="auto"/>
            </w:tcBorders>
            <w:vAlign w:val="center"/>
            <w:hideMark/>
          </w:tcPr>
          <w:p w14:paraId="0DD837B8"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bottom w:val="single" w:sz="4" w:space="0" w:color="auto"/>
            </w:tcBorders>
            <w:noWrap/>
            <w:vAlign w:val="center"/>
            <w:hideMark/>
          </w:tcPr>
          <w:p w14:paraId="3ADE34CF" w14:textId="77777777" w:rsidR="00693CE2" w:rsidRPr="00887C74" w:rsidRDefault="00693CE2" w:rsidP="00A927AE">
            <w:pPr>
              <w:spacing w:line="240" w:lineRule="auto"/>
              <w:ind w:firstLine="0"/>
              <w:jc w:val="center"/>
              <w:rPr>
                <w:rFonts w:eastAsia="Times New Roman" w:cs="Times New Roman"/>
                <w:b/>
                <w:bCs/>
                <w:color w:val="000000"/>
                <w:sz w:val="20"/>
                <w:szCs w:val="20"/>
              </w:rPr>
            </w:pPr>
            <w:r w:rsidRPr="00887C74">
              <w:rPr>
                <w:rFonts w:eastAsia="Times New Roman" w:cs="Times New Roman"/>
                <w:b/>
                <w:bCs/>
                <w:color w:val="000000"/>
                <w:sz w:val="20"/>
                <w:szCs w:val="20"/>
              </w:rPr>
              <w:t xml:space="preserve">Mean </w:t>
            </w:r>
            <w:r w:rsidRPr="00887C74">
              <w:rPr>
                <w:rFonts w:eastAsia="Times New Roman" w:cs="Times New Roman"/>
                <w:b/>
                <w:bCs/>
                <w:color w:val="000000"/>
                <w:sz w:val="20"/>
                <w:szCs w:val="20"/>
                <w:u w:val="single"/>
              </w:rPr>
              <w:t>+</w:t>
            </w:r>
            <w:r w:rsidRPr="00887C74">
              <w:rPr>
                <w:rFonts w:eastAsia="Times New Roman" w:cs="Times New Roman"/>
                <w:b/>
                <w:bCs/>
                <w:color w:val="000000"/>
                <w:sz w:val="20"/>
                <w:szCs w:val="20"/>
              </w:rPr>
              <w:t>1SD</w:t>
            </w:r>
          </w:p>
        </w:tc>
        <w:tc>
          <w:tcPr>
            <w:tcW w:w="914" w:type="dxa"/>
            <w:tcBorders>
              <w:top w:val="nil"/>
              <w:bottom w:val="single" w:sz="4" w:space="0" w:color="auto"/>
            </w:tcBorders>
            <w:noWrap/>
            <w:vAlign w:val="center"/>
            <w:hideMark/>
          </w:tcPr>
          <w:p w14:paraId="799CAE0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0.70885</w:t>
            </w:r>
          </w:p>
        </w:tc>
        <w:tc>
          <w:tcPr>
            <w:tcW w:w="773" w:type="dxa"/>
            <w:tcBorders>
              <w:top w:val="nil"/>
              <w:bottom w:val="single" w:sz="4" w:space="0" w:color="auto"/>
            </w:tcBorders>
            <w:noWrap/>
            <w:vAlign w:val="center"/>
            <w:hideMark/>
          </w:tcPr>
          <w:p w14:paraId="0ACE4C8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0.0003</w:t>
            </w:r>
          </w:p>
        </w:tc>
        <w:tc>
          <w:tcPr>
            <w:tcW w:w="951" w:type="dxa"/>
            <w:tcBorders>
              <w:top w:val="nil"/>
              <w:bottom w:val="single" w:sz="4" w:space="0" w:color="auto"/>
            </w:tcBorders>
            <w:noWrap/>
            <w:vAlign w:val="center"/>
            <w:hideMark/>
          </w:tcPr>
          <w:p w14:paraId="275A407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0.70865</w:t>
            </w:r>
          </w:p>
        </w:tc>
        <w:tc>
          <w:tcPr>
            <w:tcW w:w="816" w:type="dxa"/>
            <w:tcBorders>
              <w:top w:val="nil"/>
              <w:bottom w:val="single" w:sz="4" w:space="0" w:color="auto"/>
            </w:tcBorders>
            <w:noWrap/>
            <w:vAlign w:val="center"/>
            <w:hideMark/>
          </w:tcPr>
          <w:p w14:paraId="4C68E1C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0.0004</w:t>
            </w:r>
          </w:p>
        </w:tc>
        <w:tc>
          <w:tcPr>
            <w:tcW w:w="450" w:type="dxa"/>
            <w:tcBorders>
              <w:top w:val="nil"/>
              <w:bottom w:val="single" w:sz="4" w:space="0" w:color="auto"/>
            </w:tcBorders>
            <w:noWrap/>
            <w:vAlign w:val="center"/>
            <w:hideMark/>
          </w:tcPr>
          <w:p w14:paraId="6EA9D45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116</w:t>
            </w:r>
          </w:p>
        </w:tc>
        <w:tc>
          <w:tcPr>
            <w:tcW w:w="630" w:type="dxa"/>
            <w:gridSpan w:val="2"/>
            <w:tcBorders>
              <w:top w:val="nil"/>
              <w:bottom w:val="single" w:sz="4" w:space="0" w:color="auto"/>
            </w:tcBorders>
            <w:noWrap/>
            <w:vAlign w:val="center"/>
            <w:hideMark/>
          </w:tcPr>
          <w:p w14:paraId="04434FD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Calibri" w:cs="Times New Roman"/>
                <w:sz w:val="20"/>
                <w:szCs w:val="20"/>
              </w:rPr>
              <w:t>2.65</w:t>
            </w:r>
          </w:p>
        </w:tc>
        <w:tc>
          <w:tcPr>
            <w:tcW w:w="720" w:type="dxa"/>
            <w:tcBorders>
              <w:top w:val="nil"/>
              <w:bottom w:val="single" w:sz="4" w:space="0" w:color="auto"/>
            </w:tcBorders>
            <w:noWrap/>
            <w:vAlign w:val="center"/>
            <w:hideMark/>
          </w:tcPr>
          <w:p w14:paraId="255BB7B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Calibri" w:cs="Times New Roman"/>
                <w:sz w:val="20"/>
                <w:szCs w:val="20"/>
              </w:rPr>
              <w:t>0.91</w:t>
            </w:r>
          </w:p>
        </w:tc>
        <w:tc>
          <w:tcPr>
            <w:tcW w:w="630" w:type="dxa"/>
            <w:tcBorders>
              <w:top w:val="nil"/>
              <w:bottom w:val="single" w:sz="4" w:space="0" w:color="auto"/>
            </w:tcBorders>
            <w:noWrap/>
            <w:vAlign w:val="center"/>
            <w:hideMark/>
          </w:tcPr>
          <w:p w14:paraId="4AA3A69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2.42</w:t>
            </w:r>
          </w:p>
        </w:tc>
        <w:tc>
          <w:tcPr>
            <w:tcW w:w="734" w:type="dxa"/>
            <w:tcBorders>
              <w:top w:val="nil"/>
              <w:bottom w:val="single" w:sz="4" w:space="0" w:color="auto"/>
            </w:tcBorders>
            <w:noWrap/>
            <w:vAlign w:val="center"/>
            <w:hideMark/>
          </w:tcPr>
          <w:p w14:paraId="033A06A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0.94</w:t>
            </w:r>
          </w:p>
        </w:tc>
        <w:tc>
          <w:tcPr>
            <w:tcW w:w="416" w:type="dxa"/>
            <w:tcBorders>
              <w:top w:val="nil"/>
              <w:bottom w:val="single" w:sz="4" w:space="0" w:color="auto"/>
            </w:tcBorders>
            <w:noWrap/>
            <w:vAlign w:val="center"/>
            <w:hideMark/>
          </w:tcPr>
          <w:p w14:paraId="641D354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83</w:t>
            </w:r>
          </w:p>
        </w:tc>
        <w:tc>
          <w:tcPr>
            <w:tcW w:w="638" w:type="dxa"/>
            <w:tcBorders>
              <w:top w:val="nil"/>
              <w:bottom w:val="single" w:sz="4" w:space="0" w:color="auto"/>
            </w:tcBorders>
            <w:noWrap/>
            <w:vAlign w:val="center"/>
            <w:hideMark/>
          </w:tcPr>
          <w:p w14:paraId="4F9239D1"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Calibri" w:cs="Times New Roman"/>
                <w:sz w:val="20"/>
                <w:szCs w:val="20"/>
              </w:rPr>
              <w:t>11.4</w:t>
            </w:r>
          </w:p>
        </w:tc>
        <w:tc>
          <w:tcPr>
            <w:tcW w:w="666" w:type="dxa"/>
            <w:tcBorders>
              <w:top w:val="nil"/>
              <w:bottom w:val="single" w:sz="4" w:space="0" w:color="auto"/>
            </w:tcBorders>
            <w:noWrap/>
            <w:vAlign w:val="center"/>
            <w:hideMark/>
          </w:tcPr>
          <w:p w14:paraId="37C0E0E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Calibri" w:cs="Times New Roman"/>
                <w:sz w:val="20"/>
                <w:szCs w:val="20"/>
              </w:rPr>
              <w:t>7.41</w:t>
            </w:r>
          </w:p>
        </w:tc>
        <w:tc>
          <w:tcPr>
            <w:tcW w:w="666" w:type="dxa"/>
            <w:tcBorders>
              <w:top w:val="nil"/>
              <w:bottom w:val="single" w:sz="4" w:space="0" w:color="auto"/>
            </w:tcBorders>
            <w:noWrap/>
            <w:vAlign w:val="center"/>
            <w:hideMark/>
          </w:tcPr>
          <w:p w14:paraId="7D81509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11.80</w:t>
            </w:r>
          </w:p>
        </w:tc>
        <w:tc>
          <w:tcPr>
            <w:tcW w:w="724" w:type="dxa"/>
            <w:tcBorders>
              <w:top w:val="nil"/>
              <w:bottom w:val="single" w:sz="4" w:space="0" w:color="auto"/>
            </w:tcBorders>
            <w:noWrap/>
            <w:vAlign w:val="center"/>
            <w:hideMark/>
          </w:tcPr>
          <w:p w14:paraId="64FE8E8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4.03</w:t>
            </w:r>
          </w:p>
        </w:tc>
        <w:tc>
          <w:tcPr>
            <w:tcW w:w="458" w:type="dxa"/>
            <w:tcBorders>
              <w:top w:val="nil"/>
              <w:bottom w:val="single" w:sz="4" w:space="0" w:color="auto"/>
            </w:tcBorders>
            <w:noWrap/>
            <w:vAlign w:val="center"/>
            <w:hideMark/>
          </w:tcPr>
          <w:p w14:paraId="14AF5FE9"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83</w:t>
            </w:r>
          </w:p>
        </w:tc>
      </w:tr>
      <w:tr w:rsidR="00693CE2" w:rsidRPr="009B0513" w14:paraId="2C9AD285" w14:textId="77777777" w:rsidTr="00A927AE">
        <w:trPr>
          <w:trHeight w:val="287"/>
        </w:trPr>
        <w:tc>
          <w:tcPr>
            <w:tcW w:w="1064" w:type="dxa"/>
            <w:vMerge w:val="restart"/>
            <w:tcBorders>
              <w:top w:val="single" w:sz="4" w:space="0" w:color="auto"/>
              <w:bottom w:val="single" w:sz="4" w:space="0" w:color="auto"/>
            </w:tcBorders>
            <w:vAlign w:val="center"/>
            <w:hideMark/>
          </w:tcPr>
          <w:p w14:paraId="2846EA2A" w14:textId="77777777" w:rsidR="00693CE2" w:rsidRPr="003542CF" w:rsidRDefault="00693CE2" w:rsidP="00A927AE">
            <w:pPr>
              <w:spacing w:line="240" w:lineRule="auto"/>
              <w:ind w:firstLine="0"/>
              <w:jc w:val="center"/>
              <w:rPr>
                <w:rFonts w:eastAsia="Times New Roman" w:cs="Times New Roman"/>
                <w:color w:val="000000"/>
                <w:sz w:val="20"/>
                <w:szCs w:val="20"/>
              </w:rPr>
            </w:pPr>
            <w:r w:rsidRPr="003542CF">
              <w:rPr>
                <w:rFonts w:eastAsia="Times New Roman" w:cs="Times New Roman"/>
                <w:color w:val="000000"/>
                <w:sz w:val="20"/>
                <w:szCs w:val="20"/>
              </w:rPr>
              <w:t>Prince William Sound (PWS)</w:t>
            </w:r>
          </w:p>
        </w:tc>
        <w:tc>
          <w:tcPr>
            <w:tcW w:w="1422" w:type="dxa"/>
            <w:tcBorders>
              <w:top w:val="single" w:sz="4" w:space="0" w:color="auto"/>
            </w:tcBorders>
            <w:noWrap/>
            <w:vAlign w:val="center"/>
            <w:hideMark/>
          </w:tcPr>
          <w:p w14:paraId="43920BE6"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color w:val="000000"/>
                <w:sz w:val="20"/>
                <w:szCs w:val="20"/>
              </w:rPr>
              <w:t>Hartney Bay</w:t>
            </w:r>
          </w:p>
        </w:tc>
        <w:tc>
          <w:tcPr>
            <w:tcW w:w="914" w:type="dxa"/>
            <w:tcBorders>
              <w:top w:val="single" w:sz="4" w:space="0" w:color="auto"/>
            </w:tcBorders>
            <w:noWrap/>
            <w:vAlign w:val="center"/>
            <w:hideMark/>
          </w:tcPr>
          <w:p w14:paraId="54DF4AB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0.70900</w:t>
            </w:r>
          </w:p>
        </w:tc>
        <w:tc>
          <w:tcPr>
            <w:tcW w:w="773" w:type="dxa"/>
            <w:tcBorders>
              <w:top w:val="single" w:sz="4" w:space="0" w:color="auto"/>
            </w:tcBorders>
            <w:noWrap/>
            <w:vAlign w:val="center"/>
            <w:hideMark/>
          </w:tcPr>
          <w:p w14:paraId="15418E3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0.0005</w:t>
            </w:r>
          </w:p>
        </w:tc>
        <w:tc>
          <w:tcPr>
            <w:tcW w:w="951" w:type="dxa"/>
            <w:tcBorders>
              <w:top w:val="single" w:sz="4" w:space="0" w:color="auto"/>
            </w:tcBorders>
            <w:noWrap/>
            <w:vAlign w:val="center"/>
            <w:hideMark/>
          </w:tcPr>
          <w:p w14:paraId="0EF8CD7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0.70894</w:t>
            </w:r>
          </w:p>
        </w:tc>
        <w:tc>
          <w:tcPr>
            <w:tcW w:w="816" w:type="dxa"/>
            <w:tcBorders>
              <w:top w:val="single" w:sz="4" w:space="0" w:color="auto"/>
            </w:tcBorders>
            <w:noWrap/>
            <w:vAlign w:val="center"/>
            <w:hideMark/>
          </w:tcPr>
          <w:p w14:paraId="79EFE629"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0.0008</w:t>
            </w:r>
          </w:p>
        </w:tc>
        <w:tc>
          <w:tcPr>
            <w:tcW w:w="450" w:type="dxa"/>
            <w:tcBorders>
              <w:top w:val="single" w:sz="4" w:space="0" w:color="auto"/>
            </w:tcBorders>
            <w:noWrap/>
            <w:vAlign w:val="center"/>
            <w:hideMark/>
          </w:tcPr>
          <w:p w14:paraId="035DA41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18</w:t>
            </w:r>
          </w:p>
        </w:tc>
        <w:tc>
          <w:tcPr>
            <w:tcW w:w="630" w:type="dxa"/>
            <w:gridSpan w:val="2"/>
            <w:tcBorders>
              <w:top w:val="single" w:sz="4" w:space="0" w:color="auto"/>
            </w:tcBorders>
            <w:noWrap/>
            <w:vAlign w:val="center"/>
            <w:hideMark/>
          </w:tcPr>
          <w:p w14:paraId="3A6DB1B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2.26</w:t>
            </w:r>
          </w:p>
        </w:tc>
        <w:tc>
          <w:tcPr>
            <w:tcW w:w="720" w:type="dxa"/>
            <w:tcBorders>
              <w:top w:val="single" w:sz="4" w:space="0" w:color="auto"/>
            </w:tcBorders>
            <w:noWrap/>
            <w:vAlign w:val="center"/>
            <w:hideMark/>
          </w:tcPr>
          <w:p w14:paraId="1D46C63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0.27</w:t>
            </w:r>
          </w:p>
        </w:tc>
        <w:tc>
          <w:tcPr>
            <w:tcW w:w="630" w:type="dxa"/>
            <w:tcBorders>
              <w:top w:val="single" w:sz="4" w:space="0" w:color="auto"/>
            </w:tcBorders>
            <w:noWrap/>
            <w:vAlign w:val="center"/>
            <w:hideMark/>
          </w:tcPr>
          <w:p w14:paraId="3F30046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2.32</w:t>
            </w:r>
          </w:p>
        </w:tc>
        <w:tc>
          <w:tcPr>
            <w:tcW w:w="734" w:type="dxa"/>
            <w:tcBorders>
              <w:top w:val="single" w:sz="4" w:space="0" w:color="auto"/>
            </w:tcBorders>
            <w:noWrap/>
            <w:vAlign w:val="center"/>
            <w:hideMark/>
          </w:tcPr>
          <w:p w14:paraId="3026A38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0.41</w:t>
            </w:r>
          </w:p>
        </w:tc>
        <w:tc>
          <w:tcPr>
            <w:tcW w:w="416" w:type="dxa"/>
            <w:tcBorders>
              <w:top w:val="single" w:sz="4" w:space="0" w:color="auto"/>
            </w:tcBorders>
            <w:noWrap/>
            <w:vAlign w:val="center"/>
            <w:hideMark/>
          </w:tcPr>
          <w:p w14:paraId="555BB13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13</w:t>
            </w:r>
          </w:p>
        </w:tc>
        <w:tc>
          <w:tcPr>
            <w:tcW w:w="638" w:type="dxa"/>
            <w:tcBorders>
              <w:top w:val="single" w:sz="4" w:space="0" w:color="auto"/>
            </w:tcBorders>
            <w:noWrap/>
            <w:vAlign w:val="center"/>
            <w:hideMark/>
          </w:tcPr>
          <w:p w14:paraId="39AAF9B4"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31.9</w:t>
            </w:r>
          </w:p>
        </w:tc>
        <w:tc>
          <w:tcPr>
            <w:tcW w:w="666" w:type="dxa"/>
            <w:tcBorders>
              <w:top w:val="single" w:sz="4" w:space="0" w:color="auto"/>
            </w:tcBorders>
            <w:noWrap/>
            <w:vAlign w:val="center"/>
            <w:hideMark/>
          </w:tcPr>
          <w:p w14:paraId="6F3A3CF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18.7</w:t>
            </w:r>
          </w:p>
        </w:tc>
        <w:tc>
          <w:tcPr>
            <w:tcW w:w="666" w:type="dxa"/>
            <w:tcBorders>
              <w:top w:val="single" w:sz="4" w:space="0" w:color="auto"/>
            </w:tcBorders>
            <w:noWrap/>
            <w:vAlign w:val="center"/>
            <w:hideMark/>
          </w:tcPr>
          <w:p w14:paraId="2842A48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35.0</w:t>
            </w:r>
          </w:p>
        </w:tc>
        <w:tc>
          <w:tcPr>
            <w:tcW w:w="724" w:type="dxa"/>
            <w:tcBorders>
              <w:top w:val="single" w:sz="4" w:space="0" w:color="auto"/>
            </w:tcBorders>
            <w:noWrap/>
            <w:vAlign w:val="center"/>
            <w:hideMark/>
          </w:tcPr>
          <w:p w14:paraId="1FADC69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20.0</w:t>
            </w:r>
          </w:p>
        </w:tc>
        <w:tc>
          <w:tcPr>
            <w:tcW w:w="458" w:type="dxa"/>
            <w:tcBorders>
              <w:top w:val="single" w:sz="4" w:space="0" w:color="auto"/>
            </w:tcBorders>
            <w:noWrap/>
            <w:vAlign w:val="center"/>
            <w:hideMark/>
          </w:tcPr>
          <w:p w14:paraId="68A8BE56"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13</w:t>
            </w:r>
          </w:p>
        </w:tc>
      </w:tr>
      <w:tr w:rsidR="00693CE2" w:rsidRPr="009B0513" w14:paraId="3DA93ACD" w14:textId="77777777" w:rsidTr="00A927AE">
        <w:trPr>
          <w:trHeight w:val="288"/>
        </w:trPr>
        <w:tc>
          <w:tcPr>
            <w:tcW w:w="1064" w:type="dxa"/>
            <w:vMerge/>
            <w:tcBorders>
              <w:top w:val="single" w:sz="4" w:space="0" w:color="auto"/>
              <w:bottom w:val="single" w:sz="4" w:space="0" w:color="auto"/>
            </w:tcBorders>
            <w:vAlign w:val="center"/>
            <w:hideMark/>
          </w:tcPr>
          <w:p w14:paraId="4A8AF3A9"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bottom w:val="single" w:sz="4" w:space="0" w:color="auto"/>
            </w:tcBorders>
            <w:noWrap/>
            <w:vAlign w:val="center"/>
            <w:hideMark/>
          </w:tcPr>
          <w:p w14:paraId="4FB26ED7"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color w:val="000000"/>
                <w:sz w:val="20"/>
                <w:szCs w:val="20"/>
              </w:rPr>
              <w:t>Jackson Creek</w:t>
            </w:r>
          </w:p>
        </w:tc>
        <w:tc>
          <w:tcPr>
            <w:tcW w:w="914" w:type="dxa"/>
            <w:tcBorders>
              <w:top w:val="nil"/>
              <w:bottom w:val="single" w:sz="4" w:space="0" w:color="auto"/>
            </w:tcBorders>
            <w:noWrap/>
            <w:vAlign w:val="center"/>
            <w:hideMark/>
          </w:tcPr>
          <w:p w14:paraId="0B52FCC9"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0.70918</w:t>
            </w:r>
          </w:p>
        </w:tc>
        <w:tc>
          <w:tcPr>
            <w:tcW w:w="773" w:type="dxa"/>
            <w:tcBorders>
              <w:top w:val="nil"/>
              <w:bottom w:val="single" w:sz="4" w:space="0" w:color="auto"/>
            </w:tcBorders>
            <w:noWrap/>
            <w:vAlign w:val="center"/>
            <w:hideMark/>
          </w:tcPr>
          <w:p w14:paraId="09B853DC"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0.0006</w:t>
            </w:r>
          </w:p>
        </w:tc>
        <w:tc>
          <w:tcPr>
            <w:tcW w:w="951" w:type="dxa"/>
            <w:tcBorders>
              <w:top w:val="nil"/>
              <w:bottom w:val="single" w:sz="4" w:space="0" w:color="auto"/>
            </w:tcBorders>
            <w:noWrap/>
            <w:vAlign w:val="center"/>
            <w:hideMark/>
          </w:tcPr>
          <w:p w14:paraId="7F75D22B"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0.70920</w:t>
            </w:r>
          </w:p>
        </w:tc>
        <w:tc>
          <w:tcPr>
            <w:tcW w:w="816" w:type="dxa"/>
            <w:tcBorders>
              <w:top w:val="nil"/>
              <w:bottom w:val="single" w:sz="4" w:space="0" w:color="auto"/>
            </w:tcBorders>
            <w:noWrap/>
            <w:vAlign w:val="center"/>
            <w:hideMark/>
          </w:tcPr>
          <w:p w14:paraId="660CC51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0.0004</w:t>
            </w:r>
          </w:p>
        </w:tc>
        <w:tc>
          <w:tcPr>
            <w:tcW w:w="450" w:type="dxa"/>
            <w:tcBorders>
              <w:top w:val="nil"/>
              <w:bottom w:val="single" w:sz="4" w:space="0" w:color="auto"/>
            </w:tcBorders>
            <w:noWrap/>
            <w:vAlign w:val="center"/>
            <w:hideMark/>
          </w:tcPr>
          <w:p w14:paraId="12F2CF5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19</w:t>
            </w:r>
          </w:p>
        </w:tc>
        <w:tc>
          <w:tcPr>
            <w:tcW w:w="630" w:type="dxa"/>
            <w:gridSpan w:val="2"/>
            <w:tcBorders>
              <w:top w:val="nil"/>
              <w:bottom w:val="single" w:sz="4" w:space="0" w:color="auto"/>
            </w:tcBorders>
            <w:noWrap/>
            <w:vAlign w:val="center"/>
            <w:hideMark/>
          </w:tcPr>
          <w:p w14:paraId="0809F6DC"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2.44</w:t>
            </w:r>
          </w:p>
        </w:tc>
        <w:tc>
          <w:tcPr>
            <w:tcW w:w="720" w:type="dxa"/>
            <w:tcBorders>
              <w:top w:val="nil"/>
              <w:bottom w:val="single" w:sz="4" w:space="0" w:color="auto"/>
            </w:tcBorders>
            <w:noWrap/>
            <w:vAlign w:val="center"/>
            <w:hideMark/>
          </w:tcPr>
          <w:p w14:paraId="015001C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0.41</w:t>
            </w:r>
          </w:p>
        </w:tc>
        <w:tc>
          <w:tcPr>
            <w:tcW w:w="630" w:type="dxa"/>
            <w:tcBorders>
              <w:top w:val="nil"/>
              <w:bottom w:val="single" w:sz="4" w:space="0" w:color="auto"/>
            </w:tcBorders>
            <w:noWrap/>
            <w:vAlign w:val="center"/>
            <w:hideMark/>
          </w:tcPr>
          <w:p w14:paraId="75602CE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2.30</w:t>
            </w:r>
          </w:p>
        </w:tc>
        <w:tc>
          <w:tcPr>
            <w:tcW w:w="734" w:type="dxa"/>
            <w:tcBorders>
              <w:top w:val="nil"/>
              <w:bottom w:val="single" w:sz="4" w:space="0" w:color="auto"/>
            </w:tcBorders>
            <w:noWrap/>
            <w:vAlign w:val="center"/>
            <w:hideMark/>
          </w:tcPr>
          <w:p w14:paraId="05A80B1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0.24</w:t>
            </w:r>
          </w:p>
        </w:tc>
        <w:tc>
          <w:tcPr>
            <w:tcW w:w="416" w:type="dxa"/>
            <w:tcBorders>
              <w:top w:val="nil"/>
              <w:bottom w:val="single" w:sz="4" w:space="0" w:color="auto"/>
            </w:tcBorders>
            <w:noWrap/>
            <w:vAlign w:val="center"/>
            <w:hideMark/>
          </w:tcPr>
          <w:p w14:paraId="1ABF3187"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w:t>
            </w:r>
          </w:p>
        </w:tc>
        <w:tc>
          <w:tcPr>
            <w:tcW w:w="638" w:type="dxa"/>
            <w:tcBorders>
              <w:top w:val="nil"/>
              <w:bottom w:val="single" w:sz="4" w:space="0" w:color="auto"/>
            </w:tcBorders>
            <w:noWrap/>
            <w:vAlign w:val="center"/>
            <w:hideMark/>
          </w:tcPr>
          <w:p w14:paraId="33DBC14A"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2.44</w:t>
            </w:r>
          </w:p>
        </w:tc>
        <w:tc>
          <w:tcPr>
            <w:tcW w:w="666" w:type="dxa"/>
            <w:tcBorders>
              <w:top w:val="nil"/>
              <w:bottom w:val="single" w:sz="4" w:space="0" w:color="auto"/>
            </w:tcBorders>
            <w:noWrap/>
            <w:vAlign w:val="center"/>
            <w:hideMark/>
          </w:tcPr>
          <w:p w14:paraId="10930509"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14.0</w:t>
            </w:r>
          </w:p>
        </w:tc>
        <w:tc>
          <w:tcPr>
            <w:tcW w:w="666" w:type="dxa"/>
            <w:tcBorders>
              <w:top w:val="nil"/>
              <w:bottom w:val="single" w:sz="4" w:space="0" w:color="auto"/>
            </w:tcBorders>
            <w:noWrap/>
            <w:vAlign w:val="center"/>
            <w:hideMark/>
          </w:tcPr>
          <w:p w14:paraId="7334D2E1"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29.1</w:t>
            </w:r>
          </w:p>
        </w:tc>
        <w:tc>
          <w:tcPr>
            <w:tcW w:w="724" w:type="dxa"/>
            <w:tcBorders>
              <w:top w:val="nil"/>
              <w:bottom w:val="single" w:sz="4" w:space="0" w:color="auto"/>
            </w:tcBorders>
            <w:noWrap/>
            <w:vAlign w:val="center"/>
            <w:hideMark/>
          </w:tcPr>
          <w:p w14:paraId="4C8AECCF"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13.4</w:t>
            </w:r>
          </w:p>
        </w:tc>
        <w:tc>
          <w:tcPr>
            <w:tcW w:w="458" w:type="dxa"/>
            <w:tcBorders>
              <w:top w:val="nil"/>
              <w:bottom w:val="single" w:sz="4" w:space="0" w:color="auto"/>
            </w:tcBorders>
            <w:noWrap/>
            <w:vAlign w:val="center"/>
            <w:hideMark/>
          </w:tcPr>
          <w:p w14:paraId="08ABB0C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14</w:t>
            </w:r>
          </w:p>
        </w:tc>
      </w:tr>
      <w:tr w:rsidR="00693CE2" w:rsidRPr="009B0513" w14:paraId="65166635" w14:textId="77777777" w:rsidTr="00A927AE">
        <w:trPr>
          <w:trHeight w:val="274"/>
        </w:trPr>
        <w:tc>
          <w:tcPr>
            <w:tcW w:w="1064" w:type="dxa"/>
            <w:vMerge/>
            <w:tcBorders>
              <w:top w:val="single" w:sz="4" w:space="0" w:color="auto"/>
              <w:bottom w:val="single" w:sz="4" w:space="0" w:color="auto"/>
            </w:tcBorders>
            <w:vAlign w:val="center"/>
            <w:hideMark/>
          </w:tcPr>
          <w:p w14:paraId="20419E05" w14:textId="77777777" w:rsidR="00693CE2" w:rsidRPr="009B0513" w:rsidRDefault="00693CE2" w:rsidP="00A927AE">
            <w:pPr>
              <w:spacing w:line="240" w:lineRule="auto"/>
              <w:ind w:firstLine="0"/>
              <w:jc w:val="center"/>
              <w:rPr>
                <w:rFonts w:eastAsia="Times New Roman" w:cs="Times New Roman"/>
                <w:color w:val="000000"/>
                <w:sz w:val="20"/>
                <w:szCs w:val="20"/>
              </w:rPr>
            </w:pPr>
          </w:p>
        </w:tc>
        <w:tc>
          <w:tcPr>
            <w:tcW w:w="1422" w:type="dxa"/>
            <w:tcBorders>
              <w:top w:val="nil"/>
              <w:bottom w:val="single" w:sz="4" w:space="0" w:color="auto"/>
            </w:tcBorders>
            <w:noWrap/>
            <w:vAlign w:val="center"/>
            <w:hideMark/>
          </w:tcPr>
          <w:p w14:paraId="1057ED9A" w14:textId="77777777" w:rsidR="00693CE2" w:rsidRPr="00887C74" w:rsidRDefault="00693CE2" w:rsidP="00A927AE">
            <w:pPr>
              <w:spacing w:line="240" w:lineRule="auto"/>
              <w:ind w:firstLine="0"/>
              <w:jc w:val="center"/>
              <w:rPr>
                <w:rFonts w:eastAsia="Times New Roman" w:cs="Times New Roman"/>
                <w:color w:val="000000"/>
                <w:sz w:val="20"/>
                <w:szCs w:val="20"/>
              </w:rPr>
            </w:pPr>
            <w:r w:rsidRPr="00887C74">
              <w:rPr>
                <w:rFonts w:eastAsia="Times New Roman" w:cs="Times New Roman"/>
                <w:b/>
                <w:bCs/>
                <w:color w:val="000000"/>
                <w:sz w:val="20"/>
                <w:szCs w:val="20"/>
              </w:rPr>
              <w:t xml:space="preserve">Mean </w:t>
            </w:r>
            <w:r w:rsidRPr="00887C74">
              <w:rPr>
                <w:rFonts w:eastAsia="Times New Roman" w:cs="Times New Roman"/>
                <w:b/>
                <w:bCs/>
                <w:color w:val="000000"/>
                <w:sz w:val="20"/>
                <w:szCs w:val="20"/>
                <w:u w:val="single"/>
              </w:rPr>
              <w:t>+</w:t>
            </w:r>
            <w:r w:rsidRPr="00887C74">
              <w:rPr>
                <w:rFonts w:eastAsia="Times New Roman" w:cs="Times New Roman"/>
                <w:b/>
                <w:bCs/>
                <w:color w:val="000000"/>
                <w:sz w:val="20"/>
                <w:szCs w:val="20"/>
              </w:rPr>
              <w:t>1SD</w:t>
            </w:r>
          </w:p>
        </w:tc>
        <w:tc>
          <w:tcPr>
            <w:tcW w:w="914" w:type="dxa"/>
            <w:tcBorders>
              <w:top w:val="nil"/>
              <w:bottom w:val="single" w:sz="4" w:space="0" w:color="auto"/>
            </w:tcBorders>
            <w:noWrap/>
            <w:vAlign w:val="center"/>
            <w:hideMark/>
          </w:tcPr>
          <w:p w14:paraId="1842E0E0"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0.70909</w:t>
            </w:r>
          </w:p>
        </w:tc>
        <w:tc>
          <w:tcPr>
            <w:tcW w:w="773" w:type="dxa"/>
            <w:tcBorders>
              <w:top w:val="nil"/>
              <w:bottom w:val="single" w:sz="4" w:space="0" w:color="auto"/>
            </w:tcBorders>
            <w:noWrap/>
            <w:vAlign w:val="center"/>
            <w:hideMark/>
          </w:tcPr>
          <w:p w14:paraId="58B9A021"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0.0001</w:t>
            </w:r>
          </w:p>
        </w:tc>
        <w:tc>
          <w:tcPr>
            <w:tcW w:w="951" w:type="dxa"/>
            <w:tcBorders>
              <w:top w:val="nil"/>
              <w:bottom w:val="single" w:sz="4" w:space="0" w:color="auto"/>
            </w:tcBorders>
            <w:noWrap/>
            <w:vAlign w:val="center"/>
            <w:hideMark/>
          </w:tcPr>
          <w:p w14:paraId="6440F903"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0.70907</w:t>
            </w:r>
          </w:p>
        </w:tc>
        <w:tc>
          <w:tcPr>
            <w:tcW w:w="816" w:type="dxa"/>
            <w:tcBorders>
              <w:top w:val="nil"/>
              <w:bottom w:val="single" w:sz="4" w:space="0" w:color="auto"/>
            </w:tcBorders>
            <w:noWrap/>
            <w:vAlign w:val="center"/>
            <w:hideMark/>
          </w:tcPr>
          <w:p w14:paraId="2B9DDEED"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0.0002</w:t>
            </w:r>
          </w:p>
        </w:tc>
        <w:tc>
          <w:tcPr>
            <w:tcW w:w="450" w:type="dxa"/>
            <w:tcBorders>
              <w:top w:val="nil"/>
              <w:bottom w:val="single" w:sz="4" w:space="0" w:color="auto"/>
            </w:tcBorders>
            <w:noWrap/>
            <w:vAlign w:val="center"/>
            <w:hideMark/>
          </w:tcPr>
          <w:p w14:paraId="627E071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37</w:t>
            </w:r>
          </w:p>
        </w:tc>
        <w:tc>
          <w:tcPr>
            <w:tcW w:w="630" w:type="dxa"/>
            <w:gridSpan w:val="2"/>
            <w:tcBorders>
              <w:top w:val="nil"/>
              <w:bottom w:val="single" w:sz="4" w:space="0" w:color="auto"/>
            </w:tcBorders>
            <w:noWrap/>
            <w:vAlign w:val="center"/>
            <w:hideMark/>
          </w:tcPr>
          <w:p w14:paraId="17E29A6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2.35</w:t>
            </w:r>
          </w:p>
        </w:tc>
        <w:tc>
          <w:tcPr>
            <w:tcW w:w="720" w:type="dxa"/>
            <w:tcBorders>
              <w:top w:val="nil"/>
              <w:bottom w:val="single" w:sz="4" w:space="0" w:color="auto"/>
            </w:tcBorders>
            <w:noWrap/>
            <w:vAlign w:val="center"/>
            <w:hideMark/>
          </w:tcPr>
          <w:p w14:paraId="6B4B33B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0.13</w:t>
            </w:r>
          </w:p>
        </w:tc>
        <w:tc>
          <w:tcPr>
            <w:tcW w:w="630" w:type="dxa"/>
            <w:tcBorders>
              <w:top w:val="nil"/>
              <w:bottom w:val="single" w:sz="4" w:space="0" w:color="auto"/>
            </w:tcBorders>
            <w:noWrap/>
            <w:vAlign w:val="center"/>
            <w:hideMark/>
          </w:tcPr>
          <w:p w14:paraId="3F0BF7CE"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2.31</w:t>
            </w:r>
          </w:p>
        </w:tc>
        <w:tc>
          <w:tcPr>
            <w:tcW w:w="734" w:type="dxa"/>
            <w:tcBorders>
              <w:top w:val="nil"/>
              <w:bottom w:val="single" w:sz="4" w:space="0" w:color="auto"/>
            </w:tcBorders>
            <w:noWrap/>
            <w:vAlign w:val="center"/>
            <w:hideMark/>
          </w:tcPr>
          <w:p w14:paraId="492E6B4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0.01</w:t>
            </w:r>
          </w:p>
        </w:tc>
        <w:tc>
          <w:tcPr>
            <w:tcW w:w="416" w:type="dxa"/>
            <w:tcBorders>
              <w:top w:val="nil"/>
              <w:bottom w:val="single" w:sz="4" w:space="0" w:color="auto"/>
            </w:tcBorders>
            <w:noWrap/>
            <w:vAlign w:val="center"/>
            <w:hideMark/>
          </w:tcPr>
          <w:p w14:paraId="14D69402"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27</w:t>
            </w:r>
          </w:p>
        </w:tc>
        <w:tc>
          <w:tcPr>
            <w:tcW w:w="638" w:type="dxa"/>
            <w:tcBorders>
              <w:top w:val="nil"/>
              <w:bottom w:val="single" w:sz="4" w:space="0" w:color="auto"/>
            </w:tcBorders>
            <w:noWrap/>
            <w:vAlign w:val="center"/>
            <w:hideMark/>
          </w:tcPr>
          <w:p w14:paraId="06F8C4F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17.2</w:t>
            </w:r>
          </w:p>
        </w:tc>
        <w:tc>
          <w:tcPr>
            <w:tcW w:w="666" w:type="dxa"/>
            <w:tcBorders>
              <w:top w:val="nil"/>
              <w:bottom w:val="single" w:sz="4" w:space="0" w:color="auto"/>
            </w:tcBorders>
            <w:noWrap/>
            <w:vAlign w:val="center"/>
            <w:hideMark/>
          </w:tcPr>
          <w:p w14:paraId="10A88F46"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20.8</w:t>
            </w:r>
          </w:p>
        </w:tc>
        <w:tc>
          <w:tcPr>
            <w:tcW w:w="666" w:type="dxa"/>
            <w:tcBorders>
              <w:top w:val="nil"/>
              <w:bottom w:val="single" w:sz="4" w:space="0" w:color="auto"/>
            </w:tcBorders>
            <w:noWrap/>
            <w:vAlign w:val="center"/>
            <w:hideMark/>
          </w:tcPr>
          <w:p w14:paraId="2D8D209C"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32.1</w:t>
            </w:r>
          </w:p>
        </w:tc>
        <w:tc>
          <w:tcPr>
            <w:tcW w:w="724" w:type="dxa"/>
            <w:tcBorders>
              <w:top w:val="nil"/>
              <w:bottom w:val="single" w:sz="4" w:space="0" w:color="auto"/>
            </w:tcBorders>
            <w:noWrap/>
            <w:vAlign w:val="center"/>
            <w:hideMark/>
          </w:tcPr>
          <w:p w14:paraId="1A28D2A5"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4.15</w:t>
            </w:r>
          </w:p>
        </w:tc>
        <w:tc>
          <w:tcPr>
            <w:tcW w:w="458" w:type="dxa"/>
            <w:tcBorders>
              <w:top w:val="nil"/>
              <w:bottom w:val="single" w:sz="4" w:space="0" w:color="auto"/>
            </w:tcBorders>
            <w:noWrap/>
            <w:vAlign w:val="center"/>
            <w:hideMark/>
          </w:tcPr>
          <w:p w14:paraId="2B25D2D8" w14:textId="77777777" w:rsidR="00693CE2" w:rsidRPr="00C05E21" w:rsidRDefault="00693CE2" w:rsidP="00A927AE">
            <w:pPr>
              <w:spacing w:line="240" w:lineRule="auto"/>
              <w:ind w:firstLine="0"/>
              <w:jc w:val="right"/>
              <w:rPr>
                <w:rFonts w:eastAsia="Times New Roman" w:cs="Times New Roman"/>
                <w:color w:val="000000"/>
                <w:sz w:val="20"/>
                <w:szCs w:val="20"/>
              </w:rPr>
            </w:pPr>
            <w:r w:rsidRPr="00C05E21">
              <w:rPr>
                <w:rFonts w:eastAsia="Times New Roman" w:cs="Times New Roman"/>
                <w:color w:val="000000"/>
                <w:sz w:val="20"/>
                <w:szCs w:val="20"/>
              </w:rPr>
              <w:t>27</w:t>
            </w:r>
          </w:p>
        </w:tc>
      </w:tr>
    </w:tbl>
    <w:p w14:paraId="275BF2DF" w14:textId="77777777" w:rsidR="00693CE2" w:rsidRDefault="00693CE2" w:rsidP="00693CE2">
      <w:pPr>
        <w:pStyle w:val="Tabletitle"/>
      </w:pPr>
    </w:p>
    <w:p w14:paraId="0D8112E8" w14:textId="77777777" w:rsidR="00693CE2" w:rsidRDefault="00693CE2" w:rsidP="00693CE2">
      <w:pPr>
        <w:pStyle w:val="Tabletitle"/>
        <w:sectPr w:rsidR="00693CE2" w:rsidSect="00443C22">
          <w:headerReference w:type="first" r:id="rId16"/>
          <w:footerReference w:type="first" r:id="rId17"/>
          <w:pgSz w:w="15840" w:h="12240" w:orient="landscape"/>
          <w:pgMar w:top="1440" w:right="1440" w:bottom="1440" w:left="1728" w:header="720" w:footer="720" w:gutter="0"/>
          <w:cols w:space="720"/>
          <w:titlePg/>
          <w:docGrid w:linePitch="360"/>
        </w:sectPr>
      </w:pPr>
    </w:p>
    <w:p w14:paraId="2BBF031B" w14:textId="77777777" w:rsidR="00693CE2" w:rsidRPr="00350F98" w:rsidRDefault="00693CE2" w:rsidP="00693CE2">
      <w:pPr>
        <w:pStyle w:val="Tabletitle"/>
      </w:pPr>
      <w:bookmarkStart w:id="6" w:name="_Toc130365566"/>
      <w:r w:rsidRPr="00350F98">
        <w:t>Table 5.3.</w:t>
      </w:r>
      <w:r w:rsidRPr="00350F98">
        <w:rPr>
          <w:b/>
        </w:rPr>
        <w:t xml:space="preserve"> </w:t>
      </w:r>
      <w:r w:rsidRPr="008C55A6">
        <w:t>Results from Kruskal-Wallis analyses to determine significant differences between groups of fish captured in Northern Alaska for different analytes and otolith regions (core or freshwater).</w:t>
      </w:r>
      <w:bookmarkEnd w:id="6"/>
    </w:p>
    <w:tbl>
      <w:tblPr>
        <w:tblW w:w="5000" w:type="pct"/>
        <w:tblLook w:val="04A0" w:firstRow="1" w:lastRow="0" w:firstColumn="1" w:lastColumn="0" w:noHBand="0" w:noVBand="1"/>
      </w:tblPr>
      <w:tblGrid>
        <w:gridCol w:w="2250"/>
        <w:gridCol w:w="2251"/>
        <w:gridCol w:w="2251"/>
        <w:gridCol w:w="1477"/>
        <w:gridCol w:w="1131"/>
      </w:tblGrid>
      <w:tr w:rsidR="00693CE2" w:rsidRPr="00E15368" w14:paraId="4C2756F8" w14:textId="77777777" w:rsidTr="00A927AE">
        <w:trPr>
          <w:trHeight w:val="288"/>
        </w:trPr>
        <w:tc>
          <w:tcPr>
            <w:tcW w:w="1237" w:type="pct"/>
            <w:tcBorders>
              <w:top w:val="single" w:sz="8" w:space="0" w:color="auto"/>
              <w:bottom w:val="single" w:sz="8" w:space="0" w:color="auto"/>
              <w:right w:val="nil"/>
            </w:tcBorders>
            <w:noWrap/>
            <w:tcMar>
              <w:top w:w="14" w:type="dxa"/>
              <w:left w:w="115" w:type="dxa"/>
              <w:bottom w:w="14" w:type="dxa"/>
              <w:right w:w="115" w:type="dxa"/>
            </w:tcMar>
            <w:vAlign w:val="center"/>
            <w:hideMark/>
          </w:tcPr>
          <w:p w14:paraId="59E6FED2" w14:textId="77777777" w:rsidR="00693CE2" w:rsidRPr="00E15368" w:rsidRDefault="00693CE2" w:rsidP="00A927AE">
            <w:pPr>
              <w:spacing w:before="40" w:after="40" w:line="240" w:lineRule="auto"/>
              <w:ind w:firstLine="0"/>
              <w:jc w:val="center"/>
              <w:rPr>
                <w:rFonts w:eastAsia="Times New Roman" w:cs="Times New Roman"/>
                <w:color w:val="000000"/>
                <w:szCs w:val="24"/>
              </w:rPr>
            </w:pPr>
            <w:r w:rsidRPr="00E15368">
              <w:rPr>
                <w:rFonts w:eastAsia="Times New Roman" w:cs="Times New Roman"/>
                <w:color w:val="000000"/>
                <w:szCs w:val="24"/>
              </w:rPr>
              <w:t>Analyte</w:t>
            </w:r>
          </w:p>
        </w:tc>
        <w:tc>
          <w:tcPr>
            <w:tcW w:w="1237" w:type="pct"/>
            <w:tcBorders>
              <w:top w:val="single" w:sz="8" w:space="0" w:color="auto"/>
              <w:left w:val="nil"/>
              <w:bottom w:val="single" w:sz="8" w:space="0" w:color="auto"/>
              <w:right w:val="nil"/>
            </w:tcBorders>
            <w:noWrap/>
            <w:tcMar>
              <w:top w:w="14" w:type="dxa"/>
              <w:left w:w="115" w:type="dxa"/>
              <w:bottom w:w="14" w:type="dxa"/>
              <w:right w:w="115" w:type="dxa"/>
            </w:tcMar>
            <w:vAlign w:val="center"/>
            <w:hideMark/>
          </w:tcPr>
          <w:p w14:paraId="0DCA9A3B" w14:textId="77777777" w:rsidR="00693CE2" w:rsidRPr="00E15368" w:rsidRDefault="00693CE2" w:rsidP="00A927AE">
            <w:pPr>
              <w:spacing w:before="40" w:after="40" w:line="240" w:lineRule="auto"/>
              <w:ind w:firstLine="0"/>
              <w:jc w:val="center"/>
              <w:rPr>
                <w:rFonts w:eastAsia="Times New Roman" w:cs="Times New Roman"/>
                <w:color w:val="000000"/>
                <w:szCs w:val="24"/>
              </w:rPr>
            </w:pPr>
            <w:r w:rsidRPr="00E15368">
              <w:rPr>
                <w:rFonts w:eastAsia="Times New Roman" w:cs="Times New Roman"/>
                <w:color w:val="000000"/>
                <w:szCs w:val="24"/>
              </w:rPr>
              <w:t>Otolith Region</w:t>
            </w:r>
          </w:p>
        </w:tc>
        <w:tc>
          <w:tcPr>
            <w:tcW w:w="1237" w:type="pct"/>
            <w:tcBorders>
              <w:top w:val="single" w:sz="8" w:space="0" w:color="auto"/>
              <w:left w:val="nil"/>
              <w:bottom w:val="single" w:sz="8" w:space="0" w:color="auto"/>
              <w:right w:val="nil"/>
            </w:tcBorders>
            <w:noWrap/>
            <w:tcMar>
              <w:top w:w="14" w:type="dxa"/>
              <w:left w:w="115" w:type="dxa"/>
              <w:bottom w:w="14" w:type="dxa"/>
              <w:right w:w="115" w:type="dxa"/>
            </w:tcMar>
            <w:vAlign w:val="center"/>
            <w:hideMark/>
          </w:tcPr>
          <w:p w14:paraId="308B780A" w14:textId="77777777" w:rsidR="00693CE2" w:rsidRPr="00E15368" w:rsidRDefault="00693CE2" w:rsidP="00A927AE">
            <w:pPr>
              <w:spacing w:before="40" w:after="40" w:line="240" w:lineRule="auto"/>
              <w:ind w:firstLine="0"/>
              <w:jc w:val="center"/>
              <w:rPr>
                <w:rFonts w:eastAsia="Times New Roman" w:cs="Times New Roman"/>
                <w:color w:val="000000"/>
                <w:szCs w:val="24"/>
              </w:rPr>
            </w:pPr>
            <w:r w:rsidRPr="00E15368">
              <w:rPr>
                <w:rFonts w:eastAsia="Times New Roman" w:cs="Times New Roman"/>
                <w:color w:val="000000"/>
                <w:szCs w:val="24"/>
              </w:rPr>
              <w:t>Group</w:t>
            </w:r>
          </w:p>
        </w:tc>
        <w:tc>
          <w:tcPr>
            <w:tcW w:w="649" w:type="pct"/>
            <w:tcBorders>
              <w:top w:val="single" w:sz="8" w:space="0" w:color="auto"/>
              <w:left w:val="nil"/>
              <w:bottom w:val="single" w:sz="8" w:space="0" w:color="auto"/>
              <w:right w:val="nil"/>
            </w:tcBorders>
            <w:noWrap/>
            <w:tcMar>
              <w:top w:w="14" w:type="dxa"/>
              <w:left w:w="115" w:type="dxa"/>
              <w:bottom w:w="14" w:type="dxa"/>
              <w:right w:w="115" w:type="dxa"/>
            </w:tcMar>
            <w:vAlign w:val="center"/>
            <w:hideMark/>
          </w:tcPr>
          <w:p w14:paraId="7188F0B8" w14:textId="77777777" w:rsidR="00693CE2" w:rsidRPr="00E15368" w:rsidRDefault="00693CE2" w:rsidP="00A927AE">
            <w:pPr>
              <w:spacing w:before="40" w:after="40" w:line="240" w:lineRule="auto"/>
              <w:ind w:firstLine="0"/>
              <w:jc w:val="center"/>
              <w:rPr>
                <w:rFonts w:eastAsia="Times New Roman" w:cs="Times New Roman"/>
                <w:color w:val="000000"/>
                <w:szCs w:val="24"/>
              </w:rPr>
            </w:pPr>
            <w:r w:rsidRPr="00E15368">
              <w:rPr>
                <w:rFonts w:eastAsia="Times New Roman" w:cs="Times New Roman"/>
                <w:color w:val="000000"/>
                <w:szCs w:val="24"/>
              </w:rPr>
              <w:t xml:space="preserve">Test </w:t>
            </w:r>
            <w:r>
              <w:rPr>
                <w:rFonts w:eastAsia="Times New Roman" w:cs="Times New Roman"/>
                <w:color w:val="000000"/>
                <w:szCs w:val="24"/>
              </w:rPr>
              <w:t>S</w:t>
            </w:r>
            <w:r w:rsidRPr="00E15368">
              <w:rPr>
                <w:rFonts w:eastAsia="Times New Roman" w:cs="Times New Roman"/>
                <w:color w:val="000000"/>
                <w:szCs w:val="24"/>
              </w:rPr>
              <w:t>tatistic</w:t>
            </w:r>
          </w:p>
        </w:tc>
        <w:tc>
          <w:tcPr>
            <w:tcW w:w="639" w:type="pct"/>
            <w:tcBorders>
              <w:top w:val="single" w:sz="8" w:space="0" w:color="auto"/>
              <w:left w:val="nil"/>
              <w:bottom w:val="single" w:sz="8" w:space="0" w:color="auto"/>
            </w:tcBorders>
            <w:noWrap/>
            <w:tcMar>
              <w:top w:w="14" w:type="dxa"/>
              <w:left w:w="115" w:type="dxa"/>
              <w:bottom w:w="14" w:type="dxa"/>
              <w:right w:w="115" w:type="dxa"/>
            </w:tcMar>
            <w:vAlign w:val="center"/>
            <w:hideMark/>
          </w:tcPr>
          <w:p w14:paraId="2D87C1EC" w14:textId="77777777" w:rsidR="00693CE2" w:rsidRPr="00E15368" w:rsidRDefault="00693CE2" w:rsidP="00A927AE">
            <w:pPr>
              <w:spacing w:before="40" w:after="40" w:line="240" w:lineRule="auto"/>
              <w:ind w:firstLine="0"/>
              <w:jc w:val="center"/>
              <w:rPr>
                <w:rFonts w:eastAsia="Times New Roman" w:cs="Times New Roman"/>
                <w:i/>
                <w:iCs/>
                <w:color w:val="000000"/>
                <w:szCs w:val="24"/>
              </w:rPr>
            </w:pPr>
            <w:r w:rsidRPr="00E15368">
              <w:rPr>
                <w:rFonts w:eastAsia="Times New Roman" w:cs="Times New Roman"/>
                <w:i/>
                <w:iCs/>
                <w:color w:val="000000"/>
                <w:szCs w:val="24"/>
              </w:rPr>
              <w:t>p</w:t>
            </w:r>
          </w:p>
        </w:tc>
      </w:tr>
      <w:tr w:rsidR="00693CE2" w:rsidRPr="00E15368" w14:paraId="0758BF8C" w14:textId="77777777" w:rsidTr="00A927AE">
        <w:trPr>
          <w:trHeight w:val="288"/>
        </w:trPr>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1C4058F0"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vertAlign w:val="superscript"/>
              </w:rPr>
              <w:t>87</w:t>
            </w:r>
            <w:r w:rsidRPr="00E15368">
              <w:rPr>
                <w:rFonts w:eastAsia="Times New Roman" w:cs="Times New Roman"/>
                <w:color w:val="000000"/>
                <w:sz w:val="20"/>
                <w:szCs w:val="20"/>
              </w:rPr>
              <w:t>Sr/</w:t>
            </w:r>
            <w:r w:rsidRPr="00E15368">
              <w:rPr>
                <w:rFonts w:eastAsia="Times New Roman" w:cs="Times New Roman"/>
                <w:color w:val="000000"/>
                <w:sz w:val="20"/>
                <w:szCs w:val="20"/>
                <w:vertAlign w:val="superscript"/>
              </w:rPr>
              <w:t>86</w:t>
            </w:r>
            <w:r w:rsidRPr="00E15368">
              <w:rPr>
                <w:rFonts w:eastAsia="Times New Roman" w:cs="Times New Roman"/>
                <w:color w:val="000000"/>
                <w:sz w:val="20"/>
                <w:szCs w:val="20"/>
              </w:rPr>
              <w:t>Sr</w:t>
            </w: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BA0B7CA"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Freshwater</w:t>
            </w:r>
          </w:p>
        </w:tc>
        <w:tc>
          <w:tcPr>
            <w:tcW w:w="1237" w:type="pct"/>
            <w:tcBorders>
              <w:top w:val="single" w:sz="8" w:space="0" w:color="auto"/>
            </w:tcBorders>
            <w:noWrap/>
            <w:tcMar>
              <w:top w:w="14" w:type="dxa"/>
              <w:left w:w="115" w:type="dxa"/>
              <w:bottom w:w="14" w:type="dxa"/>
              <w:right w:w="115" w:type="dxa"/>
            </w:tcMar>
            <w:vAlign w:val="center"/>
            <w:hideMark/>
          </w:tcPr>
          <w:p w14:paraId="0FB7C0F7"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17726B85" w14:textId="77777777" w:rsidR="00693CE2" w:rsidRPr="00E15368" w:rsidRDefault="00693CE2" w:rsidP="00A927AE">
            <w:pPr>
              <w:spacing w:line="240" w:lineRule="auto"/>
              <w:ind w:firstLine="0"/>
              <w:jc w:val="center"/>
              <w:rPr>
                <w:rFonts w:eastAsia="Times New Roman" w:cs="Times New Roman"/>
                <w:sz w:val="20"/>
                <w:szCs w:val="20"/>
              </w:rPr>
            </w:pPr>
            <w:r w:rsidRPr="00E15368">
              <w:rPr>
                <w:rFonts w:eastAsia="Times New Roman" w:cs="Times New Roman"/>
                <w:sz w:val="20"/>
                <w:szCs w:val="20"/>
              </w:rPr>
              <w:t>8.20</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1B93921A" w14:textId="77777777" w:rsidR="00693CE2" w:rsidRPr="00E15368" w:rsidRDefault="00693CE2" w:rsidP="00A927AE">
            <w:pPr>
              <w:spacing w:line="240" w:lineRule="auto"/>
              <w:ind w:firstLine="0"/>
              <w:jc w:val="center"/>
              <w:rPr>
                <w:rFonts w:eastAsia="Times New Roman" w:cs="Times New Roman"/>
                <w:sz w:val="20"/>
                <w:szCs w:val="20"/>
              </w:rPr>
            </w:pPr>
            <w:r w:rsidRPr="00E15368">
              <w:rPr>
                <w:rFonts w:eastAsia="Times New Roman" w:cs="Times New Roman"/>
                <w:sz w:val="20"/>
                <w:szCs w:val="20"/>
              </w:rPr>
              <w:t>0.0420</w:t>
            </w:r>
          </w:p>
        </w:tc>
      </w:tr>
      <w:tr w:rsidR="00693CE2" w:rsidRPr="00E15368" w14:paraId="48BF7C3D"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2B91800"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1DAB667"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7E9477BD"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20C28433"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615659CA"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143D0258"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50E128A"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37EA24EE"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2C978E69"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a,b</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4D3F24B7"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0A7060C4"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634AFB84"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038F93DC"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362800A4"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37AD6361"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b</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11CA44E0"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17C1078A"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2890424B"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E9FF49B"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977CF99"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Core</w:t>
            </w:r>
          </w:p>
        </w:tc>
        <w:tc>
          <w:tcPr>
            <w:tcW w:w="1237" w:type="pct"/>
            <w:tcBorders>
              <w:top w:val="single" w:sz="8" w:space="0" w:color="auto"/>
            </w:tcBorders>
            <w:noWrap/>
            <w:tcMar>
              <w:top w:w="14" w:type="dxa"/>
              <w:left w:w="115" w:type="dxa"/>
              <w:bottom w:w="14" w:type="dxa"/>
              <w:right w:w="115" w:type="dxa"/>
            </w:tcMar>
            <w:vAlign w:val="center"/>
            <w:hideMark/>
          </w:tcPr>
          <w:p w14:paraId="34641300"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7E39A87C"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21.50</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050193D0"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8.29E-05</w:t>
            </w:r>
          </w:p>
        </w:tc>
      </w:tr>
      <w:tr w:rsidR="00693CE2" w:rsidRPr="00E15368" w14:paraId="2BF67780"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14C05C5"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C863E32"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650CBFA8"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b</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3521726A"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5F2F12F0"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3247D6A0"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29533C13"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9345ED2"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692687C9"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b,c</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063420A3"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18D4AEEF"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3ED78426"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09017CC3"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91C0701"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634573BF"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c</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7A76640A"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2AE8C4ED"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13857C78" w14:textId="77777777" w:rsidTr="00A927AE">
        <w:trPr>
          <w:trHeight w:val="288"/>
        </w:trPr>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CF58DA7"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Sr/Ca</w:t>
            </w: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2348366E"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Freshwater</w:t>
            </w:r>
          </w:p>
        </w:tc>
        <w:tc>
          <w:tcPr>
            <w:tcW w:w="1237" w:type="pct"/>
            <w:tcBorders>
              <w:top w:val="single" w:sz="8" w:space="0" w:color="auto"/>
            </w:tcBorders>
            <w:noWrap/>
            <w:tcMar>
              <w:top w:w="14" w:type="dxa"/>
              <w:left w:w="115" w:type="dxa"/>
              <w:bottom w:w="14" w:type="dxa"/>
              <w:right w:w="115" w:type="dxa"/>
            </w:tcMar>
            <w:vAlign w:val="center"/>
            <w:hideMark/>
          </w:tcPr>
          <w:p w14:paraId="245CF00E"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1C72179D"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37.4</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000A34C"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3.80E-08</w:t>
            </w:r>
          </w:p>
        </w:tc>
      </w:tr>
      <w:tr w:rsidR="00693CE2" w:rsidRPr="00E15368" w14:paraId="5655246F"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0304C39E"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68D12477"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3A70DF8C"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b</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173CC113"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10C7A6C2"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4DF15D0E"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B63ACDD"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59EB5B66"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351E2BFA"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c</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6189DA14"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00801D51"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6CA6B148"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3F8BB781"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6E0BB7DC"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5299779E"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d</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648EDC9C"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57B2424F"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09A75DA0"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51EBF62A"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44F8F62"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Core</w:t>
            </w:r>
          </w:p>
        </w:tc>
        <w:tc>
          <w:tcPr>
            <w:tcW w:w="1237" w:type="pct"/>
            <w:tcBorders>
              <w:top w:val="single" w:sz="8" w:space="0" w:color="auto"/>
            </w:tcBorders>
            <w:noWrap/>
            <w:tcMar>
              <w:top w:w="14" w:type="dxa"/>
              <w:left w:w="115" w:type="dxa"/>
              <w:bottom w:w="14" w:type="dxa"/>
              <w:right w:w="115" w:type="dxa"/>
            </w:tcMar>
            <w:vAlign w:val="center"/>
            <w:hideMark/>
          </w:tcPr>
          <w:p w14:paraId="5B3C928B"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3DCEC692"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35.0</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40A4B458"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1.24E-07</w:t>
            </w:r>
          </w:p>
        </w:tc>
      </w:tr>
      <w:tr w:rsidR="00693CE2" w:rsidRPr="00E15368" w14:paraId="3F008A31"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4BF8BCD"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3633F04"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41756CEC"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b</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50E065F0"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4BB3779C"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55C9FC8A"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2C25092"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399B18D"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7A3D571E"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c</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1E44257E"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375F1589"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566DA6DC"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0EA16D2"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6F7A4436"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4097C839"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d</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19E90F3F" w14:textId="77777777" w:rsidR="00693CE2" w:rsidRPr="00E15368" w:rsidRDefault="00693CE2" w:rsidP="00A927AE">
            <w:pPr>
              <w:spacing w:line="240" w:lineRule="auto"/>
              <w:ind w:firstLine="0"/>
              <w:jc w:val="center"/>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1CFAA3E1" w14:textId="77777777" w:rsidR="00693CE2" w:rsidRPr="00E15368" w:rsidRDefault="00693CE2" w:rsidP="00A927AE">
            <w:pPr>
              <w:spacing w:line="240" w:lineRule="auto"/>
              <w:ind w:firstLine="0"/>
              <w:jc w:val="center"/>
              <w:rPr>
                <w:rFonts w:eastAsia="Times New Roman" w:cs="Times New Roman"/>
                <w:color w:val="333333"/>
                <w:sz w:val="20"/>
                <w:szCs w:val="20"/>
              </w:rPr>
            </w:pPr>
          </w:p>
        </w:tc>
      </w:tr>
      <w:tr w:rsidR="00693CE2" w:rsidRPr="00E15368" w14:paraId="767AED1F" w14:textId="77777777" w:rsidTr="00A927AE">
        <w:trPr>
          <w:trHeight w:val="288"/>
        </w:trPr>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47A721A2"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Ba/Ca</w:t>
            </w: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71C22A47"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Freshwater</w:t>
            </w:r>
          </w:p>
        </w:tc>
        <w:tc>
          <w:tcPr>
            <w:tcW w:w="1237" w:type="pct"/>
            <w:tcBorders>
              <w:top w:val="single" w:sz="8" w:space="0" w:color="auto"/>
            </w:tcBorders>
            <w:noWrap/>
            <w:tcMar>
              <w:top w:w="14" w:type="dxa"/>
              <w:left w:w="115" w:type="dxa"/>
              <w:bottom w:w="14" w:type="dxa"/>
              <w:right w:w="115" w:type="dxa"/>
            </w:tcMar>
            <w:vAlign w:val="center"/>
            <w:hideMark/>
          </w:tcPr>
          <w:p w14:paraId="40DCCB3F"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716E07A0" w14:textId="77777777" w:rsidR="00693CE2" w:rsidRPr="00E15368" w:rsidRDefault="00693CE2" w:rsidP="00A927AE">
            <w:pPr>
              <w:spacing w:line="240" w:lineRule="auto"/>
              <w:ind w:firstLine="0"/>
              <w:jc w:val="center"/>
              <w:rPr>
                <w:rFonts w:eastAsia="Times New Roman" w:cs="Times New Roman"/>
                <w:sz w:val="20"/>
                <w:szCs w:val="20"/>
              </w:rPr>
            </w:pPr>
            <w:r w:rsidRPr="00E15368">
              <w:rPr>
                <w:rFonts w:eastAsia="Times New Roman" w:cs="Times New Roman"/>
                <w:sz w:val="20"/>
                <w:szCs w:val="20"/>
              </w:rPr>
              <w:t>0.710</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252779DE" w14:textId="77777777" w:rsidR="00693CE2" w:rsidRPr="00E15368" w:rsidRDefault="00693CE2" w:rsidP="00A927AE">
            <w:pPr>
              <w:spacing w:line="240" w:lineRule="auto"/>
              <w:ind w:firstLine="0"/>
              <w:jc w:val="center"/>
              <w:rPr>
                <w:rFonts w:eastAsia="Times New Roman" w:cs="Times New Roman"/>
                <w:sz w:val="20"/>
                <w:szCs w:val="20"/>
              </w:rPr>
            </w:pPr>
            <w:r w:rsidRPr="00E15368">
              <w:rPr>
                <w:rFonts w:eastAsia="Times New Roman" w:cs="Times New Roman"/>
                <w:sz w:val="20"/>
                <w:szCs w:val="20"/>
              </w:rPr>
              <w:t>0.871</w:t>
            </w:r>
          </w:p>
        </w:tc>
      </w:tr>
      <w:tr w:rsidR="00693CE2" w:rsidRPr="00E15368" w14:paraId="5D5FDF1B"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64E7B64C"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28495B27"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213A9CF8"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60A4999A"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25A59C09"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69029221"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1FF06D8"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6FB665DB"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436E7726"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7FDDB88E"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77FE11EC"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5CD3EB6A"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22ACDE85"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5CE168AF"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4E79EFA5"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36EB6043" w14:textId="77777777" w:rsidR="00693CE2" w:rsidRPr="00E15368" w:rsidRDefault="00693CE2" w:rsidP="00A927AE">
            <w:pPr>
              <w:spacing w:line="240" w:lineRule="auto"/>
              <w:ind w:firstLine="0"/>
              <w:jc w:val="center"/>
              <w:rPr>
                <w:rFonts w:eastAsia="Times New Roman" w:cs="Times New Roman"/>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7ED8C393" w14:textId="77777777" w:rsidR="00693CE2" w:rsidRPr="00E15368" w:rsidRDefault="00693CE2" w:rsidP="00A927AE">
            <w:pPr>
              <w:spacing w:line="240" w:lineRule="auto"/>
              <w:ind w:firstLine="0"/>
              <w:jc w:val="center"/>
              <w:rPr>
                <w:rFonts w:eastAsia="Times New Roman" w:cs="Times New Roman"/>
                <w:sz w:val="20"/>
                <w:szCs w:val="20"/>
              </w:rPr>
            </w:pPr>
          </w:p>
        </w:tc>
      </w:tr>
      <w:tr w:rsidR="00693CE2" w:rsidRPr="00E15368" w14:paraId="5391959B"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48FB3C04" w14:textId="77777777" w:rsidR="00693CE2" w:rsidRPr="00E15368" w:rsidRDefault="00693CE2" w:rsidP="00A927AE">
            <w:pPr>
              <w:spacing w:line="240" w:lineRule="auto"/>
              <w:ind w:firstLine="0"/>
              <w:jc w:val="center"/>
              <w:rPr>
                <w:rFonts w:eastAsia="Times New Roman" w:cs="Times New Roman"/>
                <w:color w:val="000000"/>
                <w:sz w:val="20"/>
                <w:szCs w:val="20"/>
              </w:rPr>
            </w:pPr>
          </w:p>
        </w:tc>
        <w:tc>
          <w:tcPr>
            <w:tcW w:w="1237"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693A3E9E"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Core</w:t>
            </w:r>
          </w:p>
        </w:tc>
        <w:tc>
          <w:tcPr>
            <w:tcW w:w="1237" w:type="pct"/>
            <w:tcBorders>
              <w:top w:val="single" w:sz="8" w:space="0" w:color="auto"/>
            </w:tcBorders>
            <w:noWrap/>
            <w:tcMar>
              <w:top w:w="14" w:type="dxa"/>
              <w:left w:w="115" w:type="dxa"/>
              <w:bottom w:w="14" w:type="dxa"/>
              <w:right w:w="115" w:type="dxa"/>
            </w:tcMar>
            <w:vAlign w:val="center"/>
            <w:hideMark/>
          </w:tcPr>
          <w:p w14:paraId="7A811314"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C99</w:t>
            </w:r>
            <w:r w:rsidRPr="00E15368">
              <w:rPr>
                <w:rFonts w:eastAsia="Times New Roman" w:cs="Times New Roman"/>
                <w:color w:val="000000"/>
                <w:sz w:val="20"/>
                <w:szCs w:val="20"/>
                <w:vertAlign w:val="superscript"/>
              </w:rPr>
              <w:t>a</w:t>
            </w:r>
          </w:p>
        </w:tc>
        <w:tc>
          <w:tcPr>
            <w:tcW w:w="64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44C5E4BF"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7.39</w:t>
            </w:r>
          </w:p>
        </w:tc>
        <w:tc>
          <w:tcPr>
            <w:tcW w:w="639" w:type="pct"/>
            <w:vMerge w:val="restart"/>
            <w:tcBorders>
              <w:top w:val="single" w:sz="8" w:space="0" w:color="auto"/>
              <w:bottom w:val="single" w:sz="8" w:space="0" w:color="auto"/>
            </w:tcBorders>
            <w:noWrap/>
            <w:tcMar>
              <w:top w:w="0" w:type="dxa"/>
              <w:left w:w="115" w:type="dxa"/>
              <w:bottom w:w="0" w:type="dxa"/>
              <w:right w:w="115" w:type="dxa"/>
            </w:tcMar>
            <w:vAlign w:val="center"/>
            <w:hideMark/>
          </w:tcPr>
          <w:p w14:paraId="76E53E3D" w14:textId="77777777" w:rsidR="00693CE2" w:rsidRPr="00E15368" w:rsidRDefault="00693CE2" w:rsidP="00A927AE">
            <w:pPr>
              <w:spacing w:line="240" w:lineRule="auto"/>
              <w:ind w:firstLine="0"/>
              <w:jc w:val="center"/>
              <w:rPr>
                <w:rFonts w:eastAsia="Times New Roman" w:cs="Times New Roman"/>
                <w:color w:val="333333"/>
                <w:sz w:val="20"/>
                <w:szCs w:val="20"/>
              </w:rPr>
            </w:pPr>
            <w:r w:rsidRPr="00E15368">
              <w:rPr>
                <w:rFonts w:eastAsia="Times New Roman" w:cs="Times New Roman"/>
                <w:color w:val="333333"/>
                <w:sz w:val="20"/>
                <w:szCs w:val="20"/>
              </w:rPr>
              <w:t>0.0605</w:t>
            </w:r>
          </w:p>
        </w:tc>
      </w:tr>
      <w:tr w:rsidR="00693CE2" w:rsidRPr="00E15368" w14:paraId="3121D65C"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325476F"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83224EC"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56BF4308"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EL</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027B66D2" w14:textId="77777777" w:rsidR="00693CE2" w:rsidRPr="00E15368" w:rsidRDefault="00693CE2" w:rsidP="00A927AE">
            <w:pPr>
              <w:spacing w:line="240" w:lineRule="auto"/>
              <w:ind w:firstLine="0"/>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532442C1" w14:textId="77777777" w:rsidR="00693CE2" w:rsidRPr="00E15368" w:rsidRDefault="00693CE2" w:rsidP="00A927AE">
            <w:pPr>
              <w:spacing w:line="240" w:lineRule="auto"/>
              <w:ind w:firstLine="0"/>
              <w:rPr>
                <w:rFonts w:eastAsia="Times New Roman" w:cs="Times New Roman"/>
                <w:color w:val="333333"/>
                <w:sz w:val="20"/>
                <w:szCs w:val="20"/>
              </w:rPr>
            </w:pPr>
          </w:p>
        </w:tc>
      </w:tr>
      <w:tr w:rsidR="00693CE2" w:rsidRPr="00E15368" w14:paraId="250401BD" w14:textId="77777777" w:rsidTr="00A927AE">
        <w:trPr>
          <w:trHeight w:val="288"/>
        </w:trPr>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7A2955A5"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vMerge/>
            <w:tcBorders>
              <w:top w:val="single" w:sz="8" w:space="0" w:color="auto"/>
              <w:bottom w:val="single" w:sz="8" w:space="0" w:color="auto"/>
            </w:tcBorders>
            <w:noWrap/>
            <w:tcMar>
              <w:top w:w="0" w:type="dxa"/>
              <w:left w:w="115" w:type="dxa"/>
              <w:bottom w:w="0" w:type="dxa"/>
              <w:right w:w="115" w:type="dxa"/>
            </w:tcMar>
            <w:vAlign w:val="center"/>
            <w:hideMark/>
          </w:tcPr>
          <w:p w14:paraId="1EC78D0F"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noWrap/>
            <w:tcMar>
              <w:top w:w="14" w:type="dxa"/>
              <w:left w:w="115" w:type="dxa"/>
              <w:bottom w:w="14" w:type="dxa"/>
              <w:right w:w="115" w:type="dxa"/>
            </w:tcMar>
            <w:vAlign w:val="center"/>
            <w:hideMark/>
          </w:tcPr>
          <w:p w14:paraId="687B4480"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KK</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auto"/>
            </w:tcBorders>
            <w:noWrap/>
            <w:tcMar>
              <w:top w:w="0" w:type="dxa"/>
              <w:left w:w="115" w:type="dxa"/>
              <w:bottom w:w="0" w:type="dxa"/>
              <w:right w:w="115" w:type="dxa"/>
            </w:tcMar>
            <w:vAlign w:val="center"/>
            <w:hideMark/>
          </w:tcPr>
          <w:p w14:paraId="5BFFCA59" w14:textId="77777777" w:rsidR="00693CE2" w:rsidRPr="00E15368" w:rsidRDefault="00693CE2" w:rsidP="00A927AE">
            <w:pPr>
              <w:spacing w:line="240" w:lineRule="auto"/>
              <w:ind w:firstLine="0"/>
              <w:rPr>
                <w:rFonts w:eastAsia="Times New Roman" w:cs="Times New Roman"/>
                <w:color w:val="333333"/>
                <w:sz w:val="20"/>
                <w:szCs w:val="20"/>
              </w:rPr>
            </w:pPr>
          </w:p>
        </w:tc>
        <w:tc>
          <w:tcPr>
            <w:tcW w:w="639" w:type="pct"/>
            <w:vMerge/>
            <w:tcBorders>
              <w:top w:val="single" w:sz="8" w:space="0" w:color="auto"/>
              <w:bottom w:val="single" w:sz="8" w:space="0" w:color="auto"/>
            </w:tcBorders>
            <w:noWrap/>
            <w:tcMar>
              <w:top w:w="0" w:type="dxa"/>
              <w:left w:w="115" w:type="dxa"/>
              <w:bottom w:w="0" w:type="dxa"/>
              <w:right w:w="115" w:type="dxa"/>
            </w:tcMar>
            <w:vAlign w:val="center"/>
            <w:hideMark/>
          </w:tcPr>
          <w:p w14:paraId="7F02AF17" w14:textId="77777777" w:rsidR="00693CE2" w:rsidRPr="00E15368" w:rsidRDefault="00693CE2" w:rsidP="00A927AE">
            <w:pPr>
              <w:spacing w:line="240" w:lineRule="auto"/>
              <w:ind w:firstLine="0"/>
              <w:rPr>
                <w:rFonts w:eastAsia="Times New Roman" w:cs="Times New Roman"/>
                <w:color w:val="333333"/>
                <w:sz w:val="20"/>
                <w:szCs w:val="20"/>
              </w:rPr>
            </w:pPr>
          </w:p>
        </w:tc>
      </w:tr>
      <w:tr w:rsidR="00693CE2" w:rsidRPr="00E15368" w14:paraId="5FE47B55" w14:textId="77777777" w:rsidTr="00A927AE">
        <w:trPr>
          <w:trHeight w:val="288"/>
        </w:trPr>
        <w:tc>
          <w:tcPr>
            <w:tcW w:w="1237" w:type="pct"/>
            <w:vMerge/>
            <w:tcBorders>
              <w:top w:val="single" w:sz="8" w:space="0" w:color="auto"/>
              <w:bottom w:val="single" w:sz="8" w:space="0" w:color="000000"/>
            </w:tcBorders>
            <w:noWrap/>
            <w:tcMar>
              <w:top w:w="0" w:type="dxa"/>
              <w:left w:w="115" w:type="dxa"/>
              <w:bottom w:w="0" w:type="dxa"/>
              <w:right w:w="115" w:type="dxa"/>
            </w:tcMar>
            <w:vAlign w:val="center"/>
            <w:hideMark/>
          </w:tcPr>
          <w:p w14:paraId="25C37738"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vMerge/>
            <w:tcBorders>
              <w:top w:val="single" w:sz="8" w:space="0" w:color="auto"/>
              <w:bottom w:val="single" w:sz="8" w:space="0" w:color="000000"/>
            </w:tcBorders>
            <w:noWrap/>
            <w:tcMar>
              <w:top w:w="0" w:type="dxa"/>
              <w:left w:w="115" w:type="dxa"/>
              <w:bottom w:w="0" w:type="dxa"/>
              <w:right w:w="115" w:type="dxa"/>
            </w:tcMar>
            <w:vAlign w:val="center"/>
            <w:hideMark/>
          </w:tcPr>
          <w:p w14:paraId="56C164BA" w14:textId="77777777" w:rsidR="00693CE2" w:rsidRPr="00E15368" w:rsidRDefault="00693CE2" w:rsidP="00A927AE">
            <w:pPr>
              <w:spacing w:line="240" w:lineRule="auto"/>
              <w:ind w:firstLine="0"/>
              <w:rPr>
                <w:rFonts w:eastAsia="Times New Roman" w:cs="Times New Roman"/>
                <w:color w:val="000000"/>
                <w:sz w:val="20"/>
                <w:szCs w:val="20"/>
              </w:rPr>
            </w:pPr>
          </w:p>
        </w:tc>
        <w:tc>
          <w:tcPr>
            <w:tcW w:w="1237" w:type="pct"/>
            <w:tcBorders>
              <w:bottom w:val="single" w:sz="8" w:space="0" w:color="auto"/>
            </w:tcBorders>
            <w:noWrap/>
            <w:tcMar>
              <w:top w:w="14" w:type="dxa"/>
              <w:left w:w="115" w:type="dxa"/>
              <w:bottom w:w="14" w:type="dxa"/>
              <w:right w:w="115" w:type="dxa"/>
            </w:tcMar>
            <w:vAlign w:val="center"/>
            <w:hideMark/>
          </w:tcPr>
          <w:p w14:paraId="5442150D" w14:textId="77777777" w:rsidR="00693CE2" w:rsidRPr="00E15368" w:rsidRDefault="00693CE2" w:rsidP="00A927AE">
            <w:pPr>
              <w:spacing w:line="240" w:lineRule="auto"/>
              <w:ind w:firstLine="0"/>
              <w:jc w:val="center"/>
              <w:rPr>
                <w:rFonts w:eastAsia="Times New Roman" w:cs="Times New Roman"/>
                <w:color w:val="000000"/>
                <w:sz w:val="20"/>
                <w:szCs w:val="20"/>
              </w:rPr>
            </w:pPr>
            <w:r w:rsidRPr="00E15368">
              <w:rPr>
                <w:rFonts w:eastAsia="Times New Roman" w:cs="Times New Roman"/>
                <w:color w:val="000000"/>
                <w:sz w:val="20"/>
                <w:szCs w:val="20"/>
              </w:rPr>
              <w:t>PH</w:t>
            </w:r>
            <w:r w:rsidRPr="00E15368">
              <w:rPr>
                <w:rFonts w:eastAsia="Times New Roman" w:cs="Times New Roman"/>
                <w:color w:val="000000"/>
                <w:sz w:val="20"/>
                <w:szCs w:val="20"/>
                <w:vertAlign w:val="superscript"/>
              </w:rPr>
              <w:t>a</w:t>
            </w:r>
          </w:p>
        </w:tc>
        <w:tc>
          <w:tcPr>
            <w:tcW w:w="649" w:type="pct"/>
            <w:vMerge/>
            <w:tcBorders>
              <w:top w:val="single" w:sz="8" w:space="0" w:color="auto"/>
              <w:bottom w:val="single" w:sz="8" w:space="0" w:color="000000"/>
            </w:tcBorders>
            <w:noWrap/>
            <w:tcMar>
              <w:top w:w="0" w:type="dxa"/>
              <w:left w:w="115" w:type="dxa"/>
              <w:bottom w:w="0" w:type="dxa"/>
              <w:right w:w="115" w:type="dxa"/>
            </w:tcMar>
            <w:vAlign w:val="center"/>
            <w:hideMark/>
          </w:tcPr>
          <w:p w14:paraId="062E79A1" w14:textId="77777777" w:rsidR="00693CE2" w:rsidRPr="00E15368" w:rsidRDefault="00693CE2" w:rsidP="00A927AE">
            <w:pPr>
              <w:spacing w:line="240" w:lineRule="auto"/>
              <w:ind w:firstLine="0"/>
              <w:rPr>
                <w:rFonts w:eastAsia="Times New Roman" w:cs="Times New Roman"/>
                <w:color w:val="333333"/>
                <w:sz w:val="20"/>
                <w:szCs w:val="20"/>
              </w:rPr>
            </w:pPr>
          </w:p>
        </w:tc>
        <w:tc>
          <w:tcPr>
            <w:tcW w:w="639" w:type="pct"/>
            <w:vMerge/>
            <w:tcBorders>
              <w:top w:val="single" w:sz="8" w:space="0" w:color="auto"/>
              <w:bottom w:val="single" w:sz="8" w:space="0" w:color="000000"/>
            </w:tcBorders>
            <w:noWrap/>
            <w:tcMar>
              <w:top w:w="0" w:type="dxa"/>
              <w:left w:w="115" w:type="dxa"/>
              <w:bottom w:w="0" w:type="dxa"/>
              <w:right w:w="115" w:type="dxa"/>
            </w:tcMar>
            <w:vAlign w:val="center"/>
            <w:hideMark/>
          </w:tcPr>
          <w:p w14:paraId="3FFCCA2A" w14:textId="77777777" w:rsidR="00693CE2" w:rsidRPr="00E15368" w:rsidRDefault="00693CE2" w:rsidP="00A927AE">
            <w:pPr>
              <w:spacing w:line="240" w:lineRule="auto"/>
              <w:ind w:firstLine="0"/>
              <w:rPr>
                <w:rFonts w:eastAsia="Times New Roman" w:cs="Times New Roman"/>
                <w:color w:val="333333"/>
                <w:sz w:val="20"/>
                <w:szCs w:val="20"/>
              </w:rPr>
            </w:pPr>
          </w:p>
        </w:tc>
      </w:tr>
    </w:tbl>
    <w:p w14:paraId="5B5C500F" w14:textId="77777777" w:rsidR="00693CE2" w:rsidRDefault="00693CE2" w:rsidP="00693CE2">
      <w:pPr>
        <w:pStyle w:val="Tablenote"/>
      </w:pPr>
      <w:r>
        <w:t>Note:</w:t>
      </w:r>
      <w:r w:rsidRPr="007857A8">
        <w:rPr>
          <w:i w:val="0"/>
          <w:iCs/>
        </w:rPr>
        <w:t xml:space="preserve"> Groups with letters in common are not significantly different, as determined by Conover-Iman pairwise comparison. Sampling locations are abbreviated as follows: C99 = Camp-99, EL = Elson Lagoon, KK = Kaktovik, PH = Point Hope.</w:t>
      </w:r>
    </w:p>
    <w:p w14:paraId="7F7823AA" w14:textId="77777777" w:rsidR="00693CE2" w:rsidRDefault="00693CE2" w:rsidP="00693CE2">
      <w:pPr>
        <w:rPr>
          <w:rFonts w:cs="Times New Roman"/>
          <w:szCs w:val="24"/>
        </w:rPr>
      </w:pPr>
    </w:p>
    <w:p w14:paraId="3EFD3741" w14:textId="77777777" w:rsidR="00693CE2" w:rsidRDefault="00693CE2" w:rsidP="00693CE2">
      <w:pPr>
        <w:rPr>
          <w:rFonts w:cs="Times New Roman"/>
          <w:szCs w:val="24"/>
        </w:rPr>
        <w:sectPr w:rsidR="00693CE2" w:rsidSect="00303932">
          <w:headerReference w:type="first" r:id="rId18"/>
          <w:footerReference w:type="first" r:id="rId19"/>
          <w:pgSz w:w="12240" w:h="15840"/>
          <w:pgMar w:top="1440" w:right="1440" w:bottom="1728" w:left="1440" w:header="720" w:footer="720" w:gutter="0"/>
          <w:cols w:space="720"/>
          <w:titlePg/>
          <w:docGrid w:linePitch="360"/>
        </w:sectPr>
      </w:pPr>
    </w:p>
    <w:p w14:paraId="133D9441" w14:textId="60ECDB3D" w:rsidR="00693CE2" w:rsidRDefault="00693CE2" w:rsidP="00693CE2">
      <w:r w:rsidRPr="00526BEE">
        <w:rPr>
          <w:rFonts w:cs="Times New Roman"/>
          <w:szCs w:val="24"/>
        </w:rPr>
        <w:t xml:space="preserve">Strontium </w:t>
      </w:r>
      <w:r>
        <w:rPr>
          <w:rFonts w:cs="Times New Roman"/>
          <w:szCs w:val="24"/>
        </w:rPr>
        <w:t xml:space="preserve">isotopic analyses PWS fish otoliths revealed two distinct general life history trends (Figure 5.3). First, some individuals had otolith </w:t>
      </w:r>
      <w:r w:rsidRPr="004C5990">
        <w:rPr>
          <w:rFonts w:cs="Times New Roman"/>
          <w:szCs w:val="24"/>
          <w:vertAlign w:val="superscript"/>
        </w:rPr>
        <w:t>87</w:t>
      </w:r>
      <w:r>
        <w:rPr>
          <w:rFonts w:cs="Times New Roman"/>
          <w:szCs w:val="24"/>
        </w:rPr>
        <w:t>Sr/</w:t>
      </w:r>
      <w:r w:rsidRPr="004C5990">
        <w:rPr>
          <w:rFonts w:cs="Times New Roman"/>
          <w:szCs w:val="24"/>
          <w:vertAlign w:val="superscript"/>
        </w:rPr>
        <w:t>86</w:t>
      </w:r>
      <w:r>
        <w:rPr>
          <w:rFonts w:cs="Times New Roman"/>
          <w:szCs w:val="24"/>
        </w:rPr>
        <w:t xml:space="preserve">Sr values that never fell below the global marine strontium isotopic value (0.70918). As the water </w:t>
      </w:r>
      <w:r w:rsidRPr="004C5990">
        <w:rPr>
          <w:rFonts w:cs="Times New Roman"/>
          <w:szCs w:val="24"/>
          <w:vertAlign w:val="superscript"/>
        </w:rPr>
        <w:t>87</w:t>
      </w:r>
      <w:r>
        <w:rPr>
          <w:rFonts w:cs="Times New Roman"/>
          <w:szCs w:val="24"/>
        </w:rPr>
        <w:t>Sr/</w:t>
      </w:r>
      <w:r w:rsidRPr="004C5990">
        <w:rPr>
          <w:rFonts w:cs="Times New Roman"/>
          <w:szCs w:val="24"/>
          <w:vertAlign w:val="superscript"/>
        </w:rPr>
        <w:t>86</w:t>
      </w:r>
      <w:r>
        <w:rPr>
          <w:rFonts w:cs="Times New Roman"/>
          <w:szCs w:val="24"/>
        </w:rPr>
        <w:t>Sr of PWS locations in this study had a mean value of 0.707224 (</w:t>
      </w:r>
      <w:r>
        <w:rPr>
          <w:rFonts w:cs="Times New Roman"/>
          <w:szCs w:val="24"/>
          <w:u w:val="single"/>
        </w:rPr>
        <w:t>+</w:t>
      </w:r>
      <w:r>
        <w:rPr>
          <w:rFonts w:cs="Times New Roman"/>
          <w:szCs w:val="24"/>
        </w:rPr>
        <w:t xml:space="preserve">3.14E-4), this likely indicates that these </w:t>
      </w:r>
      <w:r w:rsidRPr="009C02AF">
        <w:rPr>
          <w:rFonts w:cs="Times New Roman"/>
          <w:szCs w:val="24"/>
        </w:rPr>
        <w:t>individuals were spawned in an intertidal location</w:t>
      </w:r>
      <w:r w:rsidR="009C02AF" w:rsidRPr="009C02AF">
        <w:rPr>
          <w:rFonts w:cs="Times New Roman"/>
          <w:szCs w:val="24"/>
        </w:rPr>
        <w:t xml:space="preserve"> (if the freshwater portion of the otolith is equal to the ma</w:t>
      </w:r>
      <w:r w:rsidR="009C02AF">
        <w:rPr>
          <w:rFonts w:cs="Times New Roman"/>
          <w:szCs w:val="24"/>
        </w:rPr>
        <w:t>rine signature) or an unknown hatchery location (if the freshwater portion of the otolith is higher than the marine signature)</w:t>
      </w:r>
      <w:r>
        <w:rPr>
          <w:rFonts w:cs="Times New Roman"/>
          <w:szCs w:val="24"/>
        </w:rPr>
        <w:t xml:space="preserve">. However, there was another group of individuals that did demonstrate a clear downward trend in </w:t>
      </w:r>
      <w:r w:rsidRPr="00212C23">
        <w:rPr>
          <w:rFonts w:cs="Times New Roman"/>
          <w:szCs w:val="24"/>
          <w:vertAlign w:val="superscript"/>
        </w:rPr>
        <w:t>87</w:t>
      </w:r>
      <w:r>
        <w:rPr>
          <w:rFonts w:cs="Times New Roman"/>
          <w:szCs w:val="24"/>
        </w:rPr>
        <w:t>Sr/</w:t>
      </w:r>
      <w:r w:rsidRPr="00212C23">
        <w:rPr>
          <w:rFonts w:cs="Times New Roman"/>
          <w:szCs w:val="24"/>
          <w:vertAlign w:val="superscript"/>
        </w:rPr>
        <w:t>86</w:t>
      </w:r>
      <w:r>
        <w:rPr>
          <w:rFonts w:cs="Times New Roman"/>
          <w:szCs w:val="24"/>
        </w:rPr>
        <w:t xml:space="preserve">Sr in the freshwater portion of the otolith. Although fish that display this life history pattern do have a clear departure from the core in the downward direction, </w:t>
      </w:r>
      <w:r w:rsidRPr="00BA21B0">
        <w:t>the otolith value does not reach equilibrium with water from Hartney Bay (</w:t>
      </w:r>
      <w:r w:rsidRPr="00BA21B0">
        <w:rPr>
          <w:vertAlign w:val="superscript"/>
        </w:rPr>
        <w:t>87</w:t>
      </w:r>
      <w:r w:rsidRPr="00BA21B0">
        <w:t>Sr/</w:t>
      </w:r>
      <w:r w:rsidRPr="00BA21B0">
        <w:rPr>
          <w:vertAlign w:val="superscript"/>
        </w:rPr>
        <w:t>86</w:t>
      </w:r>
      <w:r w:rsidRPr="00BA21B0">
        <w:t>Sr = 0.707002).</w:t>
      </w:r>
      <w:r>
        <w:t xml:space="preserve"> This indicates that while otolith microchemistry can be used successfully to examine the origins of pink salmon on a regional scale, it is unlikely that the exact rivers that fish originate from can be identified using strontium isotopes alone. </w:t>
      </w:r>
    </w:p>
    <w:p w14:paraId="3C6D3AB6" w14:textId="77777777" w:rsidR="00693CE2" w:rsidRPr="004C5990" w:rsidRDefault="00693CE2" w:rsidP="00693CE2">
      <w:pPr>
        <w:rPr>
          <w:rFonts w:cs="Times New Roman"/>
          <w:szCs w:val="24"/>
        </w:rPr>
      </w:pPr>
      <w:r w:rsidRPr="00F92A58">
        <w:rPr>
          <w:rFonts w:cs="Times New Roman"/>
          <w:szCs w:val="24"/>
        </w:rPr>
        <w:t xml:space="preserve">Pink salmon otoliths from NAK </w:t>
      </w:r>
      <w:r>
        <w:rPr>
          <w:rFonts w:cs="Times New Roman"/>
          <w:szCs w:val="24"/>
        </w:rPr>
        <w:t xml:space="preserve">locations </w:t>
      </w:r>
      <w:r w:rsidRPr="00F92A58">
        <w:rPr>
          <w:rFonts w:cs="Times New Roman"/>
          <w:szCs w:val="24"/>
        </w:rPr>
        <w:t xml:space="preserve">demonstrated two general trends (Figure </w:t>
      </w:r>
      <w:r>
        <w:rPr>
          <w:rFonts w:cs="Times New Roman"/>
          <w:szCs w:val="24"/>
        </w:rPr>
        <w:t>5.</w:t>
      </w:r>
      <w:r w:rsidRPr="00F92A58">
        <w:rPr>
          <w:rFonts w:cs="Times New Roman"/>
          <w:szCs w:val="24"/>
        </w:rPr>
        <w:t xml:space="preserve">4): fish that had otolith values higher than the global marine value (0.70918) outside of the core (i.e., in the freshwater portion of the otolith) and fish that had otolith values lower than the global marine value outside of the core. </w:t>
      </w:r>
      <w:r>
        <w:rPr>
          <w:rFonts w:cs="Times New Roman"/>
          <w:szCs w:val="24"/>
        </w:rPr>
        <w:t xml:space="preserve">Given that the mean NAK water </w:t>
      </w:r>
      <w:r w:rsidRPr="006A669A">
        <w:rPr>
          <w:rFonts w:cs="Times New Roman"/>
          <w:szCs w:val="24"/>
          <w:vertAlign w:val="superscript"/>
        </w:rPr>
        <w:t>87</w:t>
      </w:r>
      <w:r>
        <w:rPr>
          <w:rFonts w:cs="Times New Roman"/>
          <w:szCs w:val="24"/>
        </w:rPr>
        <w:t>Sr/</w:t>
      </w:r>
      <w:r w:rsidRPr="006A669A">
        <w:rPr>
          <w:rFonts w:cs="Times New Roman"/>
          <w:szCs w:val="24"/>
          <w:vertAlign w:val="superscript"/>
        </w:rPr>
        <w:t>86</w:t>
      </w:r>
      <w:r>
        <w:rPr>
          <w:rFonts w:cs="Times New Roman"/>
          <w:szCs w:val="24"/>
        </w:rPr>
        <w:t xml:space="preserve">Sr (0.711256 </w:t>
      </w:r>
      <w:r>
        <w:rPr>
          <w:rFonts w:cs="Times New Roman"/>
          <w:szCs w:val="24"/>
          <w:u w:val="single"/>
        </w:rPr>
        <w:t>+</w:t>
      </w:r>
      <w:r>
        <w:rPr>
          <w:rFonts w:cs="Times New Roman"/>
          <w:szCs w:val="24"/>
        </w:rPr>
        <w:t xml:space="preserve">1.51E-3) is well above the global marine value, this indicates that fish from NAK locations that did not have freshwater otolith values greater than 0.70918 likely did not originate in the Arctic. However, for fish from NAK locations where freshwater otolith values are greater than the global marine strontium isotopic value, Arctic origin cannot be ruled out. The majority of fish examined in this study (65%) were likely not of Arctic origin (Figure 5.5). Further, none of the fish captured at Kaktovik or Point Hope appear to be of Arctic origin. However, for 35% of the fish examined in this study, Arctic origin cannot be ruled out. Fish captured at both Camp-99 and Elson Lagoon demonstrated freshwater otoliths that were higher than the global marine </w:t>
      </w:r>
      <w:r w:rsidRPr="0022287F">
        <w:rPr>
          <w:rFonts w:cs="Times New Roman"/>
          <w:szCs w:val="24"/>
          <w:vertAlign w:val="superscript"/>
        </w:rPr>
        <w:t>87</w:t>
      </w:r>
      <w:r>
        <w:rPr>
          <w:rFonts w:cs="Times New Roman"/>
          <w:szCs w:val="24"/>
        </w:rPr>
        <w:t>Sr/</w:t>
      </w:r>
      <w:r w:rsidRPr="0022287F">
        <w:rPr>
          <w:rFonts w:cs="Times New Roman"/>
          <w:szCs w:val="24"/>
          <w:vertAlign w:val="superscript"/>
        </w:rPr>
        <w:t>86</w:t>
      </w:r>
      <w:r>
        <w:rPr>
          <w:rFonts w:cs="Times New Roman"/>
          <w:szCs w:val="24"/>
        </w:rPr>
        <w:t xml:space="preserve">Sr value. </w:t>
      </w:r>
    </w:p>
    <w:p w14:paraId="45721B54" w14:textId="77777777" w:rsidR="00693CE2" w:rsidRDefault="00693CE2" w:rsidP="00693CE2">
      <w:pPr>
        <w:ind w:firstLine="0"/>
        <w:rPr>
          <w:rFonts w:cs="Times New Roman"/>
          <w:szCs w:val="24"/>
        </w:rPr>
      </w:pPr>
      <w:r>
        <w:rPr>
          <w:noProof/>
        </w:rPr>
        <w:drawing>
          <wp:inline distT="0" distB="0" distL="0" distR="0" wp14:anchorId="21113726" wp14:editId="2C7D7304">
            <wp:extent cx="5495925" cy="31908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4647" t="1424" r="2885" b="3134"/>
                    <a:stretch/>
                  </pic:blipFill>
                  <pic:spPr bwMode="auto">
                    <a:xfrm>
                      <a:off x="0" y="0"/>
                      <a:ext cx="5495925" cy="3190875"/>
                    </a:xfrm>
                    <a:prstGeom prst="rect">
                      <a:avLst/>
                    </a:prstGeom>
                    <a:noFill/>
                    <a:ln>
                      <a:noFill/>
                    </a:ln>
                    <a:extLst>
                      <a:ext uri="{53640926-AAD7-44D8-BBD7-CCE9431645EC}">
                        <a14:shadowObscured xmlns:a14="http://schemas.microsoft.com/office/drawing/2010/main"/>
                      </a:ext>
                    </a:extLst>
                  </pic:spPr>
                </pic:pic>
              </a:graphicData>
            </a:graphic>
          </wp:inline>
        </w:drawing>
      </w:r>
    </w:p>
    <w:p w14:paraId="458F3CBB" w14:textId="43AA5679" w:rsidR="00693CE2" w:rsidRPr="00BA21B0" w:rsidRDefault="00693CE2" w:rsidP="00693CE2">
      <w:pPr>
        <w:pStyle w:val="FigureCaption"/>
      </w:pPr>
      <w:bookmarkStart w:id="7" w:name="_Toc130216869"/>
      <w:r w:rsidRPr="00BA21B0">
        <w:t xml:space="preserve">Figure 5.3. The </w:t>
      </w:r>
      <w:r w:rsidRPr="00BA21B0">
        <w:rPr>
          <w:vertAlign w:val="superscript"/>
        </w:rPr>
        <w:t>87</w:t>
      </w:r>
      <w:r w:rsidRPr="00BA21B0">
        <w:t>Sr/</w:t>
      </w:r>
      <w:r w:rsidRPr="00BA21B0">
        <w:rPr>
          <w:vertAlign w:val="superscript"/>
        </w:rPr>
        <w:t>86</w:t>
      </w:r>
      <w:r w:rsidRPr="00BA21B0">
        <w:t xml:space="preserve">Sr otolith transect of </w:t>
      </w:r>
      <w:r>
        <w:t xml:space="preserve">two different </w:t>
      </w:r>
      <w:r w:rsidRPr="00BA21B0">
        <w:t>fish from the reference pink salmon population in Hartney Bay, Prince William Sound</w:t>
      </w:r>
      <w:r>
        <w:t xml:space="preserve"> (PWS)</w:t>
      </w:r>
      <w:r w:rsidRPr="00BA21B0">
        <w:t xml:space="preserve">. The </w:t>
      </w:r>
      <w:r w:rsidRPr="00BA21B0">
        <w:rPr>
          <w:vertAlign w:val="superscript"/>
        </w:rPr>
        <w:t>87</w:t>
      </w:r>
      <w:r w:rsidRPr="00BA21B0">
        <w:t>Sr/</w:t>
      </w:r>
      <w:r w:rsidRPr="00BA21B0">
        <w:rPr>
          <w:vertAlign w:val="superscript"/>
        </w:rPr>
        <w:t>86</w:t>
      </w:r>
      <w:r w:rsidRPr="00BA21B0">
        <w:t xml:space="preserve">Sr of seawater (0.70918) is indicated by the black dashed line. The location of the core and freshwater portion of the otolith are indicated in the figure. </w:t>
      </w:r>
      <w:r>
        <w:t xml:space="preserve">These individuals are representative of the two different life history trends observed in PWS fish otoliths. The </w:t>
      </w:r>
      <w:r w:rsidRPr="005F48B2">
        <w:rPr>
          <w:vertAlign w:val="superscript"/>
        </w:rPr>
        <w:t>87</w:t>
      </w:r>
      <w:r>
        <w:t>Sr/</w:t>
      </w:r>
      <w:r w:rsidRPr="005F48B2">
        <w:rPr>
          <w:vertAlign w:val="superscript"/>
        </w:rPr>
        <w:t>86</w:t>
      </w:r>
      <w:r>
        <w:t xml:space="preserve">Sr of the light grey fish never falls below the global marine strontium isotopic value after </w:t>
      </w:r>
      <w:r w:rsidRPr="00DC466D">
        <w:t xml:space="preserve">the core. The </w:t>
      </w:r>
      <w:r w:rsidRPr="00DC466D">
        <w:rPr>
          <w:vertAlign w:val="superscript"/>
        </w:rPr>
        <w:t>87</w:t>
      </w:r>
      <w:r w:rsidRPr="00DC466D">
        <w:t>Sr/</w:t>
      </w:r>
      <w:r w:rsidRPr="00DC466D">
        <w:rPr>
          <w:vertAlign w:val="superscript"/>
        </w:rPr>
        <w:t>86</w:t>
      </w:r>
      <w:r w:rsidRPr="00DC466D">
        <w:t>Sr of the dark grey fish does fall below the global marine strontium isotopic value after the core, trending in</w:t>
      </w:r>
      <w:r>
        <w:t xml:space="preserve"> the direction of the freshwater signature of Hartney Bay. </w:t>
      </w:r>
      <w:r w:rsidRPr="00BA21B0">
        <w:t xml:space="preserve">Although this </w:t>
      </w:r>
      <w:r>
        <w:t xml:space="preserve">second </w:t>
      </w:r>
      <w:r w:rsidRPr="00BA21B0">
        <w:t>fish indicates a clear departure from the core for the freshwater portion of the otolith</w:t>
      </w:r>
      <w:r>
        <w:t xml:space="preserve"> in the downward direction</w:t>
      </w:r>
      <w:r w:rsidRPr="00BA21B0">
        <w:t>, the otolith value does not reach equilibrium with water from Hartney Bay (</w:t>
      </w:r>
      <w:r w:rsidRPr="00BA21B0">
        <w:rPr>
          <w:vertAlign w:val="superscript"/>
        </w:rPr>
        <w:t>87</w:t>
      </w:r>
      <w:r w:rsidRPr="00BA21B0">
        <w:t>Sr/</w:t>
      </w:r>
      <w:r w:rsidRPr="00BA21B0">
        <w:rPr>
          <w:vertAlign w:val="superscript"/>
        </w:rPr>
        <w:t>86</w:t>
      </w:r>
      <w:r w:rsidRPr="00BA21B0">
        <w:t>Sr = 0.707002).</w:t>
      </w:r>
      <w:bookmarkEnd w:id="7"/>
      <w:r w:rsidRPr="00BA21B0">
        <w:t xml:space="preserve"> </w:t>
      </w:r>
    </w:p>
    <w:p w14:paraId="2319BC42" w14:textId="77777777" w:rsidR="00693CE2" w:rsidRDefault="00693CE2" w:rsidP="00693CE2">
      <w:pPr>
        <w:ind w:firstLine="0"/>
        <w:rPr>
          <w:rFonts w:cs="Times New Roman"/>
          <w:szCs w:val="24"/>
        </w:rPr>
      </w:pPr>
    </w:p>
    <w:p w14:paraId="2D580027" w14:textId="77777777" w:rsidR="00693CE2" w:rsidRDefault="00693CE2" w:rsidP="00693CE2">
      <w:pPr>
        <w:spacing w:after="160" w:line="259" w:lineRule="auto"/>
        <w:ind w:firstLine="0"/>
        <w:rPr>
          <w:rFonts w:cs="Times New Roman"/>
          <w:szCs w:val="24"/>
        </w:rPr>
      </w:pPr>
      <w:r>
        <w:rPr>
          <w:rFonts w:cs="Times New Roman"/>
          <w:szCs w:val="24"/>
        </w:rPr>
        <w:br w:type="page"/>
      </w:r>
    </w:p>
    <w:p w14:paraId="240A9948" w14:textId="77777777" w:rsidR="00693CE2" w:rsidRDefault="00693CE2" w:rsidP="00693CE2">
      <w:pPr>
        <w:ind w:firstLine="0"/>
        <w:jc w:val="center"/>
        <w:rPr>
          <w:rFonts w:cs="Times New Roman"/>
          <w:szCs w:val="24"/>
        </w:rPr>
      </w:pPr>
      <w:r w:rsidRPr="00BA6BDC">
        <w:rPr>
          <w:rFonts w:ascii="Calibri" w:eastAsia="Calibri" w:hAnsi="Calibri" w:cs="Times New Roman"/>
          <w:noProof/>
          <w:sz w:val="22"/>
        </w:rPr>
        <w:drawing>
          <wp:inline distT="0" distB="0" distL="0" distR="0" wp14:anchorId="63B21B7F" wp14:editId="42D5B612">
            <wp:extent cx="5745480" cy="3388427"/>
            <wp:effectExtent l="0" t="0" r="7620" b="2540"/>
            <wp:docPr id="43" name="Picture 43" descr="Chart, line chart, histogram&#10;&#10;Description automatically generated">
              <a:extLst xmlns:a="http://schemas.openxmlformats.org/drawingml/2006/main">
                <a:ext uri="{FF2B5EF4-FFF2-40B4-BE49-F238E27FC236}">
                  <a16:creationId xmlns:a16="http://schemas.microsoft.com/office/drawing/2014/main" id="{5F64819F-ABF4-E60F-BB9B-C56B9913EA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line chart, histogram&#10;&#10;Description automatically generated">
                      <a:extLst>
                        <a:ext uri="{FF2B5EF4-FFF2-40B4-BE49-F238E27FC236}">
                          <a16:creationId xmlns:a16="http://schemas.microsoft.com/office/drawing/2014/main" id="{5F64819F-ABF4-E60F-BB9B-C56B9913EA60}"/>
                        </a:ext>
                      </a:extLst>
                    </pic:cNvPr>
                    <pic:cNvPicPr>
                      <a:picLocks noChangeAspect="1"/>
                    </pic:cNvPicPr>
                  </pic:nvPicPr>
                  <pic:blipFill rotWithShape="1">
                    <a:blip r:embed="rId21">
                      <a:extLst>
                        <a:ext uri="{28A0092B-C50C-407E-A947-70E740481C1C}">
                          <a14:useLocalDpi xmlns:a14="http://schemas.microsoft.com/office/drawing/2010/main" val="0"/>
                        </a:ext>
                      </a:extLst>
                    </a:blip>
                    <a:srcRect l="9173" t="1927" r="4379" b="7410"/>
                    <a:stretch/>
                  </pic:blipFill>
                  <pic:spPr bwMode="auto">
                    <a:xfrm>
                      <a:off x="0" y="0"/>
                      <a:ext cx="5756988" cy="3395214"/>
                    </a:xfrm>
                    <a:prstGeom prst="rect">
                      <a:avLst/>
                    </a:prstGeom>
                    <a:noFill/>
                    <a:ln>
                      <a:noFill/>
                    </a:ln>
                    <a:extLst>
                      <a:ext uri="{53640926-AAD7-44D8-BBD7-CCE9431645EC}">
                        <a14:shadowObscured xmlns:a14="http://schemas.microsoft.com/office/drawing/2010/main"/>
                      </a:ext>
                    </a:extLst>
                  </pic:spPr>
                </pic:pic>
              </a:graphicData>
            </a:graphic>
          </wp:inline>
        </w:drawing>
      </w:r>
    </w:p>
    <w:p w14:paraId="45A73313" w14:textId="77777777" w:rsidR="00693CE2" w:rsidRPr="00DF60A5" w:rsidRDefault="00693CE2" w:rsidP="00693CE2">
      <w:pPr>
        <w:pStyle w:val="FigureCaption"/>
      </w:pPr>
      <w:bookmarkStart w:id="8" w:name="_Toc130216870"/>
      <w:r w:rsidRPr="00DF60A5">
        <w:t xml:space="preserve">Figure </w:t>
      </w:r>
      <w:r>
        <w:t>5.</w:t>
      </w:r>
      <w:r w:rsidRPr="00DF60A5">
        <w:t>4:</w:t>
      </w:r>
      <w:r w:rsidRPr="00DF60A5">
        <w:rPr>
          <w:b/>
          <w:bCs/>
        </w:rPr>
        <w:t xml:space="preserve"> </w:t>
      </w:r>
      <w:r w:rsidRPr="00DF60A5">
        <w:t xml:space="preserve">The </w:t>
      </w:r>
      <w:r w:rsidRPr="00DF60A5">
        <w:rPr>
          <w:vertAlign w:val="superscript"/>
        </w:rPr>
        <w:t>87</w:t>
      </w:r>
      <w:r w:rsidRPr="00DF60A5">
        <w:t>Sr/</w:t>
      </w:r>
      <w:r w:rsidRPr="00DF60A5">
        <w:rPr>
          <w:vertAlign w:val="superscript"/>
        </w:rPr>
        <w:t>86</w:t>
      </w:r>
      <w:r w:rsidRPr="00DF60A5">
        <w:t xml:space="preserve">Sr otolith transect of representative fish from Camp-99 (representing a Northern Alaska freshwater captured fish, blue) and Elson Lagoon (representing a Northern Alaska marine captured fish, orange). The </w:t>
      </w:r>
      <w:r w:rsidRPr="00DF60A5">
        <w:rPr>
          <w:vertAlign w:val="superscript"/>
        </w:rPr>
        <w:t>87</w:t>
      </w:r>
      <w:r w:rsidRPr="00DF60A5">
        <w:t>Sr/</w:t>
      </w:r>
      <w:r w:rsidRPr="00DF60A5">
        <w:rPr>
          <w:vertAlign w:val="superscript"/>
        </w:rPr>
        <w:t>86</w:t>
      </w:r>
      <w:r w:rsidRPr="00DF60A5">
        <w:t xml:space="preserve">Sr of seawater (0.70918) is indicated by the black dashed line. The location of the otolith core, as well as the freshwater and marine portions, are indicated in the figure. Towards the end of both transects, the </w:t>
      </w:r>
      <w:r w:rsidRPr="00DF60A5">
        <w:rPr>
          <w:vertAlign w:val="superscript"/>
        </w:rPr>
        <w:t>87</w:t>
      </w:r>
      <w:r w:rsidRPr="00DF60A5">
        <w:t>Sr/</w:t>
      </w:r>
      <w:r w:rsidRPr="00DF60A5">
        <w:rPr>
          <w:vertAlign w:val="superscript"/>
        </w:rPr>
        <w:t>86</w:t>
      </w:r>
      <w:r w:rsidRPr="00DF60A5">
        <w:t xml:space="preserve">Sr value approaches the global marine value, likely reflecting the migration of this fish to the ocean after emergence from the gravel. The average </w:t>
      </w:r>
      <w:r w:rsidRPr="00DF60A5">
        <w:rPr>
          <w:vertAlign w:val="superscript"/>
        </w:rPr>
        <w:t>87</w:t>
      </w:r>
      <w:r w:rsidRPr="00DF60A5">
        <w:t>Sr/</w:t>
      </w:r>
      <w:r w:rsidRPr="00DF60A5">
        <w:rPr>
          <w:vertAlign w:val="superscript"/>
        </w:rPr>
        <w:t>86</w:t>
      </w:r>
      <w:r w:rsidRPr="00DF60A5">
        <w:t xml:space="preserve">Sr for Northern Alaska water samples from this study was </w:t>
      </w:r>
      <w:r w:rsidRPr="00DF60A5">
        <w:rPr>
          <w:rFonts w:eastAsia="Times New Roman"/>
          <w:color w:val="000000"/>
        </w:rPr>
        <w:t xml:space="preserve">0.711256 </w:t>
      </w:r>
      <w:r w:rsidRPr="00DF60A5">
        <w:rPr>
          <w:rFonts w:eastAsia="Times New Roman"/>
          <w:color w:val="000000"/>
          <w:u w:val="single"/>
        </w:rPr>
        <w:t>+</w:t>
      </w:r>
      <w:r w:rsidRPr="00DF60A5">
        <w:rPr>
          <w:rFonts w:eastAsia="Times New Roman"/>
          <w:color w:val="000000"/>
        </w:rPr>
        <w:t xml:space="preserve">1.51E-3. Therefore, the Elson Lagoon fish </w:t>
      </w:r>
      <w:r>
        <w:rPr>
          <w:rFonts w:eastAsia="Times New Roman"/>
          <w:color w:val="000000"/>
        </w:rPr>
        <w:t>is likely</w:t>
      </w:r>
      <w:r w:rsidRPr="00DF60A5">
        <w:rPr>
          <w:rFonts w:eastAsia="Times New Roman"/>
          <w:color w:val="000000"/>
        </w:rPr>
        <w:t xml:space="preserve"> not  of Arctic origin because the otolith </w:t>
      </w:r>
      <w:r w:rsidRPr="00DF60A5">
        <w:rPr>
          <w:vertAlign w:val="superscript"/>
        </w:rPr>
        <w:t>87</w:t>
      </w:r>
      <w:r w:rsidRPr="00DF60A5">
        <w:t>Sr/</w:t>
      </w:r>
      <w:r w:rsidRPr="00DF60A5">
        <w:rPr>
          <w:vertAlign w:val="superscript"/>
        </w:rPr>
        <w:t>86</w:t>
      </w:r>
      <w:r w:rsidRPr="00DF60A5">
        <w:t xml:space="preserve">Sr signature decreases after the core. However, the otolith </w:t>
      </w:r>
      <w:r w:rsidRPr="00DF60A5">
        <w:rPr>
          <w:vertAlign w:val="superscript"/>
        </w:rPr>
        <w:t>87</w:t>
      </w:r>
      <w:r w:rsidRPr="00DF60A5">
        <w:t>Sr/</w:t>
      </w:r>
      <w:r w:rsidRPr="00DF60A5">
        <w:rPr>
          <w:vertAlign w:val="superscript"/>
        </w:rPr>
        <w:t>86</w:t>
      </w:r>
      <w:r w:rsidRPr="00DF60A5">
        <w:t>Sr of the Camp-99 fish increases after the core, meaning that Arctic origin cannot be ruled out for this individual.</w:t>
      </w:r>
      <w:bookmarkEnd w:id="8"/>
      <w:r w:rsidRPr="00DF60A5">
        <w:t xml:space="preserve"> </w:t>
      </w:r>
    </w:p>
    <w:p w14:paraId="3A5F4A87" w14:textId="77777777" w:rsidR="00693CE2" w:rsidRDefault="00693CE2" w:rsidP="00693CE2">
      <w:pPr>
        <w:ind w:firstLine="0"/>
        <w:rPr>
          <w:rFonts w:cs="Times New Roman"/>
          <w:szCs w:val="24"/>
        </w:rPr>
      </w:pPr>
    </w:p>
    <w:p w14:paraId="74BAE2B9" w14:textId="6286BF18" w:rsidR="00693CE2" w:rsidRDefault="00693CE2" w:rsidP="00693CE2">
      <w:pPr>
        <w:ind w:firstLine="0"/>
        <w:jc w:val="center"/>
        <w:rPr>
          <w:rFonts w:cs="Times New Roman"/>
          <w:szCs w:val="24"/>
        </w:rPr>
      </w:pPr>
    </w:p>
    <w:p w14:paraId="57F59563" w14:textId="77777777" w:rsidR="00C63574" w:rsidRDefault="00C63574" w:rsidP="00C63574">
      <w:pPr>
        <w:pStyle w:val="FigureCaption"/>
        <w:jc w:val="center"/>
      </w:pPr>
      <w:bookmarkStart w:id="9" w:name="_Toc130216871"/>
      <w:r>
        <w:rPr>
          <w:noProof/>
        </w:rPr>
        <w:drawing>
          <wp:inline distT="0" distB="0" distL="0" distR="0" wp14:anchorId="07B6BECB" wp14:editId="55D8AAA9">
            <wp:extent cx="5334000" cy="3116580"/>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6282" t="4330" r="3974" b="2450"/>
                    <a:stretch/>
                  </pic:blipFill>
                  <pic:spPr bwMode="auto">
                    <a:xfrm>
                      <a:off x="0" y="0"/>
                      <a:ext cx="5334000" cy="311658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098D090" w14:textId="6F25E031" w:rsidR="00693CE2" w:rsidRPr="004F762C" w:rsidRDefault="00693CE2" w:rsidP="00C63574">
      <w:pPr>
        <w:pStyle w:val="FigureCaption"/>
      </w:pPr>
      <w:r w:rsidRPr="004F762C">
        <w:t>Figure 5.5.</w:t>
      </w:r>
      <w:r w:rsidRPr="004F762C">
        <w:rPr>
          <w:b/>
          <w:bCs/>
        </w:rPr>
        <w:t xml:space="preserve"> </w:t>
      </w:r>
      <w:r w:rsidRPr="004F762C">
        <w:t>Otolith</w:t>
      </w:r>
      <w:r w:rsidRPr="004F762C">
        <w:rPr>
          <w:b/>
          <w:bCs/>
        </w:rPr>
        <w:t xml:space="preserve"> </w:t>
      </w:r>
      <w:r w:rsidRPr="004F762C">
        <w:rPr>
          <w:vertAlign w:val="superscript"/>
        </w:rPr>
        <w:t>87</w:t>
      </w:r>
      <w:r w:rsidRPr="004F762C">
        <w:t>Sr/</w:t>
      </w:r>
      <w:r w:rsidRPr="004F762C">
        <w:rPr>
          <w:vertAlign w:val="superscript"/>
        </w:rPr>
        <w:t>86</w:t>
      </w:r>
      <w:r w:rsidRPr="004F762C">
        <w:t xml:space="preserve">Sr in the freshwater portion for fish collected </w:t>
      </w:r>
      <w:r w:rsidR="00C63574">
        <w:t>on the North Slope of Alaska</w:t>
      </w:r>
      <w:r w:rsidRPr="004F762C">
        <w:t xml:space="preserve">. For reference, the </w:t>
      </w:r>
      <w:r w:rsidRPr="004F762C">
        <w:rPr>
          <w:vertAlign w:val="superscript"/>
        </w:rPr>
        <w:t>87</w:t>
      </w:r>
      <w:r w:rsidRPr="004F762C">
        <w:t>Sr/</w:t>
      </w:r>
      <w:r w:rsidRPr="004F762C">
        <w:rPr>
          <w:vertAlign w:val="superscript"/>
        </w:rPr>
        <w:t>86</w:t>
      </w:r>
      <w:r w:rsidRPr="004F762C">
        <w:t xml:space="preserve">Sr of seawater (0.70918) is indicated by the black dashed line. The average </w:t>
      </w:r>
      <w:r w:rsidRPr="004F762C">
        <w:rPr>
          <w:vertAlign w:val="superscript"/>
        </w:rPr>
        <w:t>87</w:t>
      </w:r>
      <w:r w:rsidRPr="004F762C">
        <w:t>Sr/</w:t>
      </w:r>
      <w:r w:rsidRPr="004F762C">
        <w:rPr>
          <w:vertAlign w:val="superscript"/>
        </w:rPr>
        <w:t>86</w:t>
      </w:r>
      <w:r w:rsidRPr="004F762C">
        <w:t>Sr for Northern Alaska water samples from this study (</w:t>
      </w:r>
      <w:r w:rsidRPr="004F762C">
        <w:rPr>
          <w:rFonts w:eastAsia="Times New Roman"/>
          <w:color w:val="000000"/>
        </w:rPr>
        <w:t xml:space="preserve">0.711256 </w:t>
      </w:r>
      <w:r w:rsidRPr="004F762C">
        <w:rPr>
          <w:rFonts w:eastAsia="Times New Roman"/>
          <w:color w:val="000000"/>
          <w:u w:val="single"/>
        </w:rPr>
        <w:t>+</w:t>
      </w:r>
      <w:r w:rsidRPr="004F762C">
        <w:rPr>
          <w:rFonts w:eastAsia="Times New Roman"/>
          <w:color w:val="000000"/>
        </w:rPr>
        <w:t xml:space="preserve">1.51E-3) </w:t>
      </w:r>
      <w:r w:rsidR="00C63574">
        <w:rPr>
          <w:rFonts w:eastAsia="Times New Roman"/>
          <w:color w:val="000000"/>
        </w:rPr>
        <w:t>is indicated by the grey dashed line</w:t>
      </w:r>
      <w:r w:rsidRPr="004F762C">
        <w:rPr>
          <w:rFonts w:eastAsia="Times New Roman"/>
          <w:color w:val="000000"/>
        </w:rPr>
        <w:t xml:space="preserve">. </w:t>
      </w:r>
      <w:r w:rsidRPr="004F762C">
        <w:t xml:space="preserve">The majority of fish examined in this study had a freshwater </w:t>
      </w:r>
      <w:r w:rsidRPr="004F762C">
        <w:rPr>
          <w:vertAlign w:val="superscript"/>
        </w:rPr>
        <w:t>87</w:t>
      </w:r>
      <w:r w:rsidRPr="004F762C">
        <w:t>Sr/</w:t>
      </w:r>
      <w:r w:rsidRPr="004F762C">
        <w:rPr>
          <w:vertAlign w:val="superscript"/>
        </w:rPr>
        <w:t>86</w:t>
      </w:r>
      <w:r w:rsidRPr="004F762C">
        <w:t>Sr otolith value lower than the global marine value, indicating that these fish are likely not originating from Northern Alaskan rivers.</w:t>
      </w:r>
      <w:bookmarkEnd w:id="9"/>
    </w:p>
    <w:p w14:paraId="4185F9CE" w14:textId="77777777" w:rsidR="00693CE2" w:rsidRPr="00F92A58" w:rsidRDefault="00693CE2" w:rsidP="00693CE2">
      <w:pPr>
        <w:ind w:firstLine="0"/>
        <w:rPr>
          <w:rFonts w:cs="Times New Roman"/>
          <w:szCs w:val="24"/>
        </w:rPr>
      </w:pPr>
    </w:p>
    <w:p w14:paraId="4BCD3757" w14:textId="77777777" w:rsidR="00693CE2" w:rsidRPr="008B7FFD" w:rsidRDefault="00693CE2" w:rsidP="00693CE2">
      <w:pPr>
        <w:ind w:firstLine="0"/>
        <w:rPr>
          <w:rFonts w:cs="Times New Roman"/>
          <w:b/>
          <w:bCs/>
          <w:i/>
          <w:iCs/>
          <w:szCs w:val="24"/>
        </w:rPr>
      </w:pPr>
      <w:r w:rsidRPr="008B7FFD">
        <w:rPr>
          <w:rFonts w:cs="Times New Roman"/>
          <w:b/>
          <w:bCs/>
          <w:i/>
          <w:iCs/>
          <w:szCs w:val="24"/>
        </w:rPr>
        <w:t>Sr/Ca and Ba/Ca</w:t>
      </w:r>
    </w:p>
    <w:p w14:paraId="1AD0E6D7" w14:textId="77777777" w:rsidR="00693CE2" w:rsidRDefault="00693CE2" w:rsidP="00693CE2">
      <w:pPr>
        <w:rPr>
          <w:rFonts w:cs="Times New Roman"/>
          <w:szCs w:val="24"/>
        </w:rPr>
      </w:pPr>
      <w:r>
        <w:rPr>
          <w:rFonts w:cs="Times New Roman"/>
          <w:szCs w:val="24"/>
        </w:rPr>
        <w:t xml:space="preserve">There were significant differences between all groups of NAK fish based on the Sr/Ca in both the freshwater and core portions of the otolith (Table 5.3). However, there were no significant differences between groups of NAK fish for Ba/Ca in either the freshwater or core portions of the otolith. </w:t>
      </w:r>
      <w:r w:rsidRPr="00F92A58">
        <w:rPr>
          <w:rFonts w:cs="Times New Roman"/>
          <w:szCs w:val="24"/>
        </w:rPr>
        <w:t xml:space="preserve">Sr/Ca and Ba/Ca are often used together in fisheries geochemistry studies to investigate origins of fish, as they co-vary (Peek and Celementz, 2012). The relationship between Sr/Ca and Ba/Ca for </w:t>
      </w:r>
      <w:r>
        <w:rPr>
          <w:rFonts w:cs="Times New Roman"/>
          <w:szCs w:val="24"/>
        </w:rPr>
        <w:t xml:space="preserve">NAK </w:t>
      </w:r>
      <w:r w:rsidRPr="00F92A58">
        <w:rPr>
          <w:rFonts w:cs="Times New Roman"/>
          <w:szCs w:val="24"/>
        </w:rPr>
        <w:t xml:space="preserve">fish in this study is shown in Figure </w:t>
      </w:r>
      <w:r>
        <w:rPr>
          <w:rFonts w:cs="Times New Roman"/>
          <w:szCs w:val="24"/>
        </w:rPr>
        <w:t>5.</w:t>
      </w:r>
      <w:r w:rsidRPr="00F92A58">
        <w:rPr>
          <w:rFonts w:cs="Times New Roman"/>
          <w:szCs w:val="24"/>
        </w:rPr>
        <w:t xml:space="preserve">6. </w:t>
      </w:r>
    </w:p>
    <w:p w14:paraId="5B347E9A" w14:textId="77777777" w:rsidR="00693CE2" w:rsidRDefault="00693CE2" w:rsidP="00693CE2">
      <w:pPr>
        <w:rPr>
          <w:rFonts w:cs="Times New Roman"/>
          <w:szCs w:val="24"/>
        </w:rPr>
      </w:pPr>
    </w:p>
    <w:p w14:paraId="07E9B224" w14:textId="77777777" w:rsidR="00693CE2" w:rsidRDefault="00693CE2" w:rsidP="00693CE2">
      <w:pPr>
        <w:ind w:firstLine="0"/>
        <w:jc w:val="center"/>
        <w:rPr>
          <w:rFonts w:cs="Times New Roman"/>
          <w:szCs w:val="24"/>
        </w:rPr>
      </w:pPr>
      <w:r>
        <w:rPr>
          <w:b/>
          <w:bCs/>
          <w:noProof/>
        </w:rPr>
        <w:drawing>
          <wp:inline distT="0" distB="0" distL="0" distR="0" wp14:anchorId="0CF04E46" wp14:editId="79F795E3">
            <wp:extent cx="2740053" cy="1725535"/>
            <wp:effectExtent l="19050" t="19050" r="22225" b="273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9021" cy="1743778"/>
                    </a:xfrm>
                    <a:prstGeom prst="rect">
                      <a:avLst/>
                    </a:prstGeom>
                    <a:noFill/>
                    <a:ln>
                      <a:solidFill>
                        <a:schemeClr val="tx1"/>
                      </a:solidFill>
                    </a:ln>
                  </pic:spPr>
                </pic:pic>
              </a:graphicData>
            </a:graphic>
          </wp:inline>
        </w:drawing>
      </w:r>
      <w:r>
        <w:rPr>
          <w:b/>
          <w:bCs/>
          <w:noProof/>
        </w:rPr>
        <w:drawing>
          <wp:inline distT="0" distB="0" distL="0" distR="0" wp14:anchorId="2A3E2A17" wp14:editId="2DE17B50">
            <wp:extent cx="2688245" cy="1714334"/>
            <wp:effectExtent l="19050" t="19050" r="17145" b="196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11233" cy="1728994"/>
                    </a:xfrm>
                    <a:prstGeom prst="rect">
                      <a:avLst/>
                    </a:prstGeom>
                    <a:noFill/>
                    <a:ln>
                      <a:solidFill>
                        <a:schemeClr val="tx1"/>
                      </a:solidFill>
                    </a:ln>
                  </pic:spPr>
                </pic:pic>
              </a:graphicData>
            </a:graphic>
          </wp:inline>
        </w:drawing>
      </w:r>
    </w:p>
    <w:p w14:paraId="2B63BA8A" w14:textId="77777777" w:rsidR="00693CE2" w:rsidRPr="00AF2CBC" w:rsidRDefault="00693CE2" w:rsidP="00693CE2">
      <w:pPr>
        <w:pStyle w:val="FigureCaption"/>
      </w:pPr>
      <w:bookmarkStart w:id="10" w:name="_Toc130216872"/>
      <w:r w:rsidRPr="00AF2CBC">
        <w:t xml:space="preserve">Figure </w:t>
      </w:r>
      <w:r>
        <w:t>5.</w:t>
      </w:r>
      <w:r w:rsidRPr="00AF2CBC">
        <w:t>6:</w:t>
      </w:r>
      <w:r w:rsidRPr="00AF2CBC">
        <w:rPr>
          <w:b/>
          <w:bCs/>
        </w:rPr>
        <w:t xml:space="preserve"> </w:t>
      </w:r>
      <w:r w:rsidRPr="00AF2CBC">
        <w:t>Relationship between Sr/Ca and Ba/Ca for the freshwater (left) and core (right) portions of the otolith.</w:t>
      </w:r>
      <w:bookmarkEnd w:id="10"/>
    </w:p>
    <w:p w14:paraId="2BF80119" w14:textId="77777777" w:rsidR="00693CE2" w:rsidRDefault="00693CE2" w:rsidP="00693CE2">
      <w:pPr>
        <w:ind w:firstLine="0"/>
        <w:rPr>
          <w:rFonts w:cs="Times New Roman"/>
          <w:szCs w:val="24"/>
        </w:rPr>
      </w:pPr>
    </w:p>
    <w:p w14:paraId="644EE210" w14:textId="77777777" w:rsidR="00693CE2" w:rsidRPr="007269D8" w:rsidRDefault="00693CE2" w:rsidP="00693CE2">
      <w:pPr>
        <w:ind w:firstLine="0"/>
        <w:rPr>
          <w:rFonts w:cs="Times New Roman"/>
          <w:szCs w:val="24"/>
        </w:rPr>
      </w:pPr>
      <w:r>
        <w:rPr>
          <w:rFonts w:cs="Times New Roman"/>
          <w:szCs w:val="24"/>
        </w:rPr>
        <w:t>Some</w:t>
      </w:r>
      <w:r w:rsidRPr="007269D8">
        <w:rPr>
          <w:rFonts w:cs="Times New Roman"/>
          <w:szCs w:val="24"/>
        </w:rPr>
        <w:t xml:space="preserve"> individual otoliths did have anomalously high Ba/Ca values (&gt;20 µmol/mol) in both the core and freshwater portions of the otolith. This indicates that there is potential for Ba/Ca to be used as a marker to determine the origins of pink salmon. However, as water Ba/Ca can vary widely on a seasonal basis due to differences in input and flow (see discussion on elemental ratios in Chapter 2), water sampling on a finer temporal scale to capture seasonal variability in Ba/Ca in NAK rivers would be necessary</w:t>
      </w:r>
      <w:r>
        <w:rPr>
          <w:rFonts w:cs="Times New Roman"/>
          <w:szCs w:val="24"/>
        </w:rPr>
        <w:t xml:space="preserve"> to use Ba/Ca as a discriminative marker of origin</w:t>
      </w:r>
      <w:r w:rsidRPr="007269D8">
        <w:rPr>
          <w:rFonts w:cs="Times New Roman"/>
          <w:szCs w:val="24"/>
        </w:rPr>
        <w:t xml:space="preserve">. </w:t>
      </w:r>
    </w:p>
    <w:p w14:paraId="414372AE" w14:textId="77777777" w:rsidR="00693CE2" w:rsidRPr="00F92A58" w:rsidRDefault="00693CE2" w:rsidP="00693CE2">
      <w:pPr>
        <w:pStyle w:val="Heading1"/>
      </w:pPr>
      <w:r w:rsidRPr="00F92A58">
        <w:t>4. Discussion</w:t>
      </w:r>
    </w:p>
    <w:p w14:paraId="53934225" w14:textId="77777777" w:rsidR="00693CE2" w:rsidRPr="00F92A58" w:rsidRDefault="00693CE2" w:rsidP="00693CE2">
      <w:pPr>
        <w:rPr>
          <w:rFonts w:cs="Times New Roman"/>
          <w:szCs w:val="24"/>
        </w:rPr>
      </w:pPr>
      <w:r w:rsidRPr="00F92A58">
        <w:rPr>
          <w:rFonts w:cs="Times New Roman"/>
          <w:szCs w:val="24"/>
        </w:rPr>
        <w:t xml:space="preserve">The shift of sub-Arctic populations of pink salmon northward has the potential to drastically impact the Arctic ecosystem. Using otolith geochemical markers, this study concluded that the majority (65%) of adult pink salmon caught in the Arctic were </w:t>
      </w:r>
      <w:r>
        <w:rPr>
          <w:rFonts w:cs="Times New Roman"/>
          <w:szCs w:val="24"/>
        </w:rPr>
        <w:t xml:space="preserve">likely </w:t>
      </w:r>
      <w:r w:rsidRPr="00F92A58">
        <w:rPr>
          <w:rFonts w:cs="Times New Roman"/>
          <w:szCs w:val="24"/>
        </w:rPr>
        <w:t xml:space="preserve">not of local origin. However, for a small but notable minority of fish (35%) origin in the Arctic could not be conclusively ruled out. If pink salmon are in fact reproducing in the Arctic this could have profound consequences for native subsistence fisheries in the Arctic and for the ecosystem as a whole </w:t>
      </w:r>
      <w:r w:rsidRPr="00F92A58">
        <w:rPr>
          <w:rFonts w:cs="Times New Roman"/>
          <w:szCs w:val="24"/>
        </w:rPr>
        <w:fldChar w:fldCharType="begin" w:fldLock="1"/>
      </w:r>
      <w:r w:rsidRPr="00F92A58">
        <w:rPr>
          <w:rFonts w:cs="Times New Roman"/>
          <w:szCs w:val="24"/>
        </w:rPr>
        <w:instrText>ADDIN CSL_CITATION {"citationItems":[{"id":"ITEM-1","itemData":{"author":[{"dropping-particle":"","family":"Carothers","given":"C.","non-dropping-particle":"","parse-names":false,"suffix":""},{"dropping-particle":"","family":"Seitz","given":"A.","non-dropping-particle":"","parse-names":false,"suffix":""},{"dropping-particle":"","family":"Sutton","given":"T.","non-dropping-particle":"","parse-names":false,"suffix":""}],"container-title":"Arctic Answers","id":"ITEM-1","issued":{"date-parts":[["2018"]]},"title":"How is climate change affecting subsistence (or traditional) fisheries in the high Arctic?","type":"article-journal","volume":"AA-015"},"uris":["http://www.mendeley.com/documents/?uuid=3bbe01e8-e2e2-41fc-8d31-44f271736eb3"]},{"id":"ITEM-2","itemData":{"DOI":"10.4027/ramecc.2013.07","abstract":"Pacific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Change","id":"ITEM-2","issue":"September 2015","issued":{"date-parts":[["2013"]]},"title":"Pacific Salmon in the Arctic: Harbingers of Change","type":"article-journal"},"uris":["http://www.mendeley.com/documents/?uuid=02b3a0c4-c889-4686-92c5-21e16ddda9b2"]}],"mendeley":{"formattedCitation":"(Carothers et al., 2018; Dunmall et al., 2013)","plainTextFormattedCitation":"(Carothers et al., 2018; Dunmall et al., 2013)","previouslyFormattedCitation":"(Carothers et al., 2018; Dunmall et al., 2013)"},"properties":{"noteIndex":0},"schema":"https://github.com/citation-style-language/schema/raw/master/csl-citation.json"}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(Carothers et al., 2018; Dunmall et al., 2013)</w:t>
      </w:r>
      <w:r w:rsidRPr="00F92A58">
        <w:rPr>
          <w:rFonts w:cs="Times New Roman"/>
          <w:szCs w:val="24"/>
        </w:rPr>
        <w:fldChar w:fldCharType="end"/>
      </w:r>
      <w:r w:rsidRPr="00F92A58">
        <w:rPr>
          <w:rFonts w:cs="Times New Roman"/>
          <w:szCs w:val="24"/>
        </w:rPr>
        <w:t xml:space="preserve">. </w:t>
      </w:r>
    </w:p>
    <w:p w14:paraId="535D637A" w14:textId="77777777" w:rsidR="00693CE2" w:rsidRPr="00F92A58" w:rsidRDefault="00693CE2" w:rsidP="00693CE2">
      <w:pPr>
        <w:rPr>
          <w:rFonts w:cs="Times New Roman"/>
          <w:szCs w:val="24"/>
        </w:rPr>
      </w:pPr>
      <w:r w:rsidRPr="00F92A58">
        <w:rPr>
          <w:rFonts w:cs="Times New Roman"/>
          <w:szCs w:val="24"/>
        </w:rPr>
        <w:t xml:space="preserve">Recent reports indicate that pink salmon are increasing in abundance in the Arctic </w:t>
      </w:r>
      <w:r w:rsidRPr="00F92A58">
        <w:rPr>
          <w:rFonts w:cs="Times New Roman"/>
          <w:szCs w:val="24"/>
        </w:rPr>
        <w:fldChar w:fldCharType="begin" w:fldLock="1"/>
      </w:r>
      <w:r w:rsidRPr="00F92A58">
        <w:rPr>
          <w:rFonts w:cs="Times New Roman"/>
          <w:szCs w:val="24"/>
        </w:rPr>
        <w:instrText>ADDIN CSL_CITATION {"citationItems":[{"id":"ITEM-1","itemData":{"DOI":"10.1007/s00300-012-1241-0","ISSN":"07224060","abstract":"This research explores the distributions and community composition of pelagic species in the sub-Arctic and Arctic waters of the northern Bering and central and southern Chukchi seas during September 2007 by linking pelagic zooplankton and fish assemblages to water masses. Juvenile saffron cod (Eleginus gracilis), polar cod (Boreogadus saida), and shorthorn sculpin (Myoxocephalus scorpius) were most abundant in warm, low salinity Alaska Coastal Water (ACW) of the central Chukchi Sea, characterized by low chlorophyll, low nutrients, and small zooplankton taxa. Adult Pacific herring (Clupea pallasii) were more abundant in the less stratified Bering Strait waters and in the colder, saltier Bering Shelf Water of the northern Bering and southern Chukchi seas, characterized by high chlorophyll, high nutrients, and larger zooplankton taxa. Juvenile pink (Oncorhynchus gorbuscha) and chum (O. keta) salmon were most abundant in the less stratified ACW in the central Chukchi Sea and Bering Strait. Abundances of large zooplankton were dominated by copepods (Eucalanus bungii, Calanus glacialis/marshallae, Metridia pacifica) followed by euphausiids (juvenile Thysanoessa raschii and unidentified taxa), whereas small zooplankton were dominated by bivalve larvae and copepods (Centropages abdominalis, Oithona similis, Pseudocalanus sp.). Pelagic community composition was related to environmental factors, with highest correlations between bottom salinity and large zooplankton taxa, and latitude and fish species. These data were collected in a year with strong northward retreat of summer sea ice and therefore provide a baseline for assessing the effects of future climate warming on pelagic ecosystems in sub-Arctic and Arctic regions. © 2012 Springer-Verlag.","author":[{"dropping-particle":"","family":"Eisner","given":"Lisa","non-dropping-particle":"","parse-names":false,"suffix":""},{"dropping-particle":"","family":"Hillgruber","given":"Nicola","non-dropping-particle":"","parse-names":false,"suffix":""},{"dropping-particle":"","family":"Martinson","given":"Ellen","non-dropping-particle":"","parse-names":false,"suffix":""},{"dropping-particle":"","family":"Maselko","given":"Jacek","non-dropping-particle":"","parse-names":false,"suffix":""}],"container-title":"Polar Biology","id":"ITEM-1","issue":"1","issued":{"date-parts":[["2013"]]},"page":"87-113","title":"Pelagic fish and zooplankton species assemblages in relation to water mass characteristics in the northern Bering and southeast Chukchi seas","type":"article-journal","volume":"36"},"uris":["http://www.mendeley.com/documents/?uuid=3fd7827f-e78c-48ca-99df-a664ae77534e"]},{"id":"ITEM-2","itemData":{"DOI":"10.4027/ramecc.2013.07","abstract":"Pacific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Change","id":"ITEM-2","issue":"September 2015","issued":{"date-parts":[["2013"]]},"title":"Pacific Salmon in the Arctic: Harbingers of Change","type":"article-journal"},"uris":["http://www.mendeley.com/documents/?uuid=02b3a0c4-c889-4686-92c5-21e16ddda9b2"]},{"id":"ITEM-3","itemData":{"DOI":"10.14430/arctic68876","ISSN":"19231245","abstract":"One of the most pervasive signals of global climate change is altered patterns of distribution with trends towards poleward shifts of species. While habitat loss and destruction has severed connections between people and salmon in many locales, salmon fisheries in the high Arctic are just beginning to develop. To explore these emergent connections, we gathered local knowledge about Pacific salmon and emerging subsistence salmon fisheries in the Beaufort Sea region through ethnographic research in Utqiaġvik (formerly Barrow) and Nuiqsut, Alaska. Between 2010 and 2013, we interviewed 41 active fishermen and Elders who generally agreed that harvests of Pacific salmon species have been increasing in recent years, beginning in the 1990s and early 2000s. About 46% of active fishermen and Elders who discussed salmon abundance perceived an increasing trend over time. Another 43% characterized salmon abundance as cyclical or perceived no directional trend over time. The remaining fishermen (all from Nuiqsut) expressed their perception of decreasing salmon and fish abundance overall related to oil and gas development impacts to their local lands and waters. Given these mixed perceptions and harvests being an imperfect proxy for abundance, it remains unclear whether salmon populations are expanding in Arctic river systems. However, research participants have identified new stream systems not currently documented in the scientific literature where salmon are present and thought to be spawning. In both communities, we found that many fishermen and Elders often do not differentiate Pacific salmon species. Fishermen in both communities are developing new knowledge of salmon and increasing their use of salmon as a subsistence resource, yet uncertainties in the current data and local knowledge combine to generate equivocal evidence that salmon abundance is increasing. This lack of a clear increase in salmon abundance provides nuance to a simple story that warming has led to the increases of salmon in the Arctic. Despite the uncertainty regarding abundance, it is clear we are witnessing an emergence of new salmon fisheries in the high Arctic, perceived to be one among a suite of environmental and social changes currently being experienced in this region.","author":[{"dropping-particle":"","family":"Carothers","given":"Courtney","non-dropping-particle":"","parse-names":false,"suffix":""},{"dropping-particle":"","family":"Sformo","given":"Todd L.","non-dropping-particle":"","parse-names":false,"suffix":""},{"dropping-particle":"","family":"Cotton","given":"Shelley","non-dropping-particle":"","parse-names":false,"suffix":""},{"dropping-particle":"","family":"George","given":"John C.","non-dropping-particle":"","parse-names":false,"suffix":""},{"dropping-particle":"","family":"Westley","given":"Peter A.H.","non-dropping-particle":"","parse-names":false,"suffix":""}],"container-title":"Arctic","id":"ITEM-3","issue":"3","issued":{"date-parts":[["2019"]]},"page":"273-288","title":"Pacific salmon in the rapidly changing arctic: Exploring local knowledge and emerging fisheries in Utqiaġvik and Nuiqsut, Alaska","type":"article-journal","volume":"72"},"uris":["http://www.mendeley.com/documents/?uuid=ffb44305-3de9-4a94-85d0-3be63bb6796a"]},{"id":"ITEM-4","itemData":{"DOI":"10.23849/npafctr11/87.90","ISSN":"1029-5917","author":[{"dropping-particle":"","family":"Dunmall","given":"Karen M","non-dropping-particle":"","parse-names":false,"suffix":""},{"dropping-particle":"","family":"Mcnicholl","given":"Darcy G","non-dropping-particle":"","parse-names":false,"suffix":""},{"dropping-particle":"","family":"Reist","given":"James D","non-dropping-particle":"","parse-names":false,"suffix":""}],"container-title":"Technical Report","id":"ITEM-4","issue":"11","issued":{"date-parts":[["2018"]]},"page":"8-12","title":"Community-based Monitoring Demonstrates Increasing Occurrences and Abundances of Pacific Salmon in the Canadian Arctic from 2000 to 2017","type":"article-journal"},"uris":["http://www.mendeley.com/documents/?uuid=eb34b389-76e8-444f-bde4-3733a8f10624"]},{"id":"ITEM-5","itemData":{"DOI":"10.1139/cjfas-2021-0172","ISSN":"12057533","abstract":"Rapid climate change is altering Arctic ecosystems and significantly affecting the livelihoods and cultural traditions of Arctic Indigenous peoples. In the Inuvialuit Settlement Region (ISR), growing evidence suggests that climate change is altering marine environments. In this project we recorded and synthesized Inuvialuit knowledge of Pacific salmon. We used methods that are emergent in fisheries science to combine interview information with voluntary harvest data and better understand changes to salmon in the Arctic. We conducted 53 interviews with Inuvialuit fishers about the history of Pacific salmon harvest, how it has changed in recent decades, and concurrent changes to local environments and fish species. Our interviews show that historical, incidental salmon harvest in the ISR ranged from infrequent to common among western communities, but was rare or unprecedented among eastern communities. Participants in all six communities reported a recent increase in salmon harvest and attributed this shift to regional environmental change. Fishers were concerned that salmon would negatively affect their cultural traditions and preferred fish species. Given uncertainty about the effects of salmon on local fisheries, research on salmon in the Arctic, the likelihood of their establishment, and their potential to provide subsidies to Arctic freshwater ecosystems is vital.","author":[{"dropping-particle":"","family":"Chila","given":"Zander","non-dropping-particle":"","parse-names":false,"suffix":""},{"dropping-particle":"","family":"Dunmall","given":"Karen M.","non-dropping-particle":"","parse-names":false,"suffix":""},{"dropping-particle":"","family":"Proverbs","given":"Tracey A.","non-dropping-particle":"","parse-names":false,"suffix":""},{"dropping-particle":"","family":"Lantz","given":"Trevor C.","non-dropping-particle":"","parse-names":false,"suffix":""},{"dropping-particle":"","family":"Hunters","given":"Aklavik","non-dropping-particle":"","parse-names":false,"suffix":""},{"dropping-particle":"","family":"Hunters","given":"Inuvik","non-dropping-particle":"","parse-names":false,"suffix":""},{"dropping-particle":"","family":"Hunters","given":"Sachs Harbour","non-dropping-particle":"","parse-names":false,"suffix":""},{"dropping-particle":"","family":"Hunters","given":"Olokhaktomiut","non-dropping-particle":"","parse-names":false,"suffix":""},{"dropping-particle":"","family":"Hunters","given":"Paulatuk","non-dropping-particle":"","parse-names":false,"suffix":""}],"container-title":"Canadian Journal of Fisheries and Aquatic Sciences","id":"ITEM-5","issue":"7","issued":{"date-parts":[["2022"]]},"page":"1042-1055","title":"Inuvialuit knowledge of Pacific salmon range expansion in the western Canadian Arctic","type":"article-journal","volume":"79"},"uris":["http://www.mendeley.com/documents/?uuid=fe5c44bc-b369-4865-890d-b47f59bab48c"]}],"mendeley":{"formattedCitation":"(Carothers et al., 2019; Chila et al., 2022; Dunmall et al., 2018, 2013; Eisner et al., 2013)","plainTextFormattedCitation":"(Carothers et al., 2019; Chila et al., 2022; Dunmall et al., 2018, 2013; Eisner et al., 2013)","previouslyFormattedCitation":"(Carothers et al., 2019; Chila et al., 2022; Dunmall et al., 2018, 2013; Eisner et al., 2013)"},"properties":{"noteIndex":0},"schema":"https://github.com/citation-style-language/schema/raw/master/csl-citation.json"}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(Carothers et al., 2019; Chila et al., 2022; Dunmall et al., 2018, 2013; Eisner et al., 2013)</w:t>
      </w:r>
      <w:r w:rsidRPr="00F92A58">
        <w:rPr>
          <w:rFonts w:cs="Times New Roman"/>
          <w:szCs w:val="24"/>
        </w:rPr>
        <w:fldChar w:fldCharType="end"/>
      </w:r>
      <w:r w:rsidRPr="00F92A58">
        <w:rPr>
          <w:rFonts w:cs="Times New Roman"/>
          <w:szCs w:val="24"/>
        </w:rPr>
        <w:t xml:space="preserve">. It is not surprising that pink salmon may be attempting to colonize newly accessible habitat, given that they have the highest stray rate among Pacific salmon </w:t>
      </w:r>
      <w:r w:rsidRPr="00F92A58">
        <w:rPr>
          <w:rFonts w:cs="Times New Roman"/>
          <w:szCs w:val="24"/>
        </w:rPr>
        <w:fldChar w:fldCharType="begin" w:fldLock="1"/>
      </w:r>
      <w:r w:rsidRPr="00F92A58">
        <w:rPr>
          <w:rFonts w:cs="Times New Roman"/>
          <w:szCs w:val="24"/>
        </w:rPr>
        <w:instrText>ADDIN CSL_CITATION {"citationItems":[{"id":"ITEM-1","itemData":{"ISBN":"0295984376","author":[{"dropping-particle":"","family":"Quinn","given":"Thomas P.","non-dropping-particle":"","parse-names":false,"suffix":""}],"id":"ITEM-1","issued":{"date-parts":[["2004"]]},"number-of-pages":"388","publisher":"Universtity of Washington Press","publisher-place":"Seattle","title":"The behavior and ecology of Pacific Salmon and Trout","type":"book"},"uris":["http://www.mendeley.com/documents/?uuid=dad38281-f285-4f6b-bfa1-9c35fe2aa887"]},{"id":"ITEM-2","itemData":{"DOI":"10.1139/F2012-030","ISSN":"0706652X","abstract":"When barriers are removed, what biotic and abiotic factors determine how fish populations will colonize newly available habitats? We used counts of adult pink salmon (Oncorhywnchus gorbuscha) from 1947 to 1987 in 66 streams of the Fraser River system, British Columbia, Canada, to determine when colonizing pink salmon populations became selfsustaining after a long-term migration blockage at Hell's Gate (river kilometre 209) was reduced. The abundance of salmon in available habitats were largely controlled by extrinsic factors such as an initially large source population, high intrinsic growth rates linked to favorable climate-driven conditions, a constant supply of dispersers, and large amounts of newly available habitat. Temporal variation in flows at Hell's Gate also affected recolonization success. Self-sustaining populations were developed within years of barrier removal and have continued to help expand the overall population of Fraser River pink salmon. However, pink salmon were considerably more abundant in the early 1900s than in the 1980s (~48 million vs. ~2.7 million), and the majority of spawning shifted from the historic areas above Hell's Gate prior to the rockslide to below Hell's Gate in the lower Fraser River after the long-term blockage was reduced, so the system has not returned to the former abundance and distribution patterns.","author":[{"dropping-particle":"","family":"Pess","given":"G. R.","non-dropping-particle":"","parse-names":false,"suffix":""},{"dropping-particle":"","family":"Hilborn","given":"R.","non-dropping-particle":"","parse-names":false,"suffix":""},{"dropping-particle":"","family":"Kloehn","given":"K.","non-dropping-particle":"","parse-names":false,"suffix":""},{"dropping-particle":"","family":"Quinn","given":"T. P.","non-dropping-particle":"","parse-names":false,"suffix":""}],"container-title":"Canadian Journal of Fisheries and Aquatic Sciences","id":"ITEM-2","issue":"5","issued":{"date-parts":[["2012"]]},"page":"970-982","title":"The influence of population dynamics and environmental conditions on pink salmon (Oncorhynchus gorbuscha) recolonization after barrier removal in the Fraser river, British Columbia, Canada","type":"article-journal","volume":"69"},"uris":["http://www.mendeley.com/documents/?uuid=fb4f8233-819e-4842-b93b-fdff56d3f19b"]},{"id":"ITEM-3","itemData":{"author":[{"dropping-particle":"","family":"Hendry","given":"A. P.","non-dropping-particle":"","parse-names":false,"suffix":""},{"dropping-particle":"V.","family":"Castric","given":"H.","non-dropping-particle":"","parse-names":false,"suffix":""},{"dropping-particle":"","family":"Kinnison","given":"M. T.","non-dropping-particle":"","parse-names":false,"suffix":""},{"dropping-particle":"","family":"Quinn","given":"T. P.","non-dropping-particle":"","parse-names":false,"suffix":""}],"container-title":"Evolution illuminated: salmon and their relatives","editor":[{"dropping-particle":"","family":"Hendry","given":"A. P.","non-dropping-particle":"","parse-names":false,"suffix":""},{"dropping-particle":"","family":"Stearns","given":"S. C.","non-dropping-particle":"","parse-names":false,"suffix":""}],"id":"ITEM-3","issued":{"date-parts":[["2004"]]},"page":"52-91","publisher":"Oxford University Press","publisher-place":"New York","title":"The evolution of philopatry and dispersal: homing versus straying in salmonids","type":"chapter"},"uris":["http://www.mendeley.com/documents/?uuid=41055944-5278-40d0-994b-03ee47760f19"]},{"id":"ITEM-4","itemData":{"DOI":"10.1007/s11160-013-9334-6","ISSN":"09603166","abstract":"There is a long research history addressing olfactory imprinting, natal homing, and non-natal straying by anadromous salmon and trout (Salmonidae). In undisturbed populations, adult straying is a fundamental component of metapopulation biology, facilitating genetic resilience, demographic stability, recolonization, and range expansion into unexploited habitats. Unfortunately, salmonid hatcheries and other human actions worldwide have affected straying in ways that can negatively affect wild populations through competitive interactions, reduced productivity and resiliency, hybridization and domestication effects, and outbreeding depression. Reduced adult straying is therefore an objective for many managed populations. Currently, there is considerable uncertainty about the range of 'natural' stray rates and about which mechanisms precipitate straying in either wild or human-influenced fish. Research in several disciplines indicates that adult straying is affected by endocrine physiology and neurological processes in juveniles, incomplete or interrupted imprinting during rearing and emigration, and by complex interactions among adult maturation processes, reproductive behaviors, olfactory memory, environmental conditions during migration, and senescence physiology. Reported salmonid stray rates indicate that the behavior varies among species, among life-history types, and among populations within species. Most strays enter sites near natal areas, but long-distance straying also occurs, especially in hatchery populations that were outplanted or transported as juveniles. A majority of past studies has estimated straying as demographic losses from donor populations, but some have estimated straying into recipient populations. Most recipient-based estimates have substantiated concerns that wild populations are vulnerable to swamping by abundant hatchery and farm-raised strays. © 2013 Springer Science+Business Media Dordrecht.","author":[{"dropping-particle":"","family":"Keefer","given":"Matthew L.","non-dropping-particle":"","parse-names":false,"suffix":""},{"dropping-particle":"","family":"Caudill","given":"Christopher C.","non-dropping-particle":"","parse-names":false,"suffix":""}],"container-title":"Reviews in Fish Biology and Fisheries","id":"ITEM-4","issue":"1","issued":{"date-parts":[["2014"]]},"page":"333-368","title":"Homing and straying by anadromous salmonids: A review of mechanisms and rates","type":"article-journal","volume":"24"},"uris":["http://www.mendeley.com/documents/?uuid=c7c43649-1db4-4725-bbb7-e976cffbda77"]}],"mendeley":{"formattedCitation":"(Hendry et al., 2004; Keefer and Caudill, 2014; Pess et al., 2012; Quinn, 2004)","plainTextFormattedCitation":"(Hendry et al., 2004; Keefer and Caudill, 2014; Pess et al., 2012; Quinn, 2004)","previouslyFormattedCitation":"(Hendry et al., 2004; Keefer and Caudill, 2014; Pess et al., 2012; Quinn, 2004)"},"properties":{"noteIndex":0},"schema":"https://github.com/citation-style-language/schema/raw/master/csl-citation.json"}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(Hendry et al., 2004; Keefer and Caudill, 2014; Pess et al., 2012; Quinn, 2004)</w:t>
      </w:r>
      <w:r w:rsidRPr="00F92A58">
        <w:rPr>
          <w:rFonts w:cs="Times New Roman"/>
          <w:szCs w:val="24"/>
        </w:rPr>
        <w:fldChar w:fldCharType="end"/>
      </w:r>
      <w:r w:rsidRPr="00F92A58">
        <w:rPr>
          <w:rFonts w:cs="Times New Roman"/>
          <w:szCs w:val="24"/>
        </w:rPr>
        <w:t xml:space="preserve">. The stray rate of pink salmon has been estimated to be between 2.5 to &gt;10%, depending on the population </w:t>
      </w:r>
      <w:r w:rsidRPr="00F92A58">
        <w:rPr>
          <w:rFonts w:cs="Times New Roman"/>
          <w:szCs w:val="24"/>
        </w:rPr>
        <w:fldChar w:fldCharType="begin" w:fldLock="1"/>
      </w:r>
      <w:r w:rsidRPr="00F92A58">
        <w:rPr>
          <w:rFonts w:cs="Times New Roman"/>
          <w:szCs w:val="24"/>
        </w:rPr>
        <w:instrText>ADDIN CSL_CITATION {"citationItems":[{"id":"ITEM-1","itemData":{"DOI":"10.1139/F2012-030","ISSN":"0706652X","abstract":"When barriers are removed, what biotic and abiotic factors determine how fish populations will colonize newly available habitats? We used counts of adult pink salmon (Oncorhywnchus gorbuscha) from 1947 to 1987 in 66 streams of the Fraser River system, British Columbia, Canada, to determine when colonizing pink salmon populations became selfsustaining after a long-term migration blockage at Hell's Gate (river kilometre 209) was reduced. The abundance of salmon in available habitats were largely controlled by extrinsic factors such as an initially large source population, high intrinsic growth rates linked to favorable climate-driven conditions, a constant supply of dispersers, and large amounts of newly available habitat. Temporal variation in flows at Hell's Gate also affected recolonization success. Self-sustaining populations were developed within years of barrier removal and have continued to help expand the overall population of Fraser River pink salmon. However, pink salmon were considerably more abundant in the early 1900s than in the 1980s (~48 million vs. ~2.7 million), and the majority of spawning shifted from the historic areas above Hell's Gate prior to the rockslide to below Hell's Gate in the lower Fraser River after the long-term blockage was reduced, so the system has not returned to the former abundance and distribution patterns.","author":[{"dropping-particle":"","family":"Pess","given":"G. R.","non-dropping-particle":"","parse-names":false,"suffix":""},{"dropping-particle":"","family":"Hilborn","given":"R.","non-dropping-particle":"","parse-names":false,"suffix":""},{"dropping-particle":"","family":"Kloehn","given":"K.","non-dropping-particle":"","parse-names":false,"suffix":""},{"dropping-particle":"","family":"Quinn","given":"T. P.","non-dropping-particle":"","parse-names":false,"suffix":""}],"container-title":"Canadian Journal of Fisheries and Aquatic Sciences","id":"ITEM-1","issue":"5","issued":{"date-parts":[["2012"]]},"page":"970-982","title":"The influence of population dynamics and environmental conditions on pink salmon (Oncorhynchus gorbuscha) recolonization after barrier removal in the Fraser river, British Columbia, Canada","type":"article-journal","volume":"69"},"uris":["http://www.mendeley.com/documents/?uuid=fb4f8233-819e-4842-b93b-fdff56d3f19b"]},{"id":"ITEM-2","itemData":{"DOI":"10.1007/s11160-013-9334-6","ISSN":"09603166","abstract":"There is a long research history addressing olfactory imprinting, natal homing, and non-natal straying by anadromous salmon and trout (Salmonidae). In undisturbed populations, adult straying is a fundamental component of metapopulation biology, facilitating genetic resilience, demographic stability, recolonization, and range expansion into unexploited habitats. Unfortunately, salmonid hatcheries and other human actions worldwide have affected straying in ways that can negatively affect wild populations through competitive interactions, reduced productivity and resiliency, hybridization and domestication effects, and outbreeding depression. Reduced adult straying is therefore an objective for many managed populations. Currently, there is considerable uncertainty about the range of 'natural' stray rates and about which mechanisms precipitate straying in either wild or human-influenced fish. Research in several disciplines indicates that adult straying is affected by endocrine physiology and neurological processes in juveniles, incomplete or interrupted imprinting during rearing and emigration, and by complex interactions among adult maturation processes, reproductive behaviors, olfactory memory, environmental conditions during migration, and senescence physiology. Reported salmonid stray rates indicate that the behavior varies among species, among life-history types, and among populations within species. Most strays enter sites near natal areas, but long-distance straying also occurs, especially in hatchery populations that were outplanted or transported as juveniles. A majority of past studies has estimated straying as demographic losses from donor populations, but some have estimated straying into recipient populations. Most recipient-based estimates have substantiated concerns that wild populations are vulnerable to swamping by abundant hatchery and farm-raised strays. © 2013 Springer Science+Business Media Dordrecht.","author":[{"dropping-particle":"","family":"Keefer","given":"Matthew L.","non-dropping-particle":"","parse-names":false,"suffix":""},{"dropping-particle":"","family":"Caudill","given":"Christopher C.","non-dropping-particle":"","parse-names":false,"suffix":""}],"container-title":"Reviews in Fish Biology and Fisheries","id":"ITEM-2","issue":"1","issued":{"date-parts":[["2014"]]},"page":"333-368","title":"Homing and straying by anadromous salmonids: A review of mechanisms and rates","type":"article-journal","volume":"24"},"uris":["http://www.mendeley.com/documents/?uuid=c7c43649-1db4-4725-bbb7-e976cffbda77"]}],"mendeley":{"formattedCitation":"(Keefer and Caudill, 2014; Pess et al., 2012)","plainTextFormattedCitation":"(Keefer and Caudill, 2014; Pess et al., 2012)","previouslyFormattedCitation":"(Keefer and Caudill, 2014; Pess et al., 2012)"},"properties":{"noteIndex":0},"schema":"https://github.com/citation-style-language/schema/raw/master/csl-citation.json"}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(Keefer and Caudill, 2014; Pess et al., 2012)</w:t>
      </w:r>
      <w:r w:rsidRPr="00F92A58">
        <w:rPr>
          <w:rFonts w:cs="Times New Roman"/>
          <w:szCs w:val="24"/>
        </w:rPr>
        <w:fldChar w:fldCharType="end"/>
      </w:r>
      <w:r w:rsidRPr="00F92A58">
        <w:rPr>
          <w:rFonts w:cs="Times New Roman"/>
          <w:szCs w:val="24"/>
        </w:rPr>
        <w:t xml:space="preserve">. This high stray rate provides the potential for pink salmon to colonize newly available habitat in the Arctic. Pink salmon have previously been shown to rapidly colonize areas when new habitat becomes available. For example, after a passage barrier at Hell’s Gate was removed in the Frasier River, pink salmon established spawning populations quickly and became abundant within decades </w:t>
      </w:r>
      <w:r w:rsidRPr="00F92A58">
        <w:rPr>
          <w:rFonts w:cs="Times New Roman"/>
          <w:szCs w:val="24"/>
        </w:rPr>
        <w:fldChar w:fldCharType="begin" w:fldLock="1"/>
      </w:r>
      <w:r w:rsidRPr="00F92A58">
        <w:rPr>
          <w:rFonts w:cs="Times New Roman"/>
          <w:szCs w:val="24"/>
        </w:rPr>
        <w:instrText>ADDIN CSL_CITATION {"citationItems":[{"id":"ITEM-1","itemData":{"DOI":"10.1139/F2012-030","ISSN":"0706652X","abstract":"When barriers are removed, what biotic and abiotic factors determine how fish populations will colonize newly available habitats? We used counts of adult pink salmon (Oncorhywnchus gorbuscha) from 1947 to 1987 in 66 streams of the Fraser River system, British Columbia, Canada, to determine when colonizing pink salmon populations became selfsustaining after a long-term migration blockage at Hell's Gate (river kilometre 209) was reduced. The abundance of salmon in available habitats were largely controlled by extrinsic factors such as an initially large source population, high intrinsic growth rates linked to favorable climate-driven conditions, a constant supply of dispersers, and large amounts of newly available habitat. Temporal variation in flows at Hell's Gate also affected recolonization success. Self-sustaining populations were developed within years of barrier removal and have continued to help expand the overall population of Fraser River pink salmon. However, pink salmon were considerably more abundant in the early 1900s than in the 1980s (~48 million vs. ~2.7 million), and the majority of spawning shifted from the historic areas above Hell's Gate prior to the rockslide to below Hell's Gate in the lower Fraser River after the long-term blockage was reduced, so the system has not returned to the former abundance and distribution patterns.","author":[{"dropping-particle":"","family":"Pess","given":"G. R.","non-dropping-particle":"","parse-names":false,"suffix":""},{"dropping-particle":"","family":"Hilborn","given":"R.","non-dropping-particle":"","parse-names":false,"suffix":""},{"dropping-particle":"","family":"Kloehn","given":"K.","non-dropping-particle":"","parse-names":false,"suffix":""},{"dropping-particle":"","family":"Quinn","given":"T. P.","non-dropping-particle":"","parse-names":false,"suffix":""}],"container-title":"Canadian Journal of Fisheries and Aquatic Sciences","id":"ITEM-1","issue":"5","issued":{"date-parts":[["2012"]]},"page":"970-982","title":"The influence of population dynamics and environmental conditions on pink salmon (Oncorhynchus gorbuscha) recolonization after barrier removal in the Fraser river, British Columbia, Canada","type":"article-journal","volume":"69"},"uris":["http://www.mendeley.com/documents/?uuid=fb4f8233-819e-4842-b93b-fdff56d3f19b"]}],"mendeley":{"formattedCitation":"(Pess et al., 2012)","plainTextFormattedCitation":"(Pess et al., 2012)","previouslyFormattedCitation":"(Pess et al., 2012)"},"properties":{"noteIndex":0},"schema":"https://github.com/citation-style-language/schema/raw/master/csl-citation.json"}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(Pess et al., 2012)</w:t>
      </w:r>
      <w:r w:rsidRPr="00F92A58">
        <w:rPr>
          <w:rFonts w:cs="Times New Roman"/>
          <w:szCs w:val="24"/>
        </w:rPr>
        <w:fldChar w:fldCharType="end"/>
      </w:r>
      <w:r w:rsidRPr="00F92A58">
        <w:rPr>
          <w:rFonts w:cs="Times New Roman"/>
          <w:szCs w:val="24"/>
        </w:rPr>
        <w:t xml:space="preserve">. The Arctic’s dynamic conditions may pose a challenge in finding suitable habitats for egg rearing and juvenile survival, despite the potential opportunities for colonization by pink salmon strays </w:t>
      </w:r>
      <w:r w:rsidRPr="00F92A58">
        <w:rPr>
          <w:rFonts w:cs="Times New Roman"/>
          <w:szCs w:val="24"/>
        </w:rPr>
        <w:fldChar w:fldCharType="begin" w:fldLock="1"/>
      </w:r>
      <w:r w:rsidRPr="00F92A58">
        <w:rPr>
          <w:rFonts w:cs="Times New Roman"/>
          <w:szCs w:val="24"/>
        </w:rPr>
        <w:instrText>ADDIN CSL_CITATION {"citationItems":[{"id":"ITEM-1","itemData":{"DOI":"10.1139/cjfas-2016-0051","ISSN":"12057533","abstract":"Distributional shifts of biota to higher latitudes and elevations are presumably influenced by species-specific physiological tolerances related to warming temperatures. However, it is establishment rather than dispersal that may be limiting colonizations in these cold frontier areas. In freshwater ecosystems, perennial groundwater springs provide critical winter thermal refugia in these extreme environments. By reconciling the thermal characteristics of these refugia with theminimumthermal tolerances of life stages critical for establishment, we develop a strategy to focus broad projections of northward and upward range shifts to the specific habitats that are likely for establishments. We evaluate this strategy using chum salmon (Oncorhynchus keta) and pink salmon (Oncorhynchus gorbuscha) that seem poised to colonize Arctic watersheds. Stream habitats with aminimum temperature of 4 °C during spawning and temperatures above 2 °C during egg incubation were most vulnerable to establishments bychumand pink salmon. This strategy will improve modelling forecasts of range shifts for cold freshwater habitats and focus proactive efforts to conserve both newly emerging fisheries and native species at northern and upper distributional extremes.","author":[{"dropping-particle":"","family":"Dunmall","given":"Karen M.","non-dropping-particle":"","parse-names":false,"suffix":""},{"dropping-particle":"","family":"Mochnacz","given":"Neil J.","non-dropping-particle":"","parse-names":false,"suffix":""},{"dropping-particle":"","family":"Zimmerman","given":"Christian E.","non-dropping-particle":"","parse-names":false,"suffix":""},{"dropping-particle":"","family":"Lean","given":"Charles","non-dropping-particle":"","parse-names":false,"suffix":""},{"dropping-particle":"","family":"Reist","given":"James D.","non-dropping-particle":"","parse-names":false,"suffix":""}],"container-title":"Canadian Journal of Fisheries and Aquatic Sciences","id":"ITEM-1","issue":"12","issued":{"date-parts":[["2016"]]},"page":"1750-1758","title":"Using thermal limits to assess establishment of fish dispersing to high-latitude and high-elevation watersheds","type":"article-journal","volume":"73"},"uris":["http://www.mendeley.com/documents/?uuid=adf02b4d-8d83-416c-bd05-8bfc7b20ce96"]}],"mendeley":{"formattedCitation":"(Dunmall et al., 2016)","plainTextFormattedCitation":"(Dunmall et al., 2016)","previouslyFormattedCitation":"(Dunmall et al., 2016)"},"properties":{"noteIndex":0},"schema":"https://github.com/citation-style-language/schema/raw/master/csl-citation.json"}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2016)</w:t>
      </w:r>
      <w:r w:rsidRPr="00F92A58">
        <w:rPr>
          <w:rFonts w:cs="Times New Roman"/>
          <w:szCs w:val="24"/>
        </w:rPr>
        <w:fldChar w:fldCharType="end"/>
      </w:r>
      <w:r w:rsidRPr="00F92A58">
        <w:rPr>
          <w:rFonts w:cs="Times New Roman"/>
          <w:szCs w:val="24"/>
        </w:rPr>
        <w:t xml:space="preserve">. For example, life cycle models examining the response of pink salmon to warming conditions in the northern Bering Sea suggest that the majority of variability in survival observed for juvenile pink salmon in the Bering Sea occurs during early life history stages </w:t>
      </w:r>
      <w:r w:rsidRPr="00F92A58">
        <w:rPr>
          <w:rFonts w:cs="Times New Roman"/>
          <w:szCs w:val="24"/>
        </w:rPr>
        <w:fldChar w:fldCharType="begin" w:fldLock="1"/>
      </w:r>
      <w:r w:rsidRPr="00F92A58">
        <w:rPr>
          <w:rFonts w:cs="Times New Roman"/>
          <w:szCs w:val="24"/>
        </w:rPr>
        <w:instrText>ADDIN CSL_CITATION {"citationItems":[{"id":"ITEM-1","itemData":{"DOI":"10.1016/j.dsr2.2020.104830","ISSN":"09670645","abstract":"Life-history and life-cycle models of Pink salmon (Oncorhynchus gorbuscha) are developed to provide insight into production dynamics of northern Bering Sea Pink salmon. Arctic ecosystems, including freshwater and marine ecosystems in the northern Bering Sea, are warming at a rapid rate. Due to their short, two-year life cycle, Pink salmon are well known to respond rapidly to ecosystem change and can provide unique insight into ecosystem impacts of warming Arctic conditions. Life-cycle models suggest a lack of density-dependence for adult Pink salmon spawners in the Yukon River and potential for some density-dependence for adult Pink salmon spawners in the Norton Sound region. Life-history models identify a positive and significant relationship between the abundance index for juvenile Pink salmon and average Nome air temperature during their freshwater residency (August to June). This relationship supports the notion that warming air temperatures in this region (as a proxy for river and stream temperatures) are contributing to improved freshwater survival or increased capacity of freshwater habitats to support Pink salmon production. Life-history models also identify the number of adult Pink salmon returning to Norton Sound and the Yukon River is significantly related to the juvenile abundance in the northern Bering Sea. This result indicates that much of the variability in survival for northern Bering Sea Pink salmon occurs during early life-history stages and that juvenile abundance is an informative leading indicator of Pink salmon runs to this region.","author":[{"dropping-particle":"V.","family":"Farley","given":"Edward","non-dropping-particle":"","parse-names":false,"suffix":""},{"dropping-particle":"","family":"Murphy","given":"James M.","non-dropping-particle":"","parse-names":false,"suffix":""},{"dropping-particle":"","family":"Cieciel","given":"Kris","non-dropping-particle":"","parse-names":false,"suffix":""},{"dropping-particle":"","family":"Yasumiishi","given":"Ellen M.","non-dropping-particle":"","parse-names":false,"suffix":""},{"dropping-particle":"","family":"Dunmall","given":"Karen","non-dropping-particle":"","parse-names":false,"suffix":""},{"dropping-particle":"","family":"Sformo","given":"Todd","non-dropping-particle":"","parse-names":false,"suffix":""},{"dropping-particle":"","family":"Rand","given":"Pete","non-dropping-particle":"","parse-names":false,"suffix":""}],"container-title":"Deep-Sea Research Part II: Topical Studies in Oceanography","id":"ITEM-1","issue":"August 2019","issued":{"date-parts":[["2020"]]},"page":"104830","publisher":"Elsevier Ltd","title":"Response of Pink salmon to climate warming in the northern Bering Sea","type":"article-journal","volume":"177"},"uris":["http://www.mendeley.com/documents/?uuid=a0a4bc6d-d0e2-4a43-8d04-2d7092a51f08"]}],"mendeley":{"formattedCitation":"(Farley et al., 2020)","plainTextFormattedCitation":"(Farley et al., 2020)","previouslyFormattedCitation":"(Farley et al., 2020)"},"properties":{"noteIndex":0},"schema":"https://github.com/citation-style-language/schema/raw/master/csl-citation.json"}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(Farley et al., 2020)</w:t>
      </w:r>
      <w:r w:rsidRPr="00F92A58">
        <w:rPr>
          <w:rFonts w:cs="Times New Roman"/>
          <w:szCs w:val="24"/>
        </w:rPr>
        <w:fldChar w:fldCharType="end"/>
      </w:r>
      <w:r w:rsidRPr="00F92A58">
        <w:rPr>
          <w:rFonts w:cs="Times New Roman"/>
          <w:szCs w:val="24"/>
        </w:rPr>
        <w:t xml:space="preserve">.  </w:t>
      </w:r>
    </w:p>
    <w:p w14:paraId="40BE1796" w14:textId="77777777" w:rsidR="00693CE2" w:rsidRPr="00F92A58" w:rsidRDefault="00693CE2" w:rsidP="00693CE2">
      <w:pPr>
        <w:rPr>
          <w:rFonts w:cs="Times New Roman"/>
          <w:szCs w:val="24"/>
        </w:rPr>
      </w:pPr>
      <w:r w:rsidRPr="00F92A58">
        <w:rPr>
          <w:rFonts w:cs="Times New Roman"/>
          <w:szCs w:val="24"/>
        </w:rPr>
        <w:t xml:space="preserve">Pink salmon have been observed spawning in several streams in Northern AK and the Canadian Arctic </w:t>
      </w:r>
      <w:r w:rsidRPr="00F92A58">
        <w:rPr>
          <w:rFonts w:cs="Times New Roman"/>
          <w:szCs w:val="24"/>
        </w:rPr>
        <w:fldChar w:fldCharType="begin" w:fldLock="1"/>
      </w:r>
      <w:r w:rsidRPr="00F92A58">
        <w:rPr>
          <w:rFonts w:cs="Times New Roman"/>
          <w:szCs w:val="24"/>
        </w:rPr>
        <w:instrText>ADDIN CSL_CITATION {"citationItems":[{"id":"ITEM-1","itemData":{"DOI":"10.14430/arctic68876","ISSN":"19231245","abstract":"One of the most pervasive signals of global climate change is altered patterns of distribution with trends towards poleward shifts of species. While habitat loss and destruction has severed connections between people and salmon in many locales, salmon fisheries in the high Arctic are just beginning to develop. To explore these emergent connections, we gathered local knowledge about Pacific salmon and emerging subsistence salmon fisheries in the Beaufort Sea region through ethnographic research in Utqiaġvik (formerly Barrow) and Nuiqsut, Alaska. Between 2010 and 2013, we interviewed 41 active fishermen and Elders who generally agreed that harvests of Pacific salmon species have been increasing in recent years, beginning in the 1990s and early 2000s. About 46% of active fishermen and Elders who discussed salmon abundance perceived an increasing trend over time. Another 43% characterized salmon abundance as cyclical or perceived no directional trend over time. The remaining fishermen (all from Nuiqsut) expressed their perception of decreasing salmon and fish abundance overall related to oil and gas development impacts to their local lands and waters. Given these mixed perceptions and harvests being an imperfect proxy for abundance, it remains unclear whether salmon populations are expanding in Arctic river systems. However, research participants have identified new stream systems not currently documented in the scientific literature where salmon are present and thought to be spawning. In both communities, we found that many fishermen and Elders often do not differentiate Pacific salmon species. Fishermen in both communities are developing new knowledge of salmon and increasing their use of salmon as a subsistence resource, yet uncertainties in the current data and local knowledge combine to generate equivocal evidence that salmon abundance is increasing. This lack of a clear increase in salmon abundance provides nuance to a simple story that warming has led to the increases of salmon in the Arctic. Despite the uncertainty regarding abundance, it is clear we are witnessing an emergence of new salmon fisheries in the high Arctic, perceived to be one among a suite of environmental and social changes currently being experienced in this region.","author":[{"dropping-particle":"","family":"Carothers","given":"Courtney","non-dropping-particle":"","parse-names":false,"suffix":""},{"dropping-particle":"","family":"Sformo","given":"Todd L.","non-dropping-particle":"","parse-names":false,"suffix":""},{"dropping-particle":"","family":"Cotton","given":"Shelley","non-dropping-particle":"","parse-names":false,"suffix":""},{"dropping-particle":"","family":"George","given":"John C.","non-dropping-particle":"","parse-names":false,"suffix":""},{"dropping-particle":"","family":"Westley","given":"Peter A.H.","non-dropping-particle":"","parse-names":false,"suffix":""}],"container-title":"Arctic","id":"ITEM-1","issue":"3","issued":{"date-parts":[["2019"]]},"page":"273-288","title":"Pacific salmon in the rapidly changing arctic: Exploring local knowledge and emerging fisheries in Utqiaġvik and Nuiqsut, Alaska","type":"article-journal","volume":"72"},"uris":["http://www.mendeley.com/documents/?uuid=ffb44305-3de9-4a94-85d0-3be63bb6796a"]},{"id":"ITEM-2","itemData":{"author":[{"dropping-particle":"","family":"Stephenson","given":"S. A.","non-dropping-particle":"","parse-names":false,"suffix":""}],"container-title":"Arctic","id":"ITEM-2","issue":"1","issued":{"date-parts":[["2006"]]},"page":"37-46","title":"A review of the occurence of Pacific salmon (Oncorhynchus spp.) in the Canadian Western Arctic","type":"article-journal","volume":"59"},"uris":["http://www.mendeley.com/documents/?uuid=812f840c-e8f5-49ba-b8fd-4ac83b8317a4"]}],"mendeley":{"formattedCitation":"(Carothers et al., 2019; Stephenson, 2006)","plainTextFormattedCitation":"(Carothers et al., 2019; Stephenson, 2006)","previouslyFormattedCitation":"(Carothers et al., 2019; Stephenson, 2006)"},"properties":{"noteIndex":0},"schema":"https://github.com/citation-style-language/schema/raw/master/csl-citation.json"}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(Carothers et al., 2019; Stephenson, 2006)</w:t>
      </w:r>
      <w:r w:rsidRPr="00F92A58">
        <w:rPr>
          <w:rFonts w:cs="Times New Roman"/>
          <w:szCs w:val="24"/>
        </w:rPr>
        <w:fldChar w:fldCharType="end"/>
      </w:r>
      <w:r w:rsidRPr="00F92A58">
        <w:rPr>
          <w:rFonts w:cs="Times New Roman"/>
          <w:szCs w:val="24"/>
        </w:rPr>
        <w:t xml:space="preserve">, although the production of viable offspring from these individuals has not been confirmed. However, the successful spawning and early marine survival of chum salmon has been established via the presence of a juvenile chum salmon in Arctic waters </w:t>
      </w:r>
      <w:r w:rsidRPr="00F92A58">
        <w:rPr>
          <w:rFonts w:cs="Times New Roman"/>
          <w:szCs w:val="24"/>
        </w:rPr>
        <w:fldChar w:fldCharType="begin" w:fldLock="1"/>
      </w:r>
      <w:r w:rsidRPr="00F92A58">
        <w:rPr>
          <w:rFonts w:cs="Times New Roman"/>
          <w:szCs w:val="24"/>
        </w:rPr>
        <w:instrText>ADDIN CSL_CITATION {"citationItems":[{"id":"ITEM-1","itemData":{"DOI":"10.1139/cjfas-2022-0006","ISSN":"12057533","abstract":"The distributional extent of Pacific salmon(Oncorhynchus spp.) in the North American Arctic is unresolved. While adult Pacific salmon have a recurring presence across the Alaskan North Slope and into the Canadian Arctic, it is uncertain if these fish are part of established Arctic populations, vagrants from outside sources reproducing unsuccessfully, or both. Here we present the first confirmed record of a juvenile chum salmon (Oncorhynchus keta) captured in the nearshore marine ecosystem in the North American Arctic. This provides the first scientific evidence of successful spawning and early marine survival of Pacific salmon in the North American Arctic. It was caught near Kaktovik, Alaska, in August 2017 with a group of similarly sized age-0 Mackenzie River Arctic cisco (Coregonus autumnalis). Stable isotope and otolith microchemistry analyses are consistent with use of the nearshore estuarine corridor from the Mackenzie River west along the northern coast. This contributes critical information needed to identify, manage, and conserve biodiversity at the northern range edge and will help to clarify the status of Pacific salmon as potentially emerging fisheries develop in the North American Arctic due to climate warming.","author":[{"dropping-particle":"","family":"Dunmall","given":"Karen M.","non-dropping-particle":"","parse-names":false,"suffix":""},{"dropping-particle":"","family":"McNicholl","given":"Darcy G.","non-dropping-particle":"","parse-names":false,"suffix":""},{"dropping-particle":"","family":"Zimmerman","given":"Christian E.","non-dropping-particle":"","parse-names":false,"suffix":""},{"dropping-particle":"","family":"Gilk-Baumer","given":"Sara E.","non-dropping-particle":"","parse-names":false,"suffix":""},{"dropping-particle":"","family":"Burril","given":"Sean","non-dropping-particle":"","parse-names":false,"suffix":""},{"dropping-particle":"","family":"Biela","given":"Vanessa R.","non-dropping-particle":"von","parse-names":false,"suffix":""}],"container-title":"Canadian Journal of Fisheries and Aquatic Sciences","id":"ITEM-1","issue":"5","issued":{"date-parts":[["2022"]]},"page":"703-707","title":"First juvenile chum salmon confirms successful reproduction for Pacific salmon in the North American Arctic","type":"article-journal","volume":"79"},"uris":["http://www.mendeley.com/documents/?uuid=5720aa02-376d-4c52-baed-f99ef090a174"]}],"mendeley":{"formattedCitation":"(Dunmall et al., 2022)","plainTextFormattedCitation":"(Dunmall et al., 2022)","previouslyFormattedCitation":"(Dunmall et al., 2022)"},"properties":{"noteIndex":0},"schema":"https://github.com/citation-style-language/schema/raw/master/csl-citation.json"}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2022)</w:t>
      </w:r>
      <w:r w:rsidRPr="00F92A58">
        <w:rPr>
          <w:rFonts w:cs="Times New Roman"/>
          <w:szCs w:val="24"/>
        </w:rPr>
        <w:fldChar w:fldCharType="end"/>
      </w:r>
      <w:r w:rsidRPr="00F92A58">
        <w:rPr>
          <w:rFonts w:cs="Times New Roman"/>
          <w:szCs w:val="24"/>
        </w:rPr>
        <w:t xml:space="preserve">, indicating that the North Slope of AK does have viable salmon spawning habitat. Notably, the juvenile chum salmon reported by Dunmall et al. (2022) was captured near Kaktovik, one of the locations where adult pink salmon were captured in fresh water in the present study. Previous research has indicated that physical conditions could provide the opportunity for pink salmon to successfully reproduce in the Arctic </w:t>
      </w:r>
      <w:r w:rsidRPr="00F92A58">
        <w:rPr>
          <w:rFonts w:cs="Times New Roman"/>
          <w:szCs w:val="24"/>
        </w:rPr>
        <w:fldChar w:fldCharType="begin" w:fldLock="1"/>
      </w:r>
      <w:r w:rsidRPr="00F92A58">
        <w:rPr>
          <w:rFonts w:cs="Times New Roman"/>
          <w:szCs w:val="24"/>
        </w:rPr>
        <w:instrText>ADDIN CSL_CITATION {"citationItems":[{"id":"ITEM-1","itemData":{"DOI":"10.1139/cjfas-2016-0051","ISSN":"12057533","abstract":"Distributional shifts of biota to higher latitudes and elevations are presumably influenced by species-specific physiological tolerances related to warming temperatures. However, it is establishment rather than dispersal that may be limiting colonizations in these cold frontier areas. In freshwater ecosystems, perennial groundwater springs provide critical winter thermal refugia in these extreme environments. By reconciling the thermal characteristics of these refugia with theminimumthermal tolerances of life stages critical for establishment, we develop a strategy to focus broad projections of northward and upward range shifts to the specific habitats that are likely for establishments. We evaluate this strategy using chum salmon (Oncorhynchus keta) and pink salmon (Oncorhynchus gorbuscha) that seem poised to colonize Arctic watersheds. Stream habitats with aminimum temperature of 4 °C during spawning and temperatures above 2 °C during egg incubation were most vulnerable to establishments bychumand pink salmon. This strategy will improve modelling forecasts of range shifts for cold freshwater habitats and focus proactive efforts to conserve both newly emerging fisheries and native species at northern and upper distributional extremes.","author":[{"dropping-particle":"","family":"Dunmall","given":"Karen M.","non-dropping-particle":"","parse-names":false,"suffix":""},{"dropping-particle":"","family":"Mochnacz","given":"Neil J.","non-dropping-particle":"","parse-names":false,"suffix":""},{"dropping-particle":"","family":"Zimmerman","given":"Christian E.","non-dropping-particle":"","parse-names":false,"suffix":""},{"dropping-particle":"","family":"Lean","given":"Charles","non-dropping-particle":"","parse-names":false,"suffix":""},{"dropping-particle":"","family":"Reist","given":"James D.","non-dropping-particle":"","parse-names":false,"suffix":""}],"container-title":"Canadian Journal of Fisheries and Aquatic Sciences","id":"ITEM-1","issue":"12","issued":{"date-parts":[["2016"]]},"page":"1750-1758","title":"Using thermal limits to assess establishment of fish dispersing to high-latitude and high-elevation watersheds","type":"article-journal","volume":"73"},"uris":["http://www.mendeley.com/documents/?uuid=adf02b4d-8d83-416c-bd05-8bfc7b20ce96"]},{"id":"ITEM-2","itemData":{"ISBN":"1028-9127","ISSN":"10289127","abstract":"With climate change, scientists and others are interested in the future of Pacific salmon in the Arctic. Chum, pink, sockeye, coho, and chinook salmon have been encountered in the Beaufort Sea, well within Canadian Arctic waters. Chum is the only salmon species regarded as natal to the Mackenzie River watershed, although both pink and chum salmon appear to be natal to Alaska’s North Slope rivers. It is not possible to say whether apparent recent increases in the frequency of occurrence of salmonids in the Arctic is an effect of climate change, but it appears there are either increases in the survival of natal fish from the Mackenzie, or in the wandering of non-natal fish to the Mackenzie, or both. We propose three hypotheses to explain how chum salmon survive cold marine winter conditions, and thereby persist in the North American Arctic: (1) Bering Sea Refuge – young salmon migrate to the Bering Sea and Gulf of Alaska where they remain until they are ready to return to spawn; (2) Atlantic Layer Beaufort Refuge – salmon remain in the Beaufort Sea, wintering offshore deep under pack ice; and (3) Freshwater Beaufort Refuge – salmon remain in the Beaufort Sea region, wintering in the brackish, under-ice Mackenzie River plume or in fresh water adjacent to the Beaufort Sea. As a preliminary test of these hypotheses, we examined the strontium-to-calcium ratios (Sr:Ca) of otoliths from chum salmon from the Colville (Alaska’s North Slope) and Tanana (Yukon River drainage) rivers. Yukon River chum salmon were assumed to reside in the Gulf of Alaska and the Bering Sea. Otolith Sr:Ca ratios were similar between rivers, implying that fish from each group lived in similar environments, but also exhibited significant fluctuations often associated with migrations between freshwater and marine environments. Age compositions and sizes of adult chum salmon from the upper Mackenzie River watershed did not differ from chum from a Yukon River tributary. We are not able to refute any of our hypotheses, but the most parsimonious explanation is that arctic chum salmon live in the North Pacific for most of their marine life, rather than in the Beaufort Sea region. Because of the long distance to migrate between the mouth of the Mackenzie and the North Pacific Ocean, we suggest salmon may spend their first winter deep within the Beaufort Sea (i.e., a combination of Hypotheses 1 and 2). Additional elemental and isotopic signature measurements will enable a more thorough testing o…","author":[{"dropping-particle":"","family":"Irvine","given":"James R","non-dropping-particle":"","parse-names":false,"suffix":""},{"dropping-particle":"","family":"Macdonald","given":"R W","non-dropping-particle":"","parse-names":false,"suffix":""},{"dropping-particle":"","family":"Brown","given":"R J","non-dropping-particle":"","parse-names":false,"suffix":""},{"dropping-particle":"","family":"Godbout","given":"Lyse","non-dropping-particle":"","parse-names":false,"suffix":""},{"dropping-particle":"","family":"Reist","given":"J D","non-dropping-particle":"","parse-names":false,"suffix":""},{"dropping-particle":"","family":"Carmack","given":"E C","non-dropping-particle":"","parse-names":false,"suffix":""}],"container-title":"North Pacific Anadromous Fish Commission Bulletin","id":"ITEM-2","issue":"5","issued":{"date-parts":[["2009"]]},"page":"39-50","title":"Salmon in the Arctic and How They Avoid Lethal Low Temperatures","type":"article-journal","volume":"5"},"uris":["http://www.mendeley.com/documents/?uuid=2a8e50c3-b90a-4270-8034-66a5a7e559e4"]},{"id":"ITEM-3","itemData":{"DOI":"10.1016/j.dsr2.2020.104830","ISSN":"09670645","abstract":"Life-history and life-cycle models of Pink salmon (Oncorhynchus gorbuscha) are developed to provide insight into production dynamics of northern Bering Sea Pink salmon. Arctic ecosystems, including freshwater and marine ecosystems in the northern Bering Sea, are warming at a rapid rate. Due to their short, two-year life cycle, Pink salmon are well known to respond rapidly to ecosystem change and can provide unique insight into ecosystem impacts of warming Arctic conditions. Life-cycle models suggest a lack of density-dependence for adult Pink salmon spawners in the Yukon River and potential for some density-dependence for adult Pink salmon spawners in the Norton Sound region. Life-history models identify a positive and significant relationship between the abundance index for juvenile Pink salmon and average Nome air temperature during their freshwater residency (August to June). This relationship supports the notion that warming air temperatures in this region (as a proxy for river and stream temperatures) are contributing to improved freshwater survival or increased capacity of freshwater habitats to support Pink salmon production. Life-history models also identify the number of adult Pink salmon returning to Norton Sound and the Yukon River is significantly related to the juvenile abundance in the northern Bering Sea. This result indicates that much of the variability in survival for northern Bering Sea Pink salmon occurs during early life-history stages and that juvenile abundance is an informative leading indicator of Pink salmon runs to this region.","author":[{"dropping-particle":"V.","family":"Farley","given":"Edward","non-dropping-particle":"","parse-names":false,"suffix":""},{"dropping-particle":"","family":"Murphy","given":"James M.","non-dropping-particle":"","parse-names":false,"suffix":""},{"dropping-particle":"","family":"Cieciel","given":"Kris","non-dropping-particle":"","parse-names":false,"suffix":""},{"dropping-particle":"","family":"Yasumiishi","given":"Ellen M.","non-dropping-particle":"","parse-names":false,"suffix":""},{"dropping-particle":"","family":"Dunmall","given":"Karen","non-dropping-particle":"","parse-names":false,"suffix":""},{"dropping-particle":"","family":"Sformo","given":"Todd","non-dropping-particle":"","parse-names":false,"suffix":""},{"dropping-particle":"","family":"Rand","given":"Pete","non-dropping-particle":"","parse-names":false,"suffix":""}],"container-title":"Deep-Sea Research Part II: Topical Studies in Oceanography","id":"ITEM-3","issue":"August 2019","issued":{"date-parts":[["2020"]]},"page":"104830","publisher":"Elsevier Ltd","title":"Response of Pink salmon to climate warming in the northern Bering Sea","type":"article-journal","volume":"177"},"uris":["http://www.mendeley.com/documents/?uuid=a0a4bc6d-d0e2-4a43-8d04-2d7092a51f08"]}],"mendeley":{"formattedCitation":"(Dunmall et al., 2016; Farley et al., 2020; Irvine et al., 2009)","plainTextFormattedCitation":"(Dunmall et al., 2016; Farley et al., 2020; Irvine et al., 2009)","previouslyFormattedCitation":"(Dunmall et al., 2016; Farley et al., 2020; Irvine et al., 2009)"},"properties":{"noteIndex":0},"schema":"https://github.com/citation-style-language/schema/raw/master/csl-citation.json"}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2016; Farley et al., 2020; Irvine et al., 2009)</w:t>
      </w:r>
      <w:r w:rsidRPr="00F92A58">
        <w:rPr>
          <w:rFonts w:cs="Times New Roman"/>
          <w:szCs w:val="24"/>
        </w:rPr>
        <w:fldChar w:fldCharType="end"/>
      </w:r>
      <w:r w:rsidRPr="00F92A58">
        <w:rPr>
          <w:rFonts w:cs="Times New Roman"/>
          <w:szCs w:val="24"/>
        </w:rPr>
        <w:t xml:space="preserve">. </w:t>
      </w:r>
    </w:p>
    <w:p w14:paraId="579BAE48" w14:textId="77777777" w:rsidR="00693CE2" w:rsidRPr="00F92A58" w:rsidRDefault="00693CE2" w:rsidP="00693CE2">
      <w:pPr>
        <w:rPr>
          <w:rFonts w:cs="Times New Roman"/>
          <w:szCs w:val="24"/>
        </w:rPr>
      </w:pPr>
      <w:r w:rsidRPr="00F92A58">
        <w:rPr>
          <w:rFonts w:cs="Times New Roman"/>
          <w:szCs w:val="24"/>
        </w:rPr>
        <w:t xml:space="preserve">For example, considering the thermal tolerance limits of pink salmon and the locations of perennial Arctic groundwater streams, indicates that there are several tributaries vulnerable to pink salmon establishment in AK and the Yukon Territory (Canada) </w:t>
      </w:r>
      <w:r w:rsidRPr="00F92A58">
        <w:rPr>
          <w:rFonts w:cs="Times New Roman"/>
          <w:szCs w:val="24"/>
        </w:rPr>
        <w:fldChar w:fldCharType="begin" w:fldLock="1"/>
      </w:r>
      <w:r w:rsidRPr="00F92A58">
        <w:rPr>
          <w:rFonts w:cs="Times New Roman"/>
          <w:szCs w:val="24"/>
        </w:rPr>
        <w:instrText>ADDIN CSL_CITATION {"citationItems":[{"id":"ITEM-1","itemData":{"DOI":"10.1139/cjfas-2016-0051","ISSN":"12057533","abstract":"Distributional shifts of biota to higher latitudes and elevations are presumably influenced by species-specific physiological tolerances related to warming temperatures. However, it is establishment rather than dispersal that may be limiting colonizations in these cold frontier areas. In freshwater ecosystems, perennial groundwater springs provide critical winter thermal refugia in these extreme environments. By reconciling the thermal characteristics of these refugia with theminimumthermal tolerances of life stages critical for establishment, we develop a strategy to focus broad projections of northward and upward range shifts to the specific habitats that are likely for establishments. We evaluate this strategy using chum salmon (Oncorhynchus keta) and pink salmon (Oncorhynchus gorbuscha) that seem poised to colonize Arctic watersheds. Stream habitats with aminimum temperature of 4 °C during spawning and temperatures above 2 °C during egg incubation were most vulnerable to establishments bychumand pink salmon. This strategy will improve modelling forecasts of range shifts for cold freshwater habitats and focus proactive efforts to conserve both newly emerging fisheries and native species at northern and upper distributional extremes.","author":[{"dropping-particle":"","family":"Dunmall","given":"Karen M.","non-dropping-particle":"","parse-names":false,"suffix":""},{"dropping-particle":"","family":"Mochnacz","given":"Neil J.","non-dropping-particle":"","parse-names":false,"suffix":""},{"dropping-particle":"","family":"Zimmerman","given":"Christian E.","non-dropping-particle":"","parse-names":false,"suffix":""},{"dropping-particle":"","family":"Lean","given":"Charles","non-dropping-particle":"","parse-names":false,"suffix":""},{"dropping-particle":"","family":"Reist","given":"James D.","non-dropping-particle":"","parse-names":false,"suffix":""}],"container-title":"Canadian Journal of Fisheries and Aquatic Sciences","id":"ITEM-1","issue":"12","issued":{"date-parts":[["2016"]]},"page":"1750-1758","title":"Using thermal limits to assess establishment of fish dispersing to high-latitude and high-elevation watersheds","type":"article-journal","volume":"73"},"uris":["http://www.mendeley.com/documents/?uuid=adf02b4d-8d83-416c-bd05-8bfc7b20ce96"]}],"mendeley":{"formattedCitation":"(Dunmall et al., 2016)","plainTextFormattedCitation":"(Dunmall et al., 2016)","previouslyFormattedCitation":"(Dunmall et al., 2016)"},"properties":{"noteIndex":0},"schema":"https://github.com/citation-style-language/schema/raw/master/csl-citation.json"}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2016)</w:t>
      </w:r>
      <w:r w:rsidRPr="00F92A58">
        <w:rPr>
          <w:rFonts w:cs="Times New Roman"/>
          <w:szCs w:val="24"/>
        </w:rPr>
        <w:fldChar w:fldCharType="end"/>
      </w:r>
      <w:r w:rsidRPr="00F92A58">
        <w:rPr>
          <w:rFonts w:cs="Times New Roman"/>
          <w:szCs w:val="24"/>
        </w:rPr>
        <w:t xml:space="preserve">. Although none of the streams examined by Dunmall et al. (2016) overlap with the sites examined in the present study, this indicates that groundwater streams can provide sufficient thermal refugia for incubation of pink salmon. Additionally, the subarctic Bering Sea offers the opportunity for juvenile salmon to overwinter in an area with higher temperatures that could allow for marine survival </w:t>
      </w:r>
      <w:r w:rsidRPr="00F92A58">
        <w:rPr>
          <w:rFonts w:cs="Times New Roman"/>
          <w:szCs w:val="24"/>
        </w:rPr>
        <w:fldChar w:fldCharType="begin" w:fldLock="1"/>
      </w:r>
      <w:r w:rsidRPr="00F92A58">
        <w:rPr>
          <w:rFonts w:cs="Times New Roman"/>
          <w:szCs w:val="24"/>
        </w:rPr>
        <w:instrText>ADDIN CSL_CITATION {"citationItems":[{"id":"ITEM-1","itemData":{"ISBN":"1028-9127","ISSN":"10289127","abstract":"With climate change, scientists and others are interested in the future of Pacific salmon in the Arctic. Chum, pink, sockeye, coho, and chinook salmon have been encountered in the Beaufort Sea, well within Canadian Arctic waters. Chum is the only salmon species regarded as natal to the Mackenzie River watershed, although both pink and chum salmon appear to be natal to Alaska’s North Slope rivers. It is not possible to say whether apparent recent increases in the frequency of occurrence of salmonids in the Arctic is an effect of climate change, but it appears there are either increases in the survival of natal fish from the Mackenzie, or in the wandering of non-natal fish to the Mackenzie, or both. We propose three hypotheses to explain how chum salmon survive cold marine winter conditions, and thereby persist in the North American Arctic: (1) Bering Sea Refuge – young salmon migrate to the Bering Sea and Gulf of Alaska where they remain until they are ready to return to spawn; (2) Atlantic Layer Beaufort Refuge – salmon remain in the Beaufort Sea, wintering offshore deep under pack ice; and (3) Freshwater Beaufort Refuge – salmon remain in the Beaufort Sea region, wintering in the brackish, under-ice Mackenzie River plume or in fresh water adjacent to the Beaufort Sea. As a preliminary test of these hypotheses, we examined the strontium-to-calcium ratios (Sr:Ca) of otoliths from chum salmon from the Colville (Alaska’s North Slope) and Tanana (Yukon River drainage) rivers. Yukon River chum salmon were assumed to reside in the Gulf of Alaska and the Bering Sea. Otolith Sr:Ca ratios were similar between rivers, implying that fish from each group lived in similar environments, but also exhibited significant fluctuations often associated with migrations between freshwater and marine environments. Age compositions and sizes of adult chum salmon from the upper Mackenzie River watershed did not differ from chum from a Yukon River tributary. We are not able to refute any of our hypotheses, but the most parsimonious explanation is that arctic chum salmon live in the North Pacific for most of their marine life, rather than in the Beaufort Sea region. Because of the long distance to migrate between the mouth of the Mackenzie and the North Pacific Ocean, we suggest salmon may spend their first winter deep within the Beaufort Sea (i.e., a combination of Hypotheses 1 and 2). Additional elemental and isotopic signature measurements will enable a more thorough testing o…","author":[{"dropping-particle":"","family":"Irvine","given":"James R","non-dropping-particle":"","parse-names":false,"suffix":""},{"dropping-particle":"","family":"Macdonald","given":"R W","non-dropping-particle":"","parse-names":false,"suffix":""},{"dropping-particle":"","family":"Brown","given":"R J","non-dropping-particle":"","parse-names":false,"suffix":""},{"dropping-particle":"","family":"Godbout","given":"Lyse","non-dropping-particle":"","parse-names":false,"suffix":""},{"dropping-particle":"","family":"Reist","given":"J D","non-dropping-particle":"","parse-names":false,"suffix":""},{"dropping-particle":"","family":"Carmack","given":"E C","non-dropping-particle":"","parse-names":false,"suffix":""}],"container-title":"North Pacific Anadromous Fish Commission Bulletin","id":"ITEM-1","issue":"5","issued":{"date-parts":[["2009"]]},"page":"39-50","title":"Salmon in the Arctic and How They Avoid Lethal Low Temperatures","type":"article-journal","volume":"5"},"uris":["http://www.mendeley.com/documents/?uuid=2a8e50c3-b90a-4270-8034-66a5a7e559e4"]}],"mendeley":{"formattedCitation":"(Irvine et al., 2009)","plainTextFormattedCitation":"(Irvine et al., 2009)","previouslyFormattedCitation":"(Irvine et al., 2009)"},"properties":{"noteIndex":0},"schema":"https://github.com/citation-style-language/schema/raw/master/csl-citation.json"}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(Irvine et al., 2009)</w:t>
      </w:r>
      <w:r w:rsidRPr="00F92A58">
        <w:rPr>
          <w:rFonts w:cs="Times New Roman"/>
          <w:szCs w:val="24"/>
        </w:rPr>
        <w:fldChar w:fldCharType="end"/>
      </w:r>
      <w:r w:rsidRPr="00F92A58">
        <w:rPr>
          <w:rFonts w:cs="Times New Roman"/>
          <w:szCs w:val="24"/>
        </w:rPr>
        <w:t xml:space="preserve">. Overall, pink salmon possess a tremendous capacity for the straying and colonization of newly available habitat in the Arctic due to their high stray rate, limited rearing time in freshwater, overall population abundance, short 2-year lifecycle, and high population productivity </w:t>
      </w:r>
      <w:r w:rsidRPr="00F92A58">
        <w:rPr>
          <w:rFonts w:cs="Times New Roman"/>
          <w:szCs w:val="24"/>
        </w:rPr>
        <w:fldChar w:fldCharType="begin" w:fldLock="1"/>
      </w:r>
      <w:r w:rsidRPr="00F92A58">
        <w:rPr>
          <w:rFonts w:cs="Times New Roman"/>
          <w:szCs w:val="24"/>
        </w:rPr>
        <w:instrText>ADDIN CSL_CITATION {"citationItems":[{"id":"ITEM-1","itemData":{"DOI":"10.1139/cjfas-2016-0051","ISSN":"12057533","abstract":"Distributional shifts of biota to higher latitudes and elevations are presumably influenced by species-specific physiological tolerances related to warming temperatures. However, it is establishment rather than dispersal that may be limiting colonizations in these cold frontier areas. In freshwater ecosystems, perennial groundwater springs provide critical winter thermal refugia in these extreme environments. By reconciling the thermal characteristics of these refugia with theminimumthermal tolerances of life stages critical for establishment, we develop a strategy to focus broad projections of northward and upward range shifts to the specific habitats that are likely for establishments. We evaluate this strategy using chum salmon (Oncorhynchus keta) and pink salmon (Oncorhynchus gorbuscha) that seem poised to colonize Arctic watersheds. Stream habitats with aminimum temperature of 4 °C during spawning and temperatures above 2 °C during egg incubation were most vulnerable to establishments bychumand pink salmon. This strategy will improve modelling forecasts of range shifts for cold freshwater habitats and focus proactive efforts to conserve both newly emerging fisheries and native species at northern and upper distributional extremes.","author":[{"dropping-particle":"","family":"Dunmall","given":"Karen M.","non-dropping-particle":"","parse-names":false,"suffix":""},{"dropping-particle":"","family":"Mochnacz","given":"Neil J.","non-dropping-particle":"","parse-names":false,"suffix":""},{"dropping-particle":"","family":"Zimmerman","given":"Christian E.","non-dropping-particle":"","parse-names":false,"suffix":""},{"dropping-particle":"","family":"Lean","given":"Charles","non-dropping-particle":"","parse-names":false,"suffix":""},{"dropping-particle":"","family":"Reist","given":"James D.","non-dropping-particle":"","parse-names":false,"suffix":""}],"container-title":"Canadian Journal of Fisheries and Aquatic Sciences","id":"ITEM-1","issue":"12","issued":{"date-parts":[["2016"]]},"page":"1750-1758","title":"Using thermal limits to assess establishment of fish dispersing to high-latitude and high-elevation watersheds","type":"article-journal","volume":"73"},"uris":["http://www.mendeley.com/documents/?uuid=adf02b4d-8d83-416c-bd05-8bfc7b20ce96"]},{"id":"ITEM-2","itemData":{"DOI":"10.1139/F2012-030","ISSN":"0706652X","abstract":"When barriers are removed, what biotic and abiotic factors determine how fish populations will colonize newly available habitats? We used counts of adult pink salmon (Oncorhywnchus gorbuscha) from 1947 to 1987 in 66 streams of the Fraser River system, British Columbia, Canada, to determine when colonizing pink salmon populations became selfsustaining after a long-term migration blockage at Hell's Gate (river kilometre 209) was reduced. The abundance of salmon in available habitats were largely controlled by extrinsic factors such as an initially large source population, high intrinsic growth rates linked to favorable climate-driven conditions, a constant supply of dispersers, and large amounts of newly available habitat. Temporal variation in flows at Hell's Gate also affected recolonization success. Self-sustaining populations were developed within years of barrier removal and have continued to help expand the overall population of Fraser River pink salmon. However, pink salmon were considerably more abundant in the early 1900s than in the 1980s (~48 million vs. ~2.7 million), and the majority of spawning shifted from the historic areas above Hell's Gate prior to the rockslide to below Hell's Gate in the lower Fraser River after the long-term blockage was reduced, so the system has not returned to the former abundance and distribution patterns.","author":[{"dropping-particle":"","family":"Pess","given":"G. R.","non-dropping-particle":"","parse-names":false,"suffix":""},{"dropping-particle":"","family":"Hilborn","given":"R.","non-dropping-particle":"","parse-names":false,"suffix":""},{"dropping-particle":"","family":"Kloehn","given":"K.","non-dropping-particle":"","parse-names":false,"suffix":""},{"dropping-particle":"","family":"Quinn","given":"T. P.","non-dropping-particle":"","parse-names":false,"suffix":""}],"container-title":"Canadian Journal of Fisheries and Aquatic Sciences","id":"ITEM-2","issue":"5","issued":{"date-parts":[["2012"]]},"page":"970-982","title":"The influence of population dynamics and environmental conditions on pink salmon (Oncorhynchus gorbuscha) recolonization after barrier removal in the Fraser river, British Columbia, Canada","type":"article-journal","volume":"69"},"uris":["http://www.mendeley.com/documents/?uuid=fb4f8233-819e-4842-b93b-fdff56d3f19b"]},{"id":"ITEM-3","itemData":{"ISBN":"0295984376","author":[{"dropping-particle":"","family":"Quinn","given":"Thomas P.","non-dropping-particle":"","parse-names":false,"suffix":""}],"id":"ITEM-3","issued":{"date-parts":[["2004"]]},"number-of-pages":"388","publisher":"Universtity of Washington Press","publisher-place":"Seattle","title":"The behavior and ecology of Pacific Salmon and Trout","type":"book"},"uris":["http://www.mendeley.com/documents/?uuid=dad38281-f285-4f6b-bfa1-9c35fe2aa887"]},{"id":"ITEM-4","itemData":{"DOI":"10.1016/j.dsr2.2020.104830","ISSN":"09670645","abstract":"Life-history and life-cycle models of Pink salmon (Oncorhynchus gorbuscha) are developed to provide insight into production dynamics of northern Bering Sea Pink salmon. Arctic ecosystems, including freshwater and marine ecosystems in the northern Bering Sea, are warming at a rapid rate. Due to their short, two-year life cycle, Pink salmon are well known to respond rapidly to ecosystem change and can provide unique insight into ecosystem impacts of warming Arctic conditions. Life-cycle models suggest a lack of density-dependence for adult Pink salmon spawners in the Yukon River and potential for some density-dependence for adult Pink salmon spawners in the Norton Sound region. Life-history models identify a positive and significant relationship between the abundance index for juvenile Pink salmon and average Nome air temperature during their freshwater residency (August to June). This relationship supports the notion that warming air temperatures in this region (as a proxy for river and stream temperatures) are contributing to improved freshwater survival or increased capacity of freshwater habitats to support Pink salmon production. Life-history models also identify the number of adult Pink salmon returning to Norton Sound and the Yukon River is significantly related to the juvenile abundance in the northern Bering Sea. This result indicates that much of the variability in survival for northern Bering Sea Pink salmon occurs during early life-history stages and that juvenile abundance is an informative leading indicator of Pink salmon runs to this region.","author":[{"dropping-particle":"V.","family":"Farley","given":"Edward","non-dropping-particle":"","parse-names":false,"suffix":""},{"dropping-particle":"","family":"Murphy","given":"James M.","non-dropping-particle":"","parse-names":false,"suffix":""},{"dropping-particle":"","family":"Cieciel","given":"Kris","non-dropping-particle":"","parse-names":false,"suffix":""},{"dropping-particle":"","family":"Yasumiishi","given":"Ellen M.","non-dropping-particle":"","parse-names":false,"suffix":""},{"dropping-particle":"","family":"Dunmall","given":"Karen","non-dropping-particle":"","parse-names":false,"suffix":""},{"dropping-particle":"","family":"Sformo","given":"Todd","non-dropping-particle":"","parse-names":false,"suffix":""},{"dropping-particle":"","family":"Rand","given":"Pete","non-dropping-particle":"","parse-names":false,"suffix":""}],"container-title":"Deep-Sea Research Part II: Topical Studies in Oceanography","id":"ITEM-4","issue":"August 2019","issued":{"date-parts":[["2020"]]},"page":"104830","publisher":"Elsevier Ltd","title":"Response of Pink salmon to climate warming in the northern Bering Sea","type":"article-journal","volume":"177"},"uris":["http://www.mendeley.com/documents/?uuid=a0a4bc6d-d0e2-4a43-8d04-2d7092a51f08"]}],"mendeley":{"formattedCitation":"(Dunmall et al., 2016; Farley et al., 2020; Pess et al., 2012; Quinn, 2004)","plainTextFormattedCitation":"(Dunmall et al., 2016; Farley et al., 2020; Pess et al., 2012; Quinn, 2004)","previouslyFormattedCitation":"(Dunmall et al., 2016; Farley et al., 2020; Pess et al., 2012; Quinn, 2004)"},"properties":{"noteIndex":0},"schema":"https://github.com/citation-style-language/schema/raw/master/csl-citation.json"}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2016; Farley et al., 2020; Pess et al., 2012; Quinn, 2004)</w:t>
      </w:r>
      <w:r w:rsidRPr="00F92A58">
        <w:rPr>
          <w:rFonts w:cs="Times New Roman"/>
          <w:szCs w:val="24"/>
        </w:rPr>
        <w:fldChar w:fldCharType="end"/>
      </w:r>
      <w:r w:rsidRPr="00F92A58">
        <w:rPr>
          <w:rFonts w:cs="Times New Roman"/>
          <w:szCs w:val="24"/>
        </w:rPr>
        <w:t xml:space="preserve">. </w:t>
      </w:r>
    </w:p>
    <w:p w14:paraId="0A79E35D" w14:textId="77777777" w:rsidR="00693CE2" w:rsidRPr="00F92A58" w:rsidRDefault="00693CE2" w:rsidP="00693CE2">
      <w:pPr>
        <w:rPr>
          <w:rFonts w:cs="Times New Roman"/>
          <w:szCs w:val="24"/>
        </w:rPr>
      </w:pPr>
      <w:r w:rsidRPr="00F92A58">
        <w:rPr>
          <w:rFonts w:cs="Times New Roman"/>
          <w:szCs w:val="24"/>
        </w:rPr>
        <w:t xml:space="preserve">Although most fish in this study were not locally produced, there was a small but substantial proportion of fish (35%) for which Arctic origin could not be ruled out. In this study, adult fish were captured in August in freshwater locations in Northern AK, which overlaps with the documented spawning migration timing for pink salmon (Quinn, 2004). Therefore, it is intriguing that some of the fish for which Arctic origin could not be ruled out were captured at Camp-99 during this time. Although this could indicate some fish were returning to their stream of origin as adults, </w:t>
      </w:r>
      <w:r>
        <w:rPr>
          <w:rFonts w:cs="Times New Roman"/>
          <w:szCs w:val="24"/>
        </w:rPr>
        <w:t xml:space="preserve">it </w:t>
      </w:r>
      <w:r w:rsidRPr="00F92A58">
        <w:rPr>
          <w:rFonts w:cs="Times New Roman"/>
          <w:szCs w:val="24"/>
        </w:rPr>
        <w:t xml:space="preserve">cannot definitively </w:t>
      </w:r>
      <w:r>
        <w:rPr>
          <w:rFonts w:cs="Times New Roman"/>
          <w:szCs w:val="24"/>
        </w:rPr>
        <w:t xml:space="preserve">concluded that these fish are of Arctic origin </w:t>
      </w:r>
      <w:r w:rsidRPr="00F92A58">
        <w:rPr>
          <w:rFonts w:cs="Times New Roman"/>
          <w:szCs w:val="24"/>
        </w:rPr>
        <w:t xml:space="preserve">due to several factors. For example, previous work has shown that adult pink salmon can demonstrate a phenomenon known as “reverse migration,” in which fish make short-term movements, on the order of minutes to hours, between fresh and saltwater during their spawning migration </w:t>
      </w:r>
      <w:r w:rsidRPr="00F92A58">
        <w:rPr>
          <w:rFonts w:cs="Times New Roman"/>
          <w:szCs w:val="24"/>
        </w:rPr>
        <w:fldChar w:fldCharType="begin" w:fldLock="1"/>
      </w:r>
      <w:r w:rsidRPr="00F92A58">
        <w:rPr>
          <w:rFonts w:cs="Times New Roman"/>
          <w:szCs w:val="24"/>
        </w:rPr>
        <w:instrText>ADDIN CSL_CITATION {"citationItems":[{"id":"ITEM-1","itemData":{"DOI":"10.1007/s10641-021-01139-y","ISBN":"0123456789","ISSN":"15735133","abstract":"Few studies have examined the movement of adult Pacific salmon Oncorhynchus spp. between the sea and rivers after they have entered a river. In this study, archival tags that recorded temperature and salinity were attached to pink salmon (Oncorhynchus gorbuscha) that had ascended one of four rivers in northern Japan, to examine their individual movement patterns among fresh, brackish, and salt water. Of 44 pink salmon tagged and released in the rivers, nine were recaptured in the same river where they had been tagged and released, four were recaptured in marine nearshore trap fisheries, and one was recaptured in a neighboring river from where it was tagged and released. Among the 14 recaptured tagged fish, abrupt changes in salinity records were found in seven tag records, indicating that tagged fish had returned to brackish or seawater. Six of the seven individuals were males, and the sex ratio was biased toward males when compared with all tag-released individuals. The results suggest that a substantial proportion of homing adult pink salmon may make short-term movements between fresh and saltwater during their spawning migration. Analysis of the tag-recorded water temperatures showed significantly cooler riverine temperatures compared with inferred temperatures of the coastal water (up to 20.5 °C). While many factors, including orienting behavior and male-biased dispersal, likely influenced the observed ‘probing’ behavior, I speculate that the temporal use of freshwaters rivers may be a thermoregulatory behavior to avoid high, stressful temperatures. Future research relating the short-term movements between fresh water and salt water to local environmental conditions is needed to investigate this hypothesis.","author":[{"dropping-particle":"","family":"Morita","given":"Kentaro","non-dropping-particle":"","parse-names":false,"suffix":""}],"container-title":"Environmental Biology of Fishes","id":"ITEM-1","issue":"12","issued":{"date-parts":[["2022"]]},"page":"1825-1832","publisher":"Springer Netherlands","title":"Reverse migration of adult pink salmon (Oncorhynchus gorbuscha) to the sea after their return to fresh water","type":"article-journal","volume":"105"},"uris":["http://www.mendeley.com/documents/?uuid=dac978f2-2552-4b9f-9964-cdec188063cd"]},{"id":"ITEM-2","itemData":{"ISBN":"NOAATMNMFSAFSC137; PB2003107101","abstract":"As part of a larger study to estimate straying rates of pink salmon (Oncorhynchus gorbuscha), escapements of pink salmon were estimated for eight streams in lower Chatham Strait, southeastern Alaska. Prior to stream sampling, computer simulations were used to compare stratified Schaefer and Petersen population estimators. The Petersen estimator was chosen for superior performance and used in conjunction with an efficient sampling design to calculate escapement for the eight streams. Live fish entering each stream were tagged with two opercular tags to account for tag loss, and streams were surveyed for tagged carcasses. Streams were sampled at least twice per week after fish were tagged. Petersen escapement estimates varied from 8,609 fish at William Creek to 79,070 fish at Deep Cove Creek, and all estimates had low coefficients of variation (equal to or less than 0.11) and narrow confidence intervals. Some of the tagged fish were observed later in streams other than where they were tagged. Estimates of these 'probing' fish varied from 0 to 11.7% of the estimated escapements. We used the estimates of probing to adjust the escapement estimates and variances.","author":[{"dropping-particle":"","family":"Maselko","given":"J. M.","non-dropping-particle":"","parse-names":false,"suffix":""},{"dropping-particle":"","family":"Wertheimer","given":"Alex C.","non-dropping-particle":"","parse-names":false,"suffix":""},{"dropping-particle":"","family":"Thedinga","given":"John F.","non-dropping-particle":"","parse-names":false,"suffix":""}],"container-title":"NOAA Technical Memorandum NMFS-AFSC-137","id":"ITEM-2","issue":"July","issued":{"date-parts":[["2003"]]},"page":"54","title":"Selection and Application of a Mark-and-Recapture Technique for Estimating Pink Salmon Escapements","type":"article-journal"},"uris":["http://www.mendeley.com/documents/?uuid=1b180e46-555f-49aa-9ede-770015230e60"]}],"mendeley":{"formattedCitation":"(Maselko et al., 2003; Morita, 2022)","plainTextFormattedCitation":"(Maselko et al., 2003; Morita, 2022)","previouslyFormattedCitation":"(Maselko et al., 2003; Morita, 2022)"},"properties":{"noteIndex":0},"schema":"https://github.com/citation-style-language/schema/raw/master/csl-citation.json"}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(Maselko et al., 2003; Morita, 2022)</w:t>
      </w:r>
      <w:r w:rsidRPr="00F92A58">
        <w:rPr>
          <w:rFonts w:cs="Times New Roman"/>
          <w:szCs w:val="24"/>
        </w:rPr>
        <w:fldChar w:fldCharType="end"/>
      </w:r>
      <w:r w:rsidRPr="00F92A58">
        <w:rPr>
          <w:rFonts w:cs="Times New Roman"/>
          <w:szCs w:val="24"/>
        </w:rPr>
        <w:t xml:space="preserve">. As many as 10% of fish entering a stream  demonstrated this probing behavior in pink salmon in southeastern AK streams </w:t>
      </w:r>
      <w:r w:rsidRPr="00F92A58">
        <w:rPr>
          <w:rFonts w:cs="Times New Roman"/>
          <w:szCs w:val="24"/>
        </w:rPr>
        <w:fldChar w:fldCharType="begin" w:fldLock="1"/>
      </w:r>
      <w:r w:rsidRPr="00F92A58">
        <w:rPr>
          <w:rFonts w:cs="Times New Roman"/>
          <w:szCs w:val="24"/>
        </w:rPr>
        <w:instrText>ADDIN CSL_CITATION {"citationItems":[{"id":"ITEM-1","itemData":{"ISBN":"NOAATMNMFSAFSC137; PB2003107101","abstract":"As part of a larger study to estimate straying rates of pink salmon (Oncorhynchus gorbuscha), escapements of pink salmon were estimated for eight streams in lower Chatham Strait, southeastern Alaska. Prior to stream sampling, computer simulations were used to compare stratified Schaefer and Petersen population estimators. The Petersen estimator was chosen for superior performance and used in conjunction with an efficient sampling design to calculate escapement for the eight streams. Live fish entering each stream were tagged with two opercular tags to account for tag loss, and streams were surveyed for tagged carcasses. Streams were sampled at least twice per week after fish were tagged. Petersen escapement estimates varied from 8,609 fish at William Creek to 79,070 fish at Deep Cove Creek, and all estimates had low coefficients of variation (equal to or less than 0.11) and narrow confidence intervals. Some of the tagged fish were observed later in streams other than where they were tagged. Estimates of these 'probing' fish varied from 0 to 11.7% of the estimated escapements. We used the estimates of probing to adjust the escapement estimates and variances.","author":[{"dropping-particle":"","family":"Maselko","given":"J. M.","non-dropping-particle":"","parse-names":false,"suffix":""},{"dropping-particle":"","family":"Wertheimer","given":"Alex C.","non-dropping-particle":"","parse-names":false,"suffix":""},{"dropping-particle":"","family":"Thedinga","given":"John F.","non-dropping-particle":"","parse-names":false,"suffix":""}],"container-title":"NOAA Technical Memorandum NMFS-AFSC-137","id":"ITEM-1","issue":"July","issued":{"date-parts":[["2003"]]},"page":"54","title":"Selection and Application of a Mark-and-Recapture Technique for Estimating Pink Salmon Escapements","type":"article-journal"},"uris":["http://www.mendeley.com/documents/?uuid=1b180e46-555f-49aa-9ede-770015230e60"]}],"mendeley":{"formattedCitation":"(Maselko et al., 2003)","plainTextFormattedCitation":"(Maselko et al., 2003)","previouslyFormattedCitation":"(Maselko et al., 2003)"},"properties":{"noteIndex":0},"schema":"https://github.com/citation-style-language/schema/raw/master/csl-citation.json"}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(Maselko et al., 2003)</w:t>
      </w:r>
      <w:r w:rsidRPr="00F92A58">
        <w:rPr>
          <w:rFonts w:cs="Times New Roman"/>
          <w:szCs w:val="24"/>
        </w:rPr>
        <w:fldChar w:fldCharType="end"/>
      </w:r>
      <w:r w:rsidRPr="00F92A58">
        <w:rPr>
          <w:rFonts w:cs="Times New Roman"/>
          <w:szCs w:val="24"/>
        </w:rPr>
        <w:t xml:space="preserve">. It is unclear why individuals may make several transitions back and forth between freshwater and saltwater during spawning migration but reasons such as probing behavior to locate their natal river or to assess favorable spawning conditions and behavioral thermoregulation, have been proposed </w:t>
      </w:r>
      <w:r w:rsidRPr="00F92A58">
        <w:rPr>
          <w:rFonts w:cs="Times New Roman"/>
          <w:szCs w:val="24"/>
        </w:rPr>
        <w:fldChar w:fldCharType="begin" w:fldLock="1"/>
      </w:r>
      <w:r w:rsidRPr="00F92A58">
        <w:rPr>
          <w:rFonts w:cs="Times New Roman"/>
          <w:szCs w:val="24"/>
        </w:rPr>
        <w:instrText>ADDIN CSL_CITATION {"citationItems":[{"id":"ITEM-1","itemData":{"DOI":"10.1007/s10641-021-01139-y","ISBN":"0123456789","ISSN":"15735133","abstract":"Few studies have examined the movement of adult Pacific salmon Oncorhynchus spp. between the sea and rivers after they have entered a river. In this study, archival tags that recorded temperature and salinity were attached to pink salmon (Oncorhynchus gorbuscha) that had ascended one of four rivers in northern Japan, to examine their individual movement patterns among fresh, brackish, and salt water. Of 44 pink salmon tagged and released in the rivers, nine were recaptured in the same river where they had been tagged and released, four were recaptured in marine nearshore trap fisheries, and one was recaptured in a neighboring river from where it was tagged and released. Among the 14 recaptured tagged fish, abrupt changes in salinity records were found in seven tag records, indicating that tagged fish had returned to brackish or seawater. Six of the seven individuals were males, and the sex ratio was biased toward males when compared with all tag-released individuals. The results suggest that a substantial proportion of homing adult pink salmon may make short-term movements between fresh and saltwater during their spawning migration. Analysis of the tag-recorded water temperatures showed significantly cooler riverine temperatures compared with inferred temperatures of the coastal water (up to 20.5 °C). While many factors, including orienting behavior and male-biased dispersal, likely influenced the observed ‘probing’ behavior, I speculate that the temporal use of freshwaters rivers may be a thermoregulatory behavior to avoid high, stressful temperatures. Future research relating the short-term movements between fresh water and salt water to local environmental conditions is needed to investigate this hypothesis.","author":[{"dropping-particle":"","family":"Morita","given":"Kentaro","non-dropping-particle":"","parse-names":false,"suffix":""}],"container-title":"Environmental Biology of Fishes","id":"ITEM-1","issue":"12","issued":{"date-parts":[["2022"]]},"page":"1825-1832","publisher":"Springer Netherlands","title":"Reverse migration of adult pink salmon (Oncorhynchus gorbuscha) to the sea after their return to fresh water","type":"article-journal","volume":"105"},"uris":["http://www.mendeley.com/documents/?uuid=dac978f2-2552-4b9f-9964-cdec188063cd"]},{"id":"ITEM-2","itemData":{"ISBN":"NOAATMNMFSAFSC137; PB2003107101","abstract":"As part of a larger study to estimate straying rates of pink salmon (Oncorhynchus gorbuscha), escapements of pink salmon were estimated for eight streams in lower Chatham Strait, southeastern Alaska. Prior to stream sampling, computer simulations were used to compare stratified Schaefer and Petersen population estimators. The Petersen estimator was chosen for superior performance and used in conjunction with an efficient sampling design to calculate escapement for the eight streams. Live fish entering each stream were tagged with two opercular tags to account for tag loss, and streams were surveyed for tagged carcasses. Streams were sampled at least twice per week after fish were tagged. Petersen escapement estimates varied from 8,609 fish at William Creek to 79,070 fish at Deep Cove Creek, and all estimates had low coefficients of variation (equal to or less than 0.11) and narrow confidence intervals. Some of the tagged fish were observed later in streams other than where they were tagged. Estimates of these 'probing' fish varied from 0 to 11.7% of the estimated escapements. We used the estimates of probing to adjust the escapement estimates and variances.","author":[{"dropping-particle":"","family":"Maselko","given":"J. M.","non-dropping-particle":"","parse-names":false,"suffix":""},{"dropping-particle":"","family":"Wertheimer","given":"Alex C.","non-dropping-particle":"","parse-names":false,"suffix":""},{"dropping-particle":"","family":"Thedinga","given":"John F.","non-dropping-particle":"","parse-names":false,"suffix":""}],"container-title":"NOAA Technical Memorandum NMFS-AFSC-137","id":"ITEM-2","issue":"July","issued":{"date-parts":[["2003"]]},"page":"54","title":"Selection and Application of a Mark-and-Recapture Technique for Estimating Pink Salmon Escapements","type":"article-journal"},"uris":["http://www.mendeley.com/documents/?uuid=1b180e46-555f-49aa-9ede-770015230e60"]}],"mendeley":{"formattedCitation":"(Maselko et al., 2003; Morita, 2022)","plainTextFormattedCitation":"(Maselko et al., 2003; Morita, 2022)","previouslyFormattedCitation":"(Maselko et al., 2003; Morita, 2022)"},"properties":{"noteIndex":0},"schema":"https://github.com/citation-style-language/schema/raw/master/csl-citation.json"}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(Maselko et al., 2003; Morita, 2022)</w:t>
      </w:r>
      <w:r w:rsidRPr="00F92A58">
        <w:rPr>
          <w:rFonts w:cs="Times New Roman"/>
          <w:szCs w:val="24"/>
        </w:rPr>
        <w:fldChar w:fldCharType="end"/>
      </w:r>
      <w:r w:rsidRPr="00F92A58">
        <w:rPr>
          <w:rFonts w:cs="Times New Roman"/>
          <w:szCs w:val="24"/>
        </w:rPr>
        <w:t xml:space="preserve">. </w:t>
      </w:r>
    </w:p>
    <w:p w14:paraId="01142D26" w14:textId="77777777" w:rsidR="00693CE2" w:rsidRPr="00F92A58" w:rsidRDefault="00693CE2" w:rsidP="00693CE2">
      <w:pPr>
        <w:rPr>
          <w:rFonts w:cs="Times New Roman"/>
          <w:szCs w:val="24"/>
        </w:rPr>
      </w:pPr>
      <w:r w:rsidRPr="00F92A58">
        <w:rPr>
          <w:rFonts w:cs="Times New Roman"/>
          <w:szCs w:val="24"/>
        </w:rPr>
        <w:t xml:space="preserve">Strontium isotopic compositions have been widely used to identify the origin of fish </w:t>
      </w:r>
      <w:r w:rsidRPr="00F92A58">
        <w:rPr>
          <w:rFonts w:cs="Times New Roman"/>
          <w:szCs w:val="24"/>
        </w:rPr>
        <w:fldChar w:fldCharType="begin" w:fldLock="1"/>
      </w:r>
      <w:r w:rsidRPr="00F92A58">
        <w:rPr>
          <w:rFonts w:cs="Times New Roman"/>
          <w:szCs w:val="24"/>
        </w:rPr>
        <w:instrText>ADDIN CSL_CITATION {"citationItems":[{"id":"ITEM-1","itemData":{"DOI":"doi:10.1139/cjfas-57-11-2280","author":[{"dropping-particle":"","family":"Kennedy","given":"Brian P.","non-dropping-particle":"","parse-names":false,"suffix":""},{"dropping-particle":"","family":"Blum","given":"Joel D.","non-dropping-particle":"","parse-names":false,"suffix":""},{"dropping-particle":"","family":"Folt","given":"Carol L","non-dropping-particle":"","parse-names":false,"suffix":""},{"dropping-particle":"","family":"Nislow","given":"Keith H","non-dropping-particle":"","parse-names":false,"suffix":""}],"container-title":"Canadian Journal of Fisheries and Aquatic Sciences","id":"ITEM-1","issued":{"date-parts":[["2000"]]},"page":"2280-2293","title":"Using natural strontium isotopic signatures as fish markers: Methodology and application","type":"article-journal","volume":"57"},"uris":["http://www.mendeley.com/documents/?uuid=0f9401ad-c137-40c0-9daa-d3ad8c3c1e9f"]},{"id":"ITEM-2","itemData":{"DOI":"10.1016/j.fishres.2008.09.030","ISSN":"01657836","abstract":"Historically, Pacific salmon (Oncorhynchus spp.) returned to natal streams throughout much of the year and extant populations continue to display extensive variation in run time. The genetic and environmental mechanisms that regulate run time are not well-understood, and there are few objective criteria to determine an individual's run time. Here, in order to develop an independent marker of run time, the relationship between maternal run time and otolith core strontium (Sr/Ca and 87Sr/86Sr) of progeny was examined. Chinook salmon (Oncorhynchus tshawytscha) juveniles from three rivers with fall- and spring-run hatchery populations were used to: (1) test the hypotheses that otolith Sr/Cacore and 87Sr/86Srcore are greater in progeny of females from fall-runs, which return to natal rivers and spawn during fall, compared with spring-runs, which return to natal rivers in spring and spawn during fall; and (2) determine if otolith Sr/Cacore and 87Sr/86Srcore can accurately predict maternal run time. Progeny of fall-run Chinook salmon consistently displayed greater Sr/Cacore and 87Sr/86Srcore than those of spring-run Chinook salmon, with the exception of Sr/Cacore in one of the three rivers. Differences in core chemistry resulted in accurate determination of maternal run time for 87-100% of the juveniles examined. The use of Sr/Cacore, however, resulted in more accurate identification of spring-run progeny while the use of 87Sr/86Srcore resulted in more accurate identification of fall-run progeny. This methodology should be applicable to other anadromous species with variable run times although additional validation using wild runs is warranted. The ability to accurately determine individual run time will allow for independent examination of correlated life history traits that are related to individual and population growth rates. © 2008 Elsevier B.V. All rights reserved.","author":[{"dropping-particle":"","family":"Miller","given":"J. A.","non-dropping-particle":"","parse-names":false,"suffix":""},{"dropping-particle":"","family":"Kent","given":"A. J.R.","non-dropping-particle":"","parse-names":false,"suffix":""}],"container-title":"Fisheries Research","id":"ITEM-2","issue":"2-3","issued":{"date-parts":[["2009"]]},"page":"373-378","title":"The determination of maternal run time in juvenile Chinook salmon (Oncorhynchus tshawytscha) based on Sr/Ca and 87Sr/86Sr within otolith cores","type":"article-journal","volume":"95"},"uris":["http://www.mendeley.com/documents/?uuid=333070b8-0532-4eea-8eea-ffd485292645"]},{"id":"ITEM-3","itemData":{"DOI":"10.1139/cjfas-2018-0082","ISSN":"12057533","abstract":"Illegal fish introductions create some of the most challenging problems for resource managers because of their potential to harm existing recreational fisheries and their impact on species of conservation concern. Determining the origin of a suspected illegal fish introduction can aid managers in preventing the colonization and subsequent ecosystem impacts of introduced species. In this study, we used forensic geochemistry via fish otoliths to investigate an illegal walleye (Sander vitreus) introduction in Swan Lake, Montana, which provides critical habitat for threatened bull trout (Salvelinus confluentus) and native westslope cutthroat trout (Oncorhynchus clarkii). Core to edge geochemical profiles of 87Sr/86Sr and Sr/Ca ratios in the walleye otoliths revealed that these fish had been introduced to Swan Lake within the past growing season, and their geochemical signature matched that of walleye sampled from Lake Helena, Montana, located 309 road kilometres away. This research highlights application of a tool fisheries managers can use to identify the natal waterbody source of illegally introduced fish.","author":[{"dropping-particle":"","family":"Bourret","given":"Samuel L.","non-dropping-particle":"","parse-names":false,"suffix":""},{"dropping-particle":"","family":"Clancy","given":"Niall G.","non-dropping-particle":"","parse-names":false,"suffix":""}],"container-title":"Canadian Journal of Fisheries and Aquatic Sciences","id":"ITEM-3","issue":"11","issued":{"date-parts":[["2018"]]},"page":"1778-1783","title":"Using forensic geochemistry via fish otoliths to investigate an illegal fish introduction","type":"article-journal","volume":"75"},"uris":["http://www.mendeley.com/documents/?uuid=12521838-d936-4ff3-b961-3a8f092b22f1"]}],"mendeley":{"formattedCitation":"(Bourret and Clancy, 2018; Kennedy et al., 2000; Miller and Kent, 2009)","plainTextFormattedCitation":"(Bourret and Clancy, 2018; Kennedy et al., 2000; Miller and Kent, 2009)","previouslyFormattedCitation":"(Bourret and Clancy, 2018; Kennedy et al., 2000; Miller and Kent, 2009)"},"properties":{"noteIndex":0},"schema":"https://github.com/citation-style-language/schema/raw/master/csl-citation.json"}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(Bourret and Clancy, 2018; Kennedy et al., 2000; Miller and Kent, 2009)</w:t>
      </w:r>
      <w:r w:rsidRPr="00F92A58">
        <w:rPr>
          <w:rFonts w:cs="Times New Roman"/>
          <w:szCs w:val="24"/>
        </w:rPr>
        <w:fldChar w:fldCharType="end"/>
      </w:r>
      <w:r w:rsidRPr="00F92A58">
        <w:rPr>
          <w:rFonts w:cs="Times New Roman"/>
          <w:szCs w:val="24"/>
        </w:rPr>
        <w:t xml:space="preserve">. In this study, otolith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was the most discriminative geochemical marker to determine provenance. Although Sr/Ca and Ba/Ca have been used to identify the origin and migration patterns of fish </w:t>
      </w:r>
      <w:r w:rsidRPr="00F92A58">
        <w:rPr>
          <w:rFonts w:cs="Times New Roman"/>
          <w:szCs w:val="24"/>
        </w:rPr>
        <w:fldChar w:fldCharType="begin" w:fldLock="1"/>
      </w:r>
      <w:r w:rsidRPr="00F92A58">
        <w:rPr>
          <w:rFonts w:cs="Times New Roman"/>
          <w:szCs w:val="24"/>
        </w:rPr>
        <w:instrText>ADDIN CSL_CITATION {"citationItems":[{"id":"ITEM-1","itemData":{"DOI":"10.1016/j.fishres.2016.04.004","ISSN":"01657836","abstract":"Rebuilding fish populations that have undergone a major decline is a challenging task that can be made more complicated when estimates of abundance obtained from physical tags are biased or imprecise. Abundance estimates based on natural tags where each fish in the population is marked can help address these problems, but generally requires that the samples be obtained in a nonlethal manner. We evaluated the potential of using geochemical signatures in fin rays as a nonlethal method to determine the natal tributaries of endangered juvenile spring Chinook Salmon in the Wenatchee River, Washington. Archived samples of anal fin clips collected from yearling smolt in 2009, 2010 and 2011 were analyzed for Ba/Ca, Mn/Ba, Mg/Ca, Sr/Ca, Zn/Ca and 87Sr/86Sr by inductively coupled plasma mass spectrometry. Water samples collected from these same streams in 2012 were also quantified for geochemical composition. Fin ray and water Ba/Ca, Sr/Ca, and 87Sr/86Sr were highly correlated despite the samples having been collected in different years. Fin ray Ba/Ca, Mg/Ca, Sr/Ca, Zn/Ca and 87Sr/86Sr ratios differed significantly among the natal streams, but also among years within streams. A linear discriminant model that included Ba/Ca, Mg/Ca, Sr/Ca, and 87Sr/86Sr correctly classified 95% of the salmon to their natal stream. Our results suggest that fin ray geochemistry may provide an effective, nonlethal method to identify mixtures of Wenatchee River spring Chinook Salmon for recovery efforts when these involve the capture of juvenile fish to estimate population abundance.","author":[{"dropping-particle":"","family":"Linley","given":"Timothy J.","non-dropping-particle":"","parse-names":false,"suffix":""},{"dropping-particle":"","family":"Krogstad","given":"Eirik J.","non-dropping-particle":"","parse-names":false,"suffix":""},{"dropping-particle":"","family":"Nims","given":"Megan K.","non-dropping-particle":"","parse-names":false,"suffix":""},{"dropping-particle":"","family":"Langshaw","given":"Russell B.","non-dropping-particle":"","parse-names":false,"suffix":""}],"container-title":"Fisheries Research","id":"ITEM-1","issued":{"date-parts":[["2016"]]},"page":"234-246","publisher":"Elsevier B.V.","title":"Geochemical signatures in fin rays provide a nonlethal method to distinguish the natal rearing streams of endangered juvenile Chinook Salmon Oncorhynchus tshawytscha in the Wenatchee River, Washington","type":"article-journal","volume":"181"},"uris":["http://www.mendeley.com/documents/?uuid=7035eda7-a4bc-44c6-837f-73f94d6f73a4"]},{"id":"ITEM-2","itemData":{"author":[{"dropping-particle":"","family":"Chen","given":"Kuan-Yu","non-dropping-particle":"","parse-names":false,"suffix":""},{"dropping-particle":"","family":"Ludsin","given":"S. A.","non-dropping-particle":"","parse-names":false,"suffix":""},{"dropping-particle":"","family":"Corey","given":"Morgan","non-dropping-particle":"","parse-names":false,"suffix":""},{"dropping-particle":"","family":"Collingsworth","given":"Paris D.","non-dropping-particle":"","parse-names":false,"suffix":""},{"dropping-particle":"","family":"Nims","given":"Megan K.","non-dropping-particle":"","parse-names":false,"suffix":""},{"dropping-particle":"","family":"Olesik","given":"J. W.","non-dropping-particle":"","parse-names":false,"suffix":""},{"dropping-particle":"","family":"Tassell","given":"J. J.","non-dropping-particle":"van","parse-names":false,"suffix":""},{"dropping-particle":"","family":"Marschall","given":"E.","non-dropping-particle":"","parse-names":false,"suffix":""}],"container-title":"Canadian Journal of Fisheries and Aquatic Sciences","id":"ITEM-2","issue":"5","issued":{"date-parts":[["2015"]]},"page":"693-701","title":"Experimental and field evaluation of otolith strontium as a marker to discriminate between river-spawning populations of walleye in Lake Erie","type":"article-journal","volume":"74"},"uris":["http://www.mendeley.com/documents/?uuid=5f0dce92-adca-40f5-971a-dfc8e2a0a359"]},{"id":"ITEM-3","itemData":{"DOI":"10.1016/j.jembe.2011.05.017","ISSN":"00220981","abstract":"Analysis of naturally occurring variation in otolith elemental composition has become a common approach for retrospectively determining migratory history in diadromous fishes. Environmental factors, such as temperature, salinity, and ambient water concentration, can independently, or in an interactive manner, affect elemental incorporation rates. Furthermore, the relative importance of kinetic and metabolic (or \"vital\") effects on elemental incorporation remains unclear. In this study, a repeated measures design was used to: (1) quantify the effects of water temperature (9°C, 12°C, 15°C) and freshwater Ba:Ca levels (low, intermediate, and high) on elemental partitioning and otolith composition (Mg:Ca, Sr:Ca, Ba:Ca) in juvenile Chinook salmon (Oncorhynchus tshawytscha) along a salinity gradient (0, 5, 10, 14); and (2) estimate the lag time between physical exposure to chemically distinct water masses and changes in otolith composition. Additionally, relationships between elemental incorporation and somatic and otolith growth rates were evaluated across and within temperature treatments to identify potential rate effects. Otolith incorporation of Sr and Ba was positively related to water concentration whereas Mg incorporation was not. For Sr and Mg, there were significant interactions between temperature and salinity (p</w:instrText>
      </w:r>
      <w:r w:rsidRPr="00F92A58">
        <w:rPr>
          <w:rFonts w:ascii="Cambria Math" w:hAnsi="Cambria Math" w:cs="Cambria Math"/>
          <w:szCs w:val="24"/>
        </w:rPr>
        <w:instrText>⇐</w:instrText>
      </w:r>
      <w:r w:rsidRPr="00F92A58">
        <w:rPr>
          <w:rFonts w:cs="Times New Roman"/>
          <w:szCs w:val="24"/>
        </w:rPr>
        <w:instrText>0.01). For Ba, there were complex interactions among temperature, water Ba:Ca values, and salinity (p</w:instrText>
      </w:r>
      <w:r w:rsidRPr="00F92A58">
        <w:rPr>
          <w:rFonts w:ascii="Cambria Math" w:hAnsi="Cambria Math" w:cs="Cambria Math"/>
          <w:szCs w:val="24"/>
        </w:rPr>
        <w:instrText>⇐</w:instrText>
      </w:r>
      <w:r w:rsidRPr="00F92A58">
        <w:rPr>
          <w:rFonts w:cs="Times New Roman"/>
          <w:szCs w:val="24"/>
        </w:rPr>
        <w:instrText>0.01). In certain instances, interactive effects of temperature and salinity were large enough to confound interpretation of field data. Furthermore, there was evidence for negative effects of somatic growth rate on the incorporation of Ba that were consistent across temperatures (r=</w:instrText>
      </w:r>
      <w:r w:rsidRPr="00F92A58">
        <w:rPr>
          <w:rFonts w:ascii="Cambria Math" w:hAnsi="Cambria Math" w:cs="Cambria Math"/>
          <w:szCs w:val="24"/>
        </w:rPr>
        <w:instrText>⇐</w:instrText>
      </w:r>
      <w:r w:rsidRPr="00F92A58">
        <w:rPr>
          <w:rFonts w:cs="Times New Roman"/>
          <w:szCs w:val="24"/>
        </w:rPr>
        <w:instrText xml:space="preserve">0.32 to </w:instrText>
      </w:r>
      <w:r w:rsidRPr="00F92A58">
        <w:rPr>
          <w:rFonts w:ascii="Cambria Math" w:hAnsi="Cambria Math" w:cs="Cambria Math"/>
          <w:szCs w:val="24"/>
        </w:rPr>
        <w:instrText>⇐</w:instrText>
      </w:r>
      <w:r w:rsidRPr="00F92A58">
        <w:rPr>
          <w:rFonts w:cs="Times New Roman"/>
          <w:szCs w:val="24"/>
        </w:rPr>
        <w:instrText>0.72). Observations were consistently contrary to expectations based on models of elemental incorporation for abiotic aragonite, highlighting the importance of vital effects and indicating that species-specific models of incorporation may be necessary. Changes in otolith composition were detected within 2-3. d of a change in water composition but otolith composition did not stabilize for 12-14. d, indicating that habitat transitions should be discernable in a short period of time but the otolith may not reflect ambient water levels for up to 2. weeks. These observations underscore the need to evaluate the effects of abiotic and biotic factors on otolith elemental incorporation in settings that mimic natural conditions to accurately interpret field dat…","author":[{"dropping-particle":"","family":"Miller","given":"J. A.","non-dropping-particle":"","parse-names":false,"suffix":""}],"container-title":"Journal of Experimental Marine Biology and Ecology","id":"ITEM-3","issue":"1-2","issued":{"date-parts":[["2011"]]},"page":"42-52","publisher":"Elsevier B.V.","title":"Effects of water temperature and barium concentration on otolith composition along a salinity gradient: Implications for migratory reconstructions","type":"article-journal","volume":"405"},"uris":["http://www.mendeley.com/documents/?uuid=39bf733b-7bb3-4535-b4e7-bcb215b3c8f0"]}],"mendeley":{"formattedCitation":"(Chen et al., 2015; Linley et al., 2016; Miller, 2011)","plainTextFormattedCitation":"(Chen et al., 2015; Linley et al., 2016; Miller, 2011)","previouslyFormattedCitation":"(Chen et al., 2015; Linley et al., 2016; Miller, 2011)"},"properties":{"noteIndex":0},"schema":"https://github.com/citation-style-language/schema/raw/master/csl-citation.json"}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(Chen et al., 2015; Linley et al., 2016; Miller, 2011)</w:t>
      </w:r>
      <w:r w:rsidRPr="00F92A58">
        <w:rPr>
          <w:rFonts w:cs="Times New Roman"/>
          <w:szCs w:val="24"/>
        </w:rPr>
        <w:fldChar w:fldCharType="end"/>
      </w:r>
      <w:r w:rsidRPr="00F92A58">
        <w:rPr>
          <w:rFonts w:cs="Times New Roman"/>
          <w:szCs w:val="24"/>
        </w:rPr>
        <w:t xml:space="preserve">, in this study Sr/Ca and Ba/Ca concentrations overlapped between PWS and Northern AK study locations. However, due to the wide range in Ba/Ca water concentrations, there is potential for this marker to be used for future applications to fisheries geochemistry studies in the Arctic. Although there were differences in strontium isotopic composition and elemental ratios between different rivers in Northern AK, small sample sizes in this study prevented statistical analyses to determine discriminative differences. The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of water in this study was consistent with data previously reported for Northern AK by Brennan et al., 2014. There is a distinct trend in geochemical markers north of the Alaska Range (Fig. 2) which allows </w:t>
      </w:r>
      <w:r>
        <w:rPr>
          <w:rFonts w:cs="Times New Roman"/>
          <w:szCs w:val="24"/>
        </w:rPr>
        <w:t>for the conclusion</w:t>
      </w:r>
      <w:r w:rsidRPr="00F92A58">
        <w:rPr>
          <w:rFonts w:cs="Times New Roman"/>
          <w:szCs w:val="24"/>
        </w:rPr>
        <w:t xml:space="preserve"> that adult salmon captured on the North Slope with otolith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above the global marine value (0.70918) are </w:t>
      </w:r>
      <w:r>
        <w:rPr>
          <w:rFonts w:cs="Times New Roman"/>
          <w:szCs w:val="24"/>
        </w:rPr>
        <w:t xml:space="preserve">likely </w:t>
      </w:r>
      <w:r w:rsidRPr="00F92A58">
        <w:rPr>
          <w:rFonts w:cs="Times New Roman"/>
          <w:szCs w:val="24"/>
        </w:rPr>
        <w:t xml:space="preserve">not originating from southern AK populations. </w:t>
      </w:r>
    </w:p>
    <w:p w14:paraId="7E14AD6B" w14:textId="77777777" w:rsidR="00693CE2" w:rsidRPr="00F92A58" w:rsidRDefault="00693CE2" w:rsidP="00693CE2">
      <w:pPr>
        <w:rPr>
          <w:rFonts w:cs="Times New Roman"/>
          <w:szCs w:val="24"/>
        </w:rPr>
      </w:pPr>
      <w:r w:rsidRPr="00F92A58">
        <w:rPr>
          <w:rFonts w:cs="Times New Roman"/>
          <w:szCs w:val="24"/>
        </w:rPr>
        <w:t xml:space="preserve">This study used the reference population of PWS fish to demonstrate that otolith chemistry can successfully identify freshwater residency in pink salmon. However, no individuals from PWS had an otolith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signature that matched water from the region (0.707224). As otolith and water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typically exhibit a 1:1 relationship </w:t>
      </w:r>
      <w:r w:rsidRPr="00F92A58">
        <w:rPr>
          <w:rFonts w:cs="Times New Roman"/>
          <w:szCs w:val="24"/>
        </w:rPr>
        <w:fldChar w:fldCharType="begin" w:fldLock="1"/>
      </w:r>
      <w:r w:rsidRPr="00F92A58">
        <w:rPr>
          <w:rFonts w:cs="Times New Roman"/>
          <w:szCs w:val="24"/>
        </w:rPr>
        <w:instrText>ADDIN CSL_CITATION {"citationItems":[{"id":"ITEM-1","itemData":{"DOI":"doi:10.1139/cjfas-57-11-2280","author":[{"dropping-particle":"","family":"Kennedy","given":"Brian P.","non-dropping-particle":"","parse-names":false,"suffix":""},{"dropping-particle":"","family":"Blum","given":"Joel D.","non-dropping-particle":"","parse-names":false,"suffix":""},{"dropping-particle":"","family":"Folt","given":"Carol L","non-dropping-particle":"","parse-names":false,"suffix":""},{"dropping-particle":"","family":"Nislow","given":"Keith H","non-dropping-particle":"","parse-names":false,"suffix":""}],"container-title":"Canadian Journal of Fisheries and Aquatic Sciences","id":"ITEM-1","issued":{"date-parts":[["2000"]]},"page":"2280-2293","title":"Using natural strontium isotopic signatures as fish markers: Methodology and application","type":"article-journal","volume":"57"},"uris":["http://www.mendeley.com/documents/?uuid=0f9401ad-c137-40c0-9daa-d3ad8c3c1e9f"]}],"mendeley":{"formattedCitation":"(Kennedy et al., 2000)","plainTextFormattedCitation":"(Kennedy et al., 2000)","previouslyFormattedCitation":"(Kennedy et al., 2000)"},"properties":{"noteIndex":0},"schema":"https://github.com/citation-style-language/schema/raw/master/csl-citation.json"}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(Kennedy et al., 2000)</w:t>
      </w:r>
      <w:r w:rsidRPr="00F92A58">
        <w:rPr>
          <w:rFonts w:cs="Times New Roman"/>
          <w:szCs w:val="24"/>
        </w:rPr>
        <w:fldChar w:fldCharType="end"/>
      </w:r>
      <w:r w:rsidRPr="00F92A58">
        <w:rPr>
          <w:rFonts w:cs="Times New Roman"/>
          <w:szCs w:val="24"/>
        </w:rPr>
        <w:t xml:space="preserve">, </w:t>
      </w:r>
      <w:r>
        <w:rPr>
          <w:rFonts w:cs="Times New Roman"/>
          <w:szCs w:val="24"/>
        </w:rPr>
        <w:t>I</w:t>
      </w:r>
      <w:r w:rsidRPr="00F92A58">
        <w:rPr>
          <w:rFonts w:cs="Times New Roman"/>
          <w:szCs w:val="24"/>
        </w:rPr>
        <w:t xml:space="preserve"> hypothesize that this indicates fish did not have time to equilibrate the freshwater signature of their natal habitat before moving to the marine environment. Therefore, although the freshwater portion of the otolith could be identified in this study, this data </w:t>
      </w:r>
      <w:r>
        <w:rPr>
          <w:rFonts w:cs="Times New Roman"/>
          <w:szCs w:val="24"/>
        </w:rPr>
        <w:t xml:space="preserve">could not be used </w:t>
      </w:r>
      <w:r w:rsidRPr="00F92A58">
        <w:rPr>
          <w:rFonts w:cs="Times New Roman"/>
          <w:szCs w:val="24"/>
        </w:rPr>
        <w:t xml:space="preserve">to assign a discriminative origin for these fish. Previous research has demonstrated that it takes approximately 3-4 weeks for otolith chemistry to reach equilibrium with the water </w:t>
      </w:r>
      <w:r w:rsidRPr="00F92A58">
        <w:rPr>
          <w:rFonts w:cs="Times New Roman"/>
          <w:szCs w:val="24"/>
        </w:rPr>
        <w:fldChar w:fldCharType="begin" w:fldLock="1"/>
      </w:r>
      <w:r w:rsidRPr="00F92A58">
        <w:rPr>
          <w:rFonts w:cs="Times New Roman"/>
          <w:szCs w:val="24"/>
        </w:rPr>
        <w:instrText>ADDIN CSL_CITATION {"citationItems":[{"id":"ITEM-1","itemData":{"DOI":"10.3354/ab00511","ISSN":"18647782","abstract":"Otolith chemistry is widely used to address key questions relating to fish ecology and fisheries management; however, there is limited research on the relative contributions of water and diet to elements within otoliths. This study explicitly tested the proportional contributions of water and diet in 3. Australian freshwater fish-silver perch, golden perch and Murray cod-in a controlled laboratory experiment. We independently 'spiked' both tank water and diet with enriched stable isotopes of strontium (86Sr) and barium (137Ba), key elements used in otolith chemistry. Hatchery-sourced fingerlings were used in the experiment and were independently exposed to a control, water-spiked or diet-spiked treatment for a period of 31 to 39 d. Otolith material laid down during the experiment was subsequently analysed for relevant isotopes using laser ablation inductively coupled plasma-mass spectrometry (LA ICP-MS), and water and diet samples were analysed using solution-based ICP-MS. An isotope mixing model was used to determine the relative contributions of water and diet to Sr and Ba otolith chemistry. For all species, water was the dominant source of elements in the otoliths, contributing between 64 and 71% for Sr and 88 and 92% for Ba. Diet contributed to a far lesser degree, with contributions ranging from 4 to 6% for Sr and 10 to 26% for Ba. The results from this study improve interpretations of otolith chemistry data in freshwater fish, thereby allowing more accurate reconstructions of the environmental and movement histories of wild populations. © Inter-Research 2013.","author":[{"dropping-particle":"","family":"Doubleday","given":"Zoë A.","non-dropping-particle":"","parse-names":false,"suffix":""},{"dropping-particle":"","family":"Izzo","given":"Christopher","non-dropping-particle":"","parse-names":false,"suffix":""},{"dropping-particle":"","family":"Woodcock","given":"Skye H.","non-dropping-particle":"","parse-names":false,"suffix":""},{"dropping-particle":"","family":"Gillanders","given":"Bronwyn M.","non-dropping-particle":"","parse-names":false,"suffix":""}],"container-title":"Aquatic Biology","id":"ITEM-1","issue":"3","issued":{"date-parts":[["2013"]]},"page":"271-280","title":"Relative contribution of water and diet to otolith chemistry in freshwater fish","type":"article-journal","volume":"18"},"uris":["http://www.mendeley.com/documents/?uuid=f4eccd8d-9a71-430d-b196-7c392f7f6a1c"]}],"mendeley":{"formattedCitation":"(Doubleday et al., 2013)","plainTextFormattedCitation":"(Doubleday et al., 2013)","previouslyFormattedCitation":"(Doubleday et al., 2013)"},"properties":{"noteIndex":0},"schema":"https://github.com/citation-style-language/schema/raw/master/csl-citation.json"}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(Doubleday et al., 2013)</w:t>
      </w:r>
      <w:r w:rsidRPr="00F92A58">
        <w:rPr>
          <w:rFonts w:cs="Times New Roman"/>
          <w:szCs w:val="24"/>
        </w:rPr>
        <w:fldChar w:fldCharType="end"/>
      </w:r>
      <w:r w:rsidRPr="00F92A58">
        <w:rPr>
          <w:rFonts w:cs="Times New Roman"/>
          <w:szCs w:val="24"/>
        </w:rPr>
        <w:t xml:space="preserve">, although changes can be seen in as little as 2-3 days </w:t>
      </w:r>
      <w:r w:rsidRPr="00F92A58">
        <w:rPr>
          <w:rFonts w:cs="Times New Roman"/>
          <w:szCs w:val="24"/>
        </w:rPr>
        <w:fldChar w:fldCharType="begin" w:fldLock="1"/>
      </w:r>
      <w:r w:rsidRPr="00F92A58">
        <w:rPr>
          <w:rFonts w:cs="Times New Roman"/>
          <w:szCs w:val="24"/>
        </w:rPr>
        <w:instrText>ADDIN CSL_CITATION {"citationItems":[{"id":"ITEM-1","itemData":{"author":[{"dropping-particle":"","family":"Chen","given":"Kuan-Yu","non-dropping-particle":"","parse-names":false,"suffix":""},{"dropping-particle":"","family":"Ludsin","given":"S. A.","non-dropping-particle":"","parse-names":false,"suffix":""},{"dropping-particle":"","family":"Corey","given":"Morgan","non-dropping-particle":"","parse-names":false,"suffix":""},{"dropping-particle":"","family":"Collingsworth","given":"Paris D.","non-dropping-particle":"","parse-names":false,"suffix":""},{"dropping-particle":"","family":"Nims","given":"Megan K.","non-dropping-particle":"","parse-names":false,"suffix":""},{"dropping-particle":"","family":"Olesik","given":"J. W.","non-dropping-particle":"","parse-names":false,"suffix":""},{"dropping-particle":"","family":"Tassell","given":"J. J.","non-dropping-particle":"van","parse-names":false,"suffix":""},{"dropping-particle":"","family":"Marschall","given":"E.","non-dropping-particle":"","parse-names":false,"suffix":""}],"container-title":"Canadian Journal of Fisheries and Aquatic Sciences","id":"ITEM-1","issue":"5","issued":{"date-parts":[["2015"]]},"page":"693-701","title":"Experimental and field evaluation of otolith strontium as a marker to discriminate between river-spawning populations of walleye in Lake Erie","type":"article-journal","volume":"74"},"uris":["http://www.mendeley.com/documents/?uuid=5f0dce92-adca-40f5-971a-dfc8e2a0a359"]}],"mendeley":{"formattedCitation":"(Chen et al., 2015)","plainTextFormattedCitation":"(Chen et al., 2015)","previouslyFormattedCitation":"(Chen et al., 2015)"},"properties":{"noteIndex":0},"schema":"https://github.com/citation-style-language/schema/raw/master/csl-citation.json"}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(Chen et al., 2015)</w:t>
      </w:r>
      <w:r w:rsidRPr="00F92A58">
        <w:rPr>
          <w:rFonts w:cs="Times New Roman"/>
          <w:szCs w:val="24"/>
        </w:rPr>
        <w:fldChar w:fldCharType="end"/>
      </w:r>
      <w:r w:rsidRPr="00F92A58">
        <w:rPr>
          <w:rFonts w:cs="Times New Roman"/>
          <w:szCs w:val="24"/>
        </w:rPr>
        <w:t xml:space="preserve">. In Pacific salmon, the equilibration time for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during the transition from yolk to exogenous feeding can be over 30 days, with several factors such as population and the magnitude of difference of isotopic sources to the otolith, influencing the equilibration time </w:t>
      </w:r>
      <w:r w:rsidRPr="00F92A58">
        <w:rPr>
          <w:rFonts w:cs="Times New Roman"/>
          <w:szCs w:val="24"/>
        </w:rPr>
        <w:fldChar w:fldCharType="begin" w:fldLock="1"/>
      </w:r>
      <w:r w:rsidRPr="00F92A58">
        <w:rPr>
          <w:rFonts w:cs="Times New Roman"/>
          <w:szCs w:val="24"/>
        </w:rPr>
        <w:instrText>ADDIN CSL_CITATION {"citationItems":[{"id":"ITEM-1","itemData":{"author":[{"dropping-particle":"","family":"Janak","given":"J. M.","non-dropping-particle":"","parse-names":false,"suffix":""},{"dropping-particle":"","family":"Linley","given":"Timothy J.","non-dropping-particle":"","parse-names":false,"suffix":""},{"dropping-particle":"","family":"Harnish","given":"R.","non-dropping-particle":"","parse-names":false,"suffix":""},{"dropping-particle":"","family":"Shen","given":"Steve","non-dropping-particle":"","parse-names":false,"suffix":""}],"container-title":"Canadian Journal of Fisheries and Aquatic Sciences","id":"ITEM-1","issued":{"date-parts":[["2021"]]},"title":"Partitioning maternal and exogenous diet contributions to otolith 87Sr/86Sr in Kokanee Salmon (Oncorhynchus nerka)","type":"article-journal"},"uris":["http://www.mendeley.com/documents/?uuid=1bdea615-e078-43b0-9b36-eb6050cc0195"]}],"mendeley":{"formattedCitation":"(Janak et al., 2021)","plainTextFormattedCitation":"(Janak et al., 2021)","previouslyFormattedCitation":"(Janak et al., 2021)"},"properties":{"noteIndex":0},"schema":"https://github.com/citation-style-language/schema/raw/master/csl-citation.json"}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(Janak et al., 2021)</w:t>
      </w:r>
      <w:r w:rsidRPr="00F92A58">
        <w:rPr>
          <w:rFonts w:cs="Times New Roman"/>
          <w:szCs w:val="24"/>
        </w:rPr>
        <w:fldChar w:fldCharType="end"/>
      </w:r>
      <w:r w:rsidRPr="00F92A58">
        <w:rPr>
          <w:rFonts w:cs="Times New Roman"/>
          <w:szCs w:val="24"/>
        </w:rPr>
        <w:t xml:space="preserve">. Although Sr isotopic ratios were the most discriminative marker in this study, the combination of geochemical markers could be especially useful in future studies because changes in otolith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and elemental ratios have been shown to equilibrate on slightly different timescales. For example, Hegg et al., (2019) found that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 xml:space="preserve">Sr equilibrated more gradually, while elemental ratios of manganese, barium, and strontium had more rapid equilibrations. While markers such as </w:t>
      </w:r>
      <w:r w:rsidRPr="00F92A58">
        <w:rPr>
          <w:rFonts w:cs="Times New Roman"/>
          <w:szCs w:val="24"/>
          <w:vertAlign w:val="superscript"/>
        </w:rPr>
        <w:t>87</w:t>
      </w:r>
      <w:r w:rsidRPr="00F92A58">
        <w:rPr>
          <w:rFonts w:cs="Times New Roman"/>
          <w:szCs w:val="24"/>
        </w:rPr>
        <w:t>Sr/</w:t>
      </w:r>
      <w:r w:rsidRPr="00F92A58">
        <w:rPr>
          <w:rFonts w:cs="Times New Roman"/>
          <w:szCs w:val="24"/>
          <w:vertAlign w:val="superscript"/>
        </w:rPr>
        <w:t>86</w:t>
      </w:r>
      <w:r w:rsidRPr="00F92A58">
        <w:rPr>
          <w:rFonts w:cs="Times New Roman"/>
          <w:szCs w:val="24"/>
        </w:rPr>
        <w:t>Sr and elemental ratios have a prolonged equilibration time, posing challenges in identifying the origin of pink salmon based on geochemical analysis, δ</w:t>
      </w:r>
      <w:r w:rsidRPr="00F92A58">
        <w:rPr>
          <w:rFonts w:cs="Times New Roman"/>
          <w:szCs w:val="24"/>
          <w:vertAlign w:val="superscript"/>
        </w:rPr>
        <w:t>18</w:t>
      </w:r>
      <w:r w:rsidRPr="00F92A58">
        <w:rPr>
          <w:rFonts w:cs="Times New Roman"/>
          <w:szCs w:val="24"/>
        </w:rPr>
        <w:t xml:space="preserve">O could prove valuable due to its relatively faster equilibration time, provided sufficient geochemical variation exists in the Arctic. </w:t>
      </w:r>
    </w:p>
    <w:p w14:paraId="7A4DDEED" w14:textId="77777777" w:rsidR="00693CE2" w:rsidRPr="00F92A58" w:rsidRDefault="00693CE2" w:rsidP="00693CE2">
      <w:pPr>
        <w:rPr>
          <w:rFonts w:cs="Times New Roman"/>
          <w:szCs w:val="24"/>
        </w:rPr>
      </w:pPr>
      <w:r w:rsidRPr="00F92A58">
        <w:rPr>
          <w:rFonts w:cs="Times New Roman"/>
          <w:szCs w:val="24"/>
        </w:rPr>
        <w:t xml:space="preserve">Another factor that can confound interpretation is the influence of maternal signatures in the otolith. Pacific salmon otoliths have been shown to have a significant influence from the signature of the mother in the core </w:t>
      </w:r>
      <w:r w:rsidRPr="00F92A58">
        <w:rPr>
          <w:rFonts w:cs="Times New Roman"/>
          <w:szCs w:val="24"/>
        </w:rPr>
        <w:fldChar w:fldCharType="begin" w:fldLock="1"/>
      </w:r>
      <w:r w:rsidRPr="00F92A58">
        <w:rPr>
          <w:rFonts w:cs="Times New Roman"/>
          <w:szCs w:val="24"/>
        </w:rPr>
        <w:instrText>ADDIN CSL_CITATION {"citationItems":[{"id":"ITEM-1","itemData":{"author":[{"dropping-particle":"","family":"Janak","given":"J. M.","non-dropping-particle":"","parse-names":false,"suffix":""},{"dropping-particle":"","family":"Linley","given":"Timothy J.","non-dropping-particle":"","parse-names":false,"suffix":""},{"dropping-particle":"","family":"Harnish","given":"R.","non-dropping-particle":"","parse-names":false,"suffix":""},{"dropping-particle":"","family":"Shen","given":"Steve","non-dropping-particle":"","parse-names":false,"suffix":""}],"container-title":"Canadian Journal of Fisheries and Aquatic Sciences","id":"ITEM-1","issued":{"date-parts":[["2021"]]},"title":"Partitioning maternal and exogenous diet contributions to otolith 87Sr/86Sr in Kokanee Salmon (Oncorhynchus nerka)","type":"article-journal"},"uris":["http://www.mendeley.com/documents/?uuid=1bdea615-e078-43b0-9b36-eb6050cc0195"]},{"id":"ITEM-2","itemData":{"DOI":"10.1139/cjfas-2017-0341","ISSN":"12057533","abstract":"Connecting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( 87 Sr/ 86 Sr) chemistry in otoliths from juvenile Chinook salmon (Oncorhynchus tshawytscha) correlate with the timing of hatch and emergence, respectively, indicating a chemical marker of these ontological stages. Additionally, analysis of maternal signatures show that maternally derived 87 Sr/ 86 Sr may be influenced by equilibration of the mother to fresh water, and in some cases the 87 Sr/ 86 Sr signatures of the eggs can shift substantially after being laid. These results provide guidance in separating maternal and juvenile signatures as researchers increasingly target early juvenile otolith chemistry. These results also caution against the use of 87 Sr/ 86 Sr alone as a marker of anadromy in populations with major inland migrations.","author":[{"dropping-particle":"","family":"Hegg","given":"Jens C.","non-dropping-particle":"","parse-names":false,"suffix":""},{"dropping-particle":"","family":"Kennedy","given":"Brian P.","non-dropping-particle":"","parse-names":false,"suffix":""},{"dropping-particle":"","family":"Chittaro","given":"Paul","non-dropping-particle":"","parse-names":false,"suffix":""}],"container-title":"Canadian Journal of Fisheries and Aquatic Sciences","id":"ITEM-2","issue":"1","issued":{"date-parts":[["2019"]]},"page":"81-94","title":"What did you say about my mother? The complexities of maternally derived chemical signatures in otoliths","type":"article-journal","volume":"76"},"uris":["http://www.mendeley.com/documents/?uuid=21265030-c64e-4229-a336-e45f7342e10d"]},{"id":"ITEM-3","itemData":{"DOI":"10.1016/j.fishres.2008.09.030","ISSN":"01657836","abstract":"Historically, Pacific salmon (Oncorhynchus spp.) returned to natal streams throughout much of the year and extant populations continue to display extensive variation in run time. The genetic and environmental mechanisms that regulate run time are not well-understood, and there are few objective criteria to determine an individual's run time. Here, in order to develop an independent marker of run time, the relationship between maternal run time and otolith core strontium (Sr/Ca and 87Sr/86Sr) of progeny was examined. Chinook salmon (Oncorhynchus tshawytscha) juveniles from three rivers with fall- and spring-run hatchery populations were used to: (1) test the hypotheses that otolith Sr/Cacore and 87Sr/86Srcore are greater in progeny of females from fall-runs, which return to natal rivers and spawn during fall, compared with spring-runs, which return to natal rivers in spring and spawn during fall; and (2) determine if otolith Sr/Cacore and 87Sr/86Srcore can accurately predict maternal run time. Progeny of fall-run Chinook salmon consistently displayed greater Sr/Cacore and 87Sr/86Srcore than those of spring-run Chinook salmon, with the exception of Sr/Cacore in one of the three rivers. Differences in core chemistry resulted in accurate determination of maternal run time for 87-100% of the juveniles examined. The use of Sr/Cacore, however, resulted in more accurate identification of spring-run progeny while the use of 87Sr/86Srcore resulted in more accurate identification of fall-run progeny. This methodology should be applicable to other anadromous species with variable run times although additional validation using wild runs is warranted. The ability to accurately determine individual run time will allow for independent examination of correlated life history traits that are related to individual and population growth rates. © 2008 Elsevier B.V. All rights reserved.","author":[{"dropping-particle":"","family":"Miller","given":"J. A.","non-dropping-particle":"","parse-names":false,"suffix":""},{"dropping-particle":"","family":"Kent","given":"A. J.R.","non-dropping-particle":"","parse-names":false,"suffix":""}],"container-title":"Fisheries Research","id":"ITEM-3","issue":"2-3","issued":{"date-parts":[["2009"]]},"page":"373-378","title":"The determination of maternal run time in juvenile Chinook salmon (Oncorhynchus tshawytscha) based on Sr/Ca and 87Sr/86Sr within otolith cores","type":"article-journal","volume":"95"},"uris":["http://www.mendeley.com/documents/?uuid=333070b8-0532-4eea-8eea-ffd485292645"]}],"mendeley":{"formattedCitation":"(Hegg et al., 2019; Janak et al., 2021; Miller and Kent, 2009)","plainTextFormattedCitation":"(Hegg et al., 2019; Janak et al., 2021; Miller and Kent, 2009)","previouslyFormattedCitation":"(Hegg et al., 2019; Janak et al., 2021; Miller and Kent, 2009)"},"properties":{"noteIndex":0},"schema":"https://github.com/citation-style-language/schema/raw/master/csl-citation.json"}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(Hegg et al., 2019; Janak et al., 2021; Miller and Kent, 2009)</w:t>
      </w:r>
      <w:r w:rsidRPr="00F92A58">
        <w:rPr>
          <w:rFonts w:cs="Times New Roman"/>
          <w:szCs w:val="24"/>
        </w:rPr>
        <w:fldChar w:fldCharType="end"/>
      </w:r>
      <w:r w:rsidRPr="00F92A58">
        <w:rPr>
          <w:rFonts w:cs="Times New Roman"/>
          <w:szCs w:val="24"/>
        </w:rPr>
        <w:t xml:space="preserve">. Maternal influence on offspring otoliths occurs because the geochemical signature of the egg yolk will often be reflective of the maturation environment, which can be significantly different from the spawning environment in the case of Pacific salmon (Hegg et al., 2019; Quinn, 2005; Volk et al., 2000, Miller and Kent 2008). Given that otoliths begin to develop prior to hatch and exogenous feeding, the isotopic signature of the otolith will reflect a heavy influence of the maternal contribution to the yolk, with maternal contributions of greater than 90% in some salmonids </w:t>
      </w:r>
      <w:r w:rsidRPr="00F92A58">
        <w:rPr>
          <w:rFonts w:cs="Times New Roman"/>
          <w:szCs w:val="24"/>
        </w:rPr>
        <w:fldChar w:fldCharType="begin" w:fldLock="1"/>
      </w:r>
      <w:r w:rsidRPr="00F92A58">
        <w:rPr>
          <w:rFonts w:cs="Times New Roman"/>
          <w:szCs w:val="24"/>
        </w:rPr>
        <w:instrText>ADDIN CSL_CITATION {"citationItems":[{"id":"ITEM-1","itemData":{"author":[{"dropping-particle":"","family":"Janak","given":"J. M.","non-dropping-particle":"","parse-names":false,"suffix":""},{"dropping-particle":"","family":"Linley","given":"Timothy J.","non-dropping-particle":"","parse-names":false,"suffix":""},{"dropping-particle":"","family":"Harnish","given":"R.","non-dropping-particle":"","parse-names":false,"suffix":""},{"dropping-particle":"","family":"Shen","given":"Steve","non-dropping-particle":"","parse-names":false,"suffix":""}],"container-title":"Canadian Journal of Fisheries and Aquatic Sciences","id":"ITEM-1","issued":{"date-parts":[["2021"]]},"title":"Partitioning maternal and exogenous diet contributions to otolith 87Sr/86Sr in Kokanee Salmon (Oncorhynchus nerka)","type":"article-journal"},"uris":["http://www.mendeley.com/documents/?uuid=1bdea615-e078-43b0-9b36-eb6050cc0195"]},{"id":"ITEM-2","itemData":{"DOI":"10.1139/cjfas-2017-0341","ISSN":"12057533","abstract":"Connecting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( 87 Sr/ 86 Sr) chemistry in otoliths from juvenile Chinook salmon (Oncorhynchus tshawytscha) correlate with the timing of hatch and emergence, respectively, indicating a chemical marker of these ontological stages. Additionally, analysis of maternal signatures show that maternally derived 87 Sr/ 86 Sr may be influenced by equilibration of the mother to fresh water, and in some cases the 87 Sr/ 86 Sr signatures of the eggs can shift substantially after being laid. These results provide guidance in separating maternal and juvenile signatures as researchers increasingly target early juvenile otolith chemistry. These results also caution against the use of 87 Sr/ 86 Sr alone as a marker of anadromy in populations with major inland migrations.","author":[{"dropping-particle":"","family":"Hegg","given":"Jens C.","non-dropping-particle":"","parse-names":false,"suffix":""},{"dropping-particle":"","family":"Kennedy","given":"Brian P.","non-dropping-particle":"","parse-names":false,"suffix":""},{"dropping-particle":"","family":"Chittaro","given":"Paul","non-dropping-particle":"","parse-names":false,"suffix":""}],"container-title":"Canadian Journal of Fisheries and Aquatic Sciences","id":"ITEM-2","issue":"1","issued":{"date-parts":[["2019"]]},"page":"81-94","title":"What did you say about my mother? The complexities of maternally derived chemical signatures in otoliths","type":"article-journal","volume":"76"},"uris":["http://www.mendeley.com/documents/?uuid=21265030-c64e-4229-a336-e45f7342e10d"]}],"mendeley":{"formattedCitation":"(Hegg et al., 2019; Janak et al., 2021)","plainTextFormattedCitation":"(Hegg et al., 2019; Janak et al., 2021)","previouslyFormattedCitation":"(Hegg et al., 2019; Janak et al., 2021)"},"properties":{"noteIndex":0},"schema":"https://github.com/citation-style-language/schema/raw/master/csl-citation.json"}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(Hegg et al., 2019; Janak et al., 2021)</w:t>
      </w:r>
      <w:r w:rsidRPr="00F92A58">
        <w:rPr>
          <w:rFonts w:cs="Times New Roman"/>
          <w:szCs w:val="24"/>
        </w:rPr>
        <w:fldChar w:fldCharType="end"/>
      </w:r>
      <w:r w:rsidRPr="00F92A58">
        <w:rPr>
          <w:rFonts w:cs="Times New Roman"/>
          <w:szCs w:val="24"/>
        </w:rPr>
        <w:t xml:space="preserve">. Although the marine maternal signature in the otolith core is useful in definitively identifying the freshwater portion of the otolith, it can confound interpretation of the freshwater location where fish reared. </w:t>
      </w:r>
    </w:p>
    <w:p w14:paraId="186E159F" w14:textId="77777777" w:rsidR="00693CE2" w:rsidRPr="00F92A58" w:rsidRDefault="00693CE2" w:rsidP="00693CE2">
      <w:pPr>
        <w:rPr>
          <w:rFonts w:cs="Times New Roman"/>
          <w:szCs w:val="24"/>
        </w:rPr>
      </w:pPr>
      <w:r w:rsidRPr="00F92A58">
        <w:rPr>
          <w:rFonts w:cs="Times New Roman"/>
          <w:szCs w:val="24"/>
        </w:rPr>
        <w:t xml:space="preserve">Despite the fact that pink salmon have been reported in increasing abundance in recent years </w:t>
      </w:r>
      <w:r w:rsidRPr="00F92A58">
        <w:rPr>
          <w:rFonts w:cs="Times New Roman"/>
          <w:szCs w:val="24"/>
        </w:rPr>
        <w:fldChar w:fldCharType="begin" w:fldLock="1"/>
      </w:r>
      <w:r w:rsidRPr="00F92A58">
        <w:rPr>
          <w:rFonts w:cs="Times New Roman"/>
          <w:szCs w:val="24"/>
        </w:rPr>
        <w:instrText>ADDIN CSL_CITATION {"citationItems":[{"id":"ITEM-1","itemData":{"DOI":"10.1007/s00300-012-1241-0","ISSN":"07224060","abstract":"This research explores the distributions and community composition of pelagic species in the sub-Arctic and Arctic waters of the northern Bering and central and southern Chukchi seas during September 2007 by linking pelagic zooplankton and fish assemblages to water masses. Juvenile saffron cod (Eleginus gracilis), polar cod (Boreogadus saida), and shorthorn sculpin (Myoxocephalus scorpius) were most abundant in warm, low salinity Alaska Coastal Water (ACW) of the central Chukchi Sea, characterized by low chlorophyll, low nutrients, and small zooplankton taxa. Adult Pacific herring (Clupea pallasii) were more abundant in the less stratified Bering Strait waters and in the colder, saltier Bering Shelf Water of the northern Bering and southern Chukchi seas, characterized by high chlorophyll, high nutrients, and larger zooplankton taxa. Juvenile pink (Oncorhynchus gorbuscha) and chum (O. keta) salmon were most abundant in the less stratified ACW in the central Chukchi Sea and Bering Strait. Abundances of large zooplankton were dominated by copepods (Eucalanus bungii, Calanus glacialis/marshallae, Metridia pacifica) followed by euphausiids (juvenile Thysanoessa raschii and unidentified taxa), whereas small zooplankton were dominated by bivalve larvae and copepods (Centropages abdominalis, Oithona similis, Pseudocalanus sp.). Pelagic community composition was related to environmental factors, with highest correlations between bottom salinity and large zooplankton taxa, and latitude and fish species. These data were collected in a year with strong northward retreat of summer sea ice and therefore provide a baseline for assessing the effects of future climate warming on pelagic ecosystems in sub-Arctic and Arctic regions. © 2012 Springer-Verlag.","author":[{"dropping-particle":"","family":"Eisner","given":"Lisa","non-dropping-particle":"","parse-names":false,"suffix":""},{"dropping-particle":"","family":"Hillgruber","given":"Nicola","non-dropping-particle":"","parse-names":false,"suffix":""},{"dropping-particle":"","family":"Martinson","given":"Ellen","non-dropping-particle":"","parse-names":false,"suffix":""},{"dropping-particle":"","family":"Maselko","given":"Jacek","non-dropping-particle":"","parse-names":false,"suffix":""}],"container-title":"Polar Biology","id":"ITEM-1","issue":"1","issued":{"date-parts":[["2013"]]},"page":"87-113","title":"Pelagic fish and zooplankton species assemblages in relation to water mass characteristics in the northern Bering and southeast Chukchi seas","type":"article-journal","volume":"36"},"uris":["http://www.mendeley.com/documents/?uuid=3fd7827f-e78c-48ca-99df-a664ae77534e"]},{"id":"ITEM-2","itemData":{"DOI":"10.4027/ramecc.2013.07","abstract":"Pacific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Change","id":"ITEM-2","issue":"September 2015","issued":{"date-parts":[["2013"]]},"title":"Pacific Salmon in the Arctic: Harbingers of Change","type":"article-journal"},"uris":["http://www.mendeley.com/documents/?uuid=02b3a0c4-c889-4686-92c5-21e16ddda9b2"]},{"id":"ITEM-3","itemData":{"DOI":"10.14430/arctic68876","ISSN":"19231245","abstract":"One of the most pervasive signals of global climate change is altered patterns of distribution with trends towards poleward shifts of species. While habitat loss and destruction has severed connections between people and salmon in many locales, salmon fisheries in the high Arctic are just beginning to develop. To explore these emergent connections, we gathered local knowledge about Pacific salmon and emerging subsistence salmon fisheries in the Beaufort Sea region through ethnographic research in Utqiaġvik (formerly Barrow) and Nuiqsut, Alaska. Between 2010 and 2013, we interviewed 41 active fishermen and Elders who generally agreed that harvests of Pacific salmon species have been increasing in recent years, beginning in the 1990s and early 2000s. About 46% of active fishermen and Elders who discussed salmon abundance perceived an increasing trend over time. Another 43% characterized salmon abundance as cyclical or perceived no directional trend over time. The remaining fishermen (all from Nuiqsut) expressed their perception of decreasing salmon and fish abundance overall related to oil and gas development impacts to their local lands and waters. Given these mixed perceptions and harvests being an imperfect proxy for abundance, it remains unclear whether salmon populations are expanding in Arctic river systems. However, research participants have identified new stream systems not currently documented in the scientific literature where salmon are present and thought to be spawning. In both communities, we found that many fishermen and Elders often do not differentiate Pacific salmon species. Fishermen in both communities are developing new knowledge of salmon and increasing their use of salmon as a subsistence resource, yet uncertainties in the current data and local knowledge combine to generate equivocal evidence that salmon abundance is increasing. This lack of a clear increase in salmon abundance provides nuance to a simple story that warming has led to the increases of salmon in the Arctic. Despite the uncertainty regarding abundance, it is clear we are witnessing an emergence of new salmon fisheries in the high Arctic, perceived to be one among a suite of environmental and social changes currently being experienced in this region.","author":[{"dropping-particle":"","family":"Carothers","given":"Courtney","non-dropping-particle":"","parse-names":false,"suffix":""},{"dropping-particle":"","family":"Sformo","given":"Todd L.","non-dropping-particle":"","parse-names":false,"suffix":""},{"dropping-particle":"","family":"Cotton","given":"Shelley","non-dropping-particle":"","parse-names":false,"suffix":""},{"dropping-particle":"","family":"George","given":"John C.","non-dropping-particle":"","parse-names":false,"suffix":""},{"dropping-particle":"","family":"Westley","given":"Peter A.H.","non-dropping-particle":"","parse-names":false,"suffix":""}],"container-title":"Arctic","id":"ITEM-3","issue":"3","issued":{"date-parts":[["2019"]]},"page":"273-288","title":"Pacific salmon in the rapidly changing arctic: Exploring local knowledge and emerging fisheries in Utqiaġvik and Nuiqsut, Alaska","type":"article-journal","volume":"72"},"uris":["http://www.mendeley.com/documents/?uuid=ffb44305-3de9-4a94-85d0-3be63bb6796a"]},{"id":"ITEM-4","itemData":{"DOI":"10.23849/npafctr11/87.90","ISSN":"1029-5917","author":[{"dropping-particle":"","family":"Dunmall","given":"Karen M","non-dropping-particle":"","parse-names":false,"suffix":""},{"dropping-particle":"","family":"Mcnicholl","given":"Darcy G","non-dropping-particle":"","parse-names":false,"suffix":""},{"dropping-particle":"","family":"Reist","given":"James D","non-dropping-particle":"","parse-names":false,"suffix":""}],"container-title":"Technical Report","id":"ITEM-4","issue":"11","issued":{"date-parts":[["2018"]]},"page":"8-12","title":"Community-based Monitoring Demonstrates Increasing Occurrences and Abundances of Pacific Salmon in the Canadian Arctic from 2000 to 2017","type":"article-journal"},"uris":["http://www.mendeley.com/documents/?uuid=eb34b389-76e8-444f-bde4-3733a8f10624"]},{"id":"ITEM-5","itemData":{"DOI":"10.1139/cjfas-2021-0172","ISSN":"12057533","abstract":"Rapid climate change is altering Arctic ecosystems and significantly affecting the livelihoods and cultural traditions of Arctic Indigenous peoples. In the Inuvialuit Settlement Region (ISR), growing evidence suggests that climate change is altering marine environments. In this project we recorded and synthesized Inuvialuit knowledge of Pacific salmon. We used methods that are emergent in fisheries science to combine interview information with voluntary harvest data and better understand changes to salmon in the Arctic. We conducted 53 interviews with Inuvialuit fishers about the history of Pacific salmon harvest, how it has changed in recent decades, and concurrent changes to local environments and fish species. Our interviews show that historical, incidental salmon harvest in the ISR ranged from infrequent to common among western communities, but was rare or unprecedented among eastern communities. Participants in all six communities reported a recent increase in salmon harvest and attributed this shift to regional environmental change. Fishers were concerned that salmon would negatively affect their cultural traditions and preferred fish species. Given uncertainty about the effects of salmon on local fisheries, research on salmon in the Arctic, the likelihood of their establishment, and their potential to provide subsidies to Arctic freshwater ecosystems is vital.","author":[{"dropping-particle":"","family":"Chila","given":"Zander","non-dropping-particle":"","parse-names":false,"suffix":""},{"dropping-particle":"","family":"Dunmall","given":"Karen M.","non-dropping-particle":"","parse-names":false,"suffix":""},{"dropping-particle":"","family":"Proverbs","given":"Tracey A.","non-dropping-particle":"","parse-names":false,"suffix":""},{"dropping-particle":"","family":"Lantz","given":"Trevor C.","non-dropping-particle":"","parse-names":false,"suffix":""},{"dropping-particle":"","family":"Hunters","given":"Aklavik","non-dropping-particle":"","parse-names":false,"suffix":""},{"dropping-particle":"","family":"Hunters","given":"Inuvik","non-dropping-particle":"","parse-names":false,"suffix":""},{"dropping-particle":"","family":"Hunters","given":"Sachs Harbour","non-dropping-particle":"","parse-names":false,"suffix":""},{"dropping-particle":"","family":"Hunters","given":"Olokhaktomiut","non-dropping-particle":"","parse-names":false,"suffix":""},{"dropping-particle":"","family":"Hunters","given":"Paulatuk","non-dropping-particle":"","parse-names":false,"suffix":""}],"container-title":"Canadian Journal of Fisheries and Aquatic Sciences","id":"ITEM-5","issue":"7","issued":{"date-parts":[["2022"]]},"page":"1042-1055","title":"Inuvialuit knowledge of Pacific salmon range expansion in the western Canadian Arctic","type":"article-journal","volume":"79"},"uris":["http://www.mendeley.com/documents/?uuid=fe5c44bc-b369-4865-890d-b47f59bab48c"]}],"mendeley":{"formattedCitation":"(Carothers et al., 2019; Chila et al., 2022; Dunmall et al., 2018, 2013; Eisner et al., 2013)","plainTextFormattedCitation":"(Carothers et al., 2019; Chila et al., 2022; Dunmall et al., 2018, 2013; Eisner et al., 2013)","previouslyFormattedCitation":"(Carothers et al., 2019; Chila et al., 2022; Dunmall et al., 2018, 2013; Eisner et al., 2013)"},"properties":{"noteIndex":0},"schema":"https://github.com/citation-style-language/schema/raw/master/csl-citation.json"}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(Carothers et al., 2019; Chila et al., 2022; Dunmall et al., 2018, 2013; Eisner et al., 2013)</w:t>
      </w:r>
      <w:r w:rsidRPr="00F92A58">
        <w:rPr>
          <w:rFonts w:cs="Times New Roman"/>
          <w:szCs w:val="24"/>
        </w:rPr>
        <w:fldChar w:fldCharType="end"/>
      </w:r>
      <w:r w:rsidRPr="00F92A58">
        <w:rPr>
          <w:rFonts w:cs="Times New Roman"/>
          <w:szCs w:val="24"/>
        </w:rPr>
        <w:t xml:space="preserve">, the distribution and abundance of pink salmon in the Arctic is still not well understood. Although this study indicates that most of the pink salmon observed are </w:t>
      </w:r>
      <w:r>
        <w:rPr>
          <w:rFonts w:cs="Times New Roman"/>
          <w:szCs w:val="24"/>
        </w:rPr>
        <w:t xml:space="preserve">likely </w:t>
      </w:r>
      <w:r w:rsidRPr="00F92A58">
        <w:rPr>
          <w:rFonts w:cs="Times New Roman"/>
          <w:szCs w:val="24"/>
        </w:rPr>
        <w:t xml:space="preserve">not produced in Arctic watersheds, it also suggests that there </w:t>
      </w:r>
      <w:r>
        <w:rPr>
          <w:rFonts w:cs="Times New Roman"/>
          <w:szCs w:val="24"/>
        </w:rPr>
        <w:t xml:space="preserve">may be </w:t>
      </w:r>
      <w:r w:rsidRPr="00F92A58">
        <w:rPr>
          <w:rFonts w:cs="Times New Roman"/>
          <w:szCs w:val="24"/>
        </w:rPr>
        <w:t xml:space="preserve">potential established populations reproducing successfully in the Arctic. This provides further support to the growing body of evidence indicating that pink salmon have a high potential to invade the Arctic and take advantage of previously inaccessible habitat. Decreases in sea ice, coupled with increase temperatures have already led to an observed increase in primary productivity in the Arctic </w:t>
      </w:r>
      <w:r w:rsidRPr="00F92A58">
        <w:rPr>
          <w:rFonts w:cs="Times New Roman"/>
          <w:szCs w:val="24"/>
        </w:rPr>
        <w:fldChar w:fldCharType="begin" w:fldLock="1"/>
      </w:r>
      <w:r w:rsidRPr="00F92A58">
        <w:rPr>
          <w:rFonts w:cs="Times New Roman"/>
          <w:szCs w:val="24"/>
        </w:rPr>
        <w:instrText xml:space="preserve">ADDIN CSL_CITATION {"citationItems":[{"id":"ITEM-1","itemData":{"DOI":"10.1038/s41558-020-0905-y","ISSN":"17586798","abstract":"Changes in the Arctic atmosphere, cryosphere and Ocean are drastically altering the dynamics of phytoplankton, the base of marine ecosystems. This Review addresses four major complementary questions of ongoing Arctic Ocean changes and associated impacts on phytoplankton productivity, phenology and assemblage composition. We highlight trends in primary production over the last two decades while considering how multiple environmental drivers shape Arctic biogeography. Further, we consider changes to Arctic phenology by borealization and hidden under-ice blooms, and how the diversity of phytoplankton assemblages might evolve in a novel Arctic ‘biogeochemical landscape’. It is critical to understand these aspects of changing Arctic phytoplankton dynamics as they exert pressure on marine Arctic ecosystems in addition to direct effects from rapid environmental changes.","author":[{"dropping-particle":"","family":"Ardyna","given":"Mathieu","non-dropping-particle":"","parse-names":false,"suffix":""},{"dropping-particle":"","family":"Arrigo","given":"Kevin Robert","non-dropping-particle":"","parse-names":false,"suffix":""}],"container-title":"Nature Climate Change","id":"ITEM-1","issue":"10","issued":{"date-parts":[["2020"]]},"page":"892-903","publisher":"Springer US","title":"Phytoplankton dynamics in a changing Arctic Ocean","type":"article-journal","volume":"10"},"uris":["http://www.mendeley.com/documents/?uuid=0b55fb8b-3055-4a7e-a93d-fa438d5da548"]},{"id":"ITEM-2","itemData":{"DOI":"10.1088/1748-9326/ac2288","ISSN":"17489326","abstract":"Manifestations of climate change in the Arctic are numerous and include hydrological cycle intensification and permafrost thaw, both expected as a result of atmospheric and surface warming. Across the terrestrial Arctic dissolved organic carbon (DOC) entrained in arctic rivers may be providing a carbon subsidy to coastal food webs. Yet, data from field sampling is too often of limited duration to confidently ascertain impacts of climate change on freshwater and DOC flows to coastal waters. This study applies numerical modeling to investigate trends in freshwater and DOC exports from land to Elson Lagoon in Northwest Alaska over the period 1981-2020. While the modeling approach has limitations, the results point to significant increases in freshwater and DOC exports to the lagoon over the past four decades. The model simulation reveals significant increases in surface, subsurface (suprapermafrost), and total freshwater exports. Significant increases are also noted in surface and subsurface DOC production and export, influenced by warming soils and associated active-layer thickening. The largest changes in subsurface components are noted in September, which has experienced a </w:instrText>
      </w:r>
      <w:r w:rsidRPr="00F92A58">
        <w:rPr>
          <w:rFonts w:ascii="Cambria Math" w:hAnsi="Cambria Math" w:cs="Cambria Math"/>
          <w:szCs w:val="24"/>
        </w:rPr>
        <w:instrText>∼</w:instrText>
      </w:r>
      <w:r w:rsidRPr="00F92A58">
        <w:rPr>
          <w:rFonts w:cs="Times New Roman"/>
          <w:szCs w:val="24"/>
        </w:rPr>
        <w:instrText>50% increase in DOC export emanating from suprapermafrost flow. Direct coastal suprapermafrost freshwater and DOC exports in late summer more than doubled between the first and last five years of the simulation period, with a large anomaly in September 2019 representing a more than fourfold increase over September direct coastal export during the early 1980s. These trends highlight the need for dedicated measurement programs that will enable improved understanding of climate change impacts on coastal zone processes in this data sparse region of Northwest Alaska.","author":[{"dropping-particle":"","family":"Rawlins","given":"Michael A.","non-dropping-particle":"","parse-names":false,"suffix":""}],"container-title":"Environmental Research Letters","id":"ITEM-2","issue":"10","issued":{"date-parts":[["2021"]]},"title":"Increasing freshwater and dissolved organic carbon flows to Northwest Alaska's Elson lagoon","type":"article-journal","volume":"16"},"uris":["http://www.mendeley.com/documents/?uuid=4ae91892-0399-41c6-8572-3903ab122f39"]}],"mendeley":{"formattedCitation":"(Ardyna and Arrigo, 2020; Rawlins, 2021)","plainTextFormattedCitation":"(Ardyna and Arrigo, 2020; Rawlins, 2021)","previouslyFormattedCitation":"(Ardyna and Arrigo, 2020; Rawlins, 2021)"},"properties":{"noteIndex":0},"schema":"https://github.com/citation-style-language/schema/raw/master/csl-citation.json"}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(Ardyna and Arrigo, 2020; Rawlins, 2021)</w:t>
      </w:r>
      <w:r w:rsidRPr="00F92A58">
        <w:rPr>
          <w:rFonts w:cs="Times New Roman"/>
          <w:szCs w:val="24"/>
        </w:rPr>
        <w:fldChar w:fldCharType="end"/>
      </w:r>
      <w:r w:rsidRPr="00F92A58">
        <w:rPr>
          <w:rFonts w:cs="Times New Roman"/>
          <w:szCs w:val="24"/>
        </w:rPr>
        <w:t xml:space="preserve">. These changes in habitat can potentially result in higher survival of juvenile salmonids, leading to the establishment of self-sustaining Arctic populations of pink salmon </w:t>
      </w:r>
      <w:r w:rsidRPr="00F92A58">
        <w:rPr>
          <w:rFonts w:cs="Times New Roman"/>
          <w:szCs w:val="24"/>
        </w:rPr>
        <w:fldChar w:fldCharType="begin" w:fldLock="1"/>
      </w:r>
      <w:r w:rsidRPr="00F92A58">
        <w:rPr>
          <w:rFonts w:cs="Times New Roman"/>
          <w:szCs w:val="24"/>
        </w:rPr>
        <w:instrText>ADDIN CSL_CITATION {"citationItems":[{"id":"ITEM-1","itemData":{"ISBN":"1028-9127","abstract":"Loss of non-seasonal sea ice and a general warming trend in the Bering Sea has altered the composition, distribution, and abundance of marine organisms inhabiting the region. Juvenile pink (Oncorhynchus gorbuscha) and chum (O. keta) salmon were found in significant numbers throughout the Chukchi Sea and Bering Strait regions during early autumn 2007, reflecting significant utilization of Arctic marine habitat by Pacific salmon. Linear models of juvenile pink and chum salmon body size corrected for Day of Year were parameterized to estimate daily growth rates and habitat-specific differences in body size using 6 years of survey data. Model results revealed that juvenile pink salmon inhabiting the eastern Bering Sea grew at an average rate of 1.17 mm.day(-1) and juvenile chum salmon grew at a rate of 1.21 mm.day(-1). The U.S. BASIS survey area was expanded northward to include the Chukchi Sea during 2007, where larger juvenile pink and chum salmon were found in higher abundances relative to pink and chum inhabiting the eastern Bering Sea. Food habits analyses revealed that juvenile pink and chum salmon fed upon high energy prey in the Chukchi Sea, and that the majority of chum salmon encountered there were from either Alaskan or Russian stocks.","author":[{"dropping-particle":"","family":"Moss","given":"Jamal H","non-dropping-particle":"","parse-names":false,"suffix":""},{"dropping-particle":"","family":"Murphy","given":"James M","non-dropping-particle":"","parse-names":false,"suffix":""},{"dropping-particle":"V","family":"Farley  Jr.","given":"Edward","non-dropping-particle":"","parse-names":false,"suffix":""},{"dropping-particle":"","family":"Eisner","given":"Lisa B","non-dropping-particle":"","parse-names":false,"suffix":""},{"dropping-particle":"","family":"Andrews","given":"Alexander G","non-dropping-particle":"","parse-names":false,"suffix":""}],"container-title":"North Pacific Anadromous Fish Commission Bulletin","id":"ITEM-1","issue":"5","issued":{"date-parts":[["2009"]]},"page":"191-196","title":"Juvenile Pink and Chum Salmon Distribution, Diet, and Growth in the Northern Bering and Chukchi Seas","type":"article-journal","volume":"5"},"uris":["http://www.mendeley.com/documents/?uuid=009a7d4b-d0a3-4db8-b388-25e3f3a15612"]},{"id":"ITEM-2","itemData":{"DOI":"10.1139/cjfas-2022-0006","ISSN":"12057533","abstract":"The distributional extent of Pacific salmon(Oncorhynchus spp.) in the North American Arctic is unresolved. While adult Pacific salmon have a recurring presence across the Alaskan North Slope and into the Canadian Arctic, it is uncertain if these fish are part of established Arctic populations, vagrants from outside sources reproducing unsuccessfully, or both. Here we present the first confirmed record of a juvenile chum salmon (Oncorhynchus keta) captured in the nearshore marine ecosystem in the North American Arctic. This provides the first scientific evidence of successful spawning and early marine survival of Pacific salmon in the North American Arctic. It was caught near Kaktovik, Alaska, in August 2017 with a group of similarly sized age-0 Mackenzie River Arctic cisco (Coregonus autumnalis). Stable isotope and otolith microchemistry analyses are consistent with use of the nearshore estuarine corridor from the Mackenzie River west along the northern coast. This contributes critical information needed to identify, manage, and conserve biodiversity at the northern range edge and will help to clarify the status of Pacific salmon as potentially emerging fisheries develop in the North American Arctic due to climate warming.","author":[{"dropping-particle":"","family":"Dunmall","given":"Karen M.","non-dropping-particle":"","parse-names":false,"suffix":""},{"dropping-particle":"","family":"McNicholl","given":"Darcy G.","non-dropping-particle":"","parse-names":false,"suffix":""},{"dropping-particle":"","family":"Zimmerman","given":"Christian E.","non-dropping-particle":"","parse-names":false,"suffix":""},{"dropping-particle":"","family":"Gilk-Baumer","given":"Sara E.","non-dropping-particle":"","parse-names":false,"suffix":""},{"dropping-particle":"","family":"Burril","given":"Sean","non-dropping-particle":"","parse-names":false,"suffix":""},{"dropping-particle":"","family":"Biela","given":"Vanessa R.","non-dropping-particle":"von","parse-names":false,"suffix":""}],"container-title":"Canadian Journal of Fisheries and Aquatic Sciences","id":"ITEM-2","issue":"5","issued":{"date-parts":[["2022"]]},"page":"703-707","title":"First juvenile chum salmon confirms successful reproduction for Pacific salmon in the North American Arctic","type":"article-journal","volume":"79"},"uris":["http://www.mendeley.com/documents/?uuid=5720aa02-376d-4c52-baed-f99ef090a174"]},{"id":"ITEM-3","itemData":{"DOI":"10.1126/science.aay8380","ISSN":"10959203","PMID":"32647002","abstract":"Historically, sea ice loss in the Arctic Ocean has promoted increased phytoplankton primary production because of the greater open water area and a longer growing season. However, debate remains about whether primary production will continue to rise should sea ice decline further. Using an ocean color algorithm parameterized for the Arctic Ocean, we show that primary production increased by 57% between 1998 and 2018. Surprisingly, whereas increases were due to widespread sea ice loss during the first decade, the subsequent rise in primary production was driven primarily by increased phytoplankton biomass, which was likely sustained by an influx of new nutrients. This suggests a future Arctic Ocean that can support higher trophic-level production and additional carbon export.","author":[{"dropping-particle":"","family":"Lewis","given":"K. M.","non-dropping-particle":"","parse-names":false,"suffix":""},{"dropping-particle":"","family":"Dijken","given":"G. L.","non-dropping-particle":"Van","parse-names":false,"suffix":""},{"dropping-particle":"","family":"Arrigo","given":"K. R.","non-dropping-particle":"","parse-names":false,"suffix":""}],"container-title":"Science","id":"ITEM-3","issue":"6500","issued":{"date-parts":[["2020"]]},"page":"198-202","title":"Changes in phytoplankton concentration now drive increased Arctic Ocean primary production","type":"article-journal","volume":"369"},"uris":["http://www.mendeley.com/documents/?uuid=6800f460-c309-4102-96fa-696e1b37d884"]}],"mendeley":{"formattedCitation":"(Dunmall et al., 2022; Lewis et al., 2020; Moss et al., 2009)","plainTextFormattedCitation":"(Dunmall et al., 2022; Lewis et al., 2020; Moss et al., 2009)","previouslyFormattedCitation":"(Dunmall et al., 2022; Lewis et al., 2020; Moss et al., 2009)"},"properties":{"noteIndex":0},"schema":"https://github.com/citation-style-language/schema/raw/master/csl-citation.json"}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2022; Lewis et al., 2020; Moss et al., 2009)</w:t>
      </w:r>
      <w:r w:rsidRPr="00F92A58">
        <w:rPr>
          <w:rFonts w:cs="Times New Roman"/>
          <w:szCs w:val="24"/>
        </w:rPr>
        <w:fldChar w:fldCharType="end"/>
      </w:r>
      <w:r w:rsidRPr="00F92A58">
        <w:rPr>
          <w:rFonts w:cs="Times New Roman"/>
          <w:szCs w:val="24"/>
        </w:rPr>
        <w:t xml:space="preserve">. </w:t>
      </w:r>
    </w:p>
    <w:p w14:paraId="5240416A" w14:textId="78C43380" w:rsidR="00693CE2" w:rsidRPr="00F92A58" w:rsidRDefault="00693CE2" w:rsidP="00693CE2">
      <w:pPr>
        <w:rPr>
          <w:rFonts w:cs="Times New Roman"/>
          <w:szCs w:val="24"/>
        </w:rPr>
      </w:pPr>
      <w:r w:rsidRPr="00F92A58">
        <w:rPr>
          <w:rFonts w:cs="Times New Roman"/>
          <w:szCs w:val="24"/>
        </w:rPr>
        <w:t xml:space="preserve">Developing tools to better understand the use of Arctic habitat by pink salmon is critical for developing mitigation and management measures for a dynamic region. With continued climate warming, there will be increased opportunities for pink salmon in the Arctic </w:t>
      </w:r>
      <w:r w:rsidRPr="00F92A58">
        <w:rPr>
          <w:rFonts w:cs="Times New Roman"/>
          <w:szCs w:val="24"/>
        </w:rPr>
        <w:fldChar w:fldCharType="begin" w:fldLock="1"/>
      </w:r>
      <w:r w:rsidRPr="00F92A58">
        <w:rPr>
          <w:rFonts w:cs="Times New Roman"/>
          <w:szCs w:val="24"/>
        </w:rPr>
        <w:instrText xml:space="preserve">ADDIN CSL_CITATION {"citationItems":[{"id":"ITEM-1","itemData":{"DOI":"10.4027/ramecc.2013.07","abstract":"Pacific salmon appear to be expanding their range into Arctic ecosys-tems and may be acting as effective sentinels of climate change. Salmon harvests voluntarily reported through the Pacific Salmon Collection Program (PSCP) suggest recent increases in both the abundance and distribution of Pacific salmon in the Arctic over the past decade. In the Canadian western Arctic, chum salmon have been harvested annu-ally since 1997 and more abundant harvests appear to have increased in frequency. Pink salmon harvest has increased from the sporadic catch of individual fish prior to 2003 to 41 pink salmon reported in 2004, 18 reported in 2008, three reported in 2011, and eight reported in 2012 (i.e., predominantly in even-numbered years). Recent reports","author":[{"dropping-particle":"","family":"Dunmall","given":"K.M.","non-dropping-particle":"","parse-names":false,"suffix":""},{"dropping-particle":"","family":"Reist","given":"J.D.","non-dropping-particle":"","parse-names":false,"suffix":""},{"dropping-particle":"","family":"Carmack","given":"E.C.","non-dropping-particle":"","parse-names":false,"suffix":""},{"dropping-particle":"","family":"Babaluk","given":"J.A.","non-dropping-particle":"","parse-names":false,"suffix":""},{"dropping-particle":"","family":"Heide-Jorgensen","given":"M.P.","non-dropping-particle":"","parse-names":false,"suffix":""},{"dropping-particle":"","family":"Docker","given":"M.F.","non-dropping-particle":"","parse-names":false,"suffix":""}],"container-title":"Responses of Arctic Marine Ecosystems to Climate Change","id":"ITEM-1","issue":"September 2015","issued":{"date-parts":[["2013"]]},"title":"Pacific Salmon in the Arctic: Harbingers of Change","type":"article-journal"},"uris":["http://www.mendeley.com/documents/?uuid=02b3a0c4-c889-4686-92c5-21e16ddda9b2"]},{"id":"ITEM-2","itemData":{"DOI":"10.1016/j.dsr2.2020.104830","ISSN":"09670645","abstract":"Life-history and life-cycle models of Pink salmon (Oncorhynchus gorbuscha) are developed to provide insight into production dynamics of northern Bering Sea Pink salmon. Arctic ecosystems, including freshwater and marine ecosystems in the northern Bering Sea, are warming at a rapid rate. Due to their short, two-year life cycle, Pink salmon are well known to respond rapidly to ecosystem change and can provide unique insight into ecosystem impacts of warming Arctic conditions. Life-cycle models suggest a lack of density-dependence for adult Pink salmon spawners in the Yukon River and potential for some density-dependence for adult Pink salmon spawners in the Norton Sound region. Life-history models identify a positive and significant relationship between the abundance index for juvenile Pink salmon and average Nome air temperature during their freshwater residency (August to June). This relationship supports the notion that warming air temperatures in this region (as a proxy for river and stream temperatures) are contributing to improved freshwater survival or increased capacity of freshwater habitats to support Pink salmon production. Life-history models also identify the number of adult Pink salmon returning to Norton Sound and the Yukon River is significantly related to the juvenile abundance in the northern Bering Sea. This result indicates that much of the variability in survival for northern Bering Sea Pink salmon occurs during early life-history stages and that juvenile abundance is an informative leading indicator of Pink salmon runs to this region.","author":[{"dropping-particle":"V.","family":"Farley","given":"Edward","non-dropping-particle":"","parse-names":false,"suffix":""},{"dropping-particle":"","family":"Murphy","given":"James M.","non-dropping-particle":"","parse-names":false,"suffix":""},{"dropping-particle":"","family":"Cieciel","given":"Kris","non-dropping-particle":"","parse-names":false,"suffix":""},{"dropping-particle":"","family":"Yasumiishi","given":"Ellen M.","non-dropping-particle":"","parse-names":false,"suffix":""},{"dropping-particle":"","family":"Dunmall","given":"Karen","non-dropping-particle":"","parse-names":false,"suffix":""},{"dropping-particle":"","family":"Sformo","given":"Todd","non-dropping-particle":"","parse-names":false,"suffix":""},{"dropping-particle":"","family":"Rand","given":"Pete","non-dropping-particle":"","parse-names":false,"suffix":""}],"container-title":"Deep-Sea Research Part II: Topical Studies in Oceanography","id":"ITEM-2","issue":"August 2019","issued":{"date-parts":[["2020"]]},"page":"104830","publisher":"Elsevier Ltd","title":"Response of Pink salmon to climate warming in the northern Bering Sea","type":"article-journal","volume":"177"},"uris":["http://www.mendeley.com/documents/?uuid=a0a4bc6d-d0e2-4a43-8d04-2d7092a51f08"]},{"id":"ITEM-3","itemData":{"DOI":"10.1139/cjfas-2016-0051","ISSN":"12057533","abstract":"Distributional shifts of biota to higher latitudes and elevations are presumably influenced by species-specific physiological tolerances related to warming temperatures. However, it is establishment rather than dispersal that may be limiting colonizations in these cold frontier areas. In freshwater ecosystems, perennial groundwater springs provide critical winter thermal refugia in these extreme environments. By reconciling the thermal characteristics of these refugia with theminimumthermal tolerances of life stages critical for establishment, we develop a strategy to focus broad projections of northward and upward range shifts to the specific habitats that are likely for establishments. We evaluate this strategy using chum salmon (Oncorhynchus keta) and pink salmon (Oncorhynchus gorbuscha) that seem poised to colonize Arctic watersheds. Stream habitats with aminimum temperature of 4 °C during spawning and temperatures above 2 °C during egg incubation were most vulnerable to establishments bychumand pink salmon. This strategy will improve modelling forecasts of range shifts for cold freshwater habitats and focus proactive efforts to conserve both newly emerging fisheries and native species at northern and upper distributional extremes.","author":[{"dropping-particle":"","family":"Dunmall","given":"Karen M.","non-dropping-particle":"","parse-names":false,"suffix":""},{"dropping-particle":"","family":"Mochnacz","given":"Neil J.","non-dropping-particle":"","parse-names":false,"suffix":""},{"dropping-particle":"","family":"Zimmerman","given":"Christian E.","non-dropping-particle":"","parse-names":false,"suffix":""},{"dropping-particle":"","family":"Lean","given":"Charles","non-dropping-particle":"","parse-names":false,"suffix":""},{"dropping-particle":"","family":"Reist","given":"James D.","non-dropping-particle":"","parse-names":false,"suffix":""}],"container-title":"Canadian Journal of Fisheries and Aquatic Sciences","id":"ITEM-3","issue":"12","issued":{"date-parts":[["2016"]]},"page":"1750-1758","title":"Using thermal limits to assess establishment of fish dispersing to high-latitude and high-elevation watersheds","type":"article-journal","volume":"73"},"uris":["http://www.mendeley.com/documents/?uuid=adf02b4d-8d83-416c-bd05-8bfc7b20ce96"]},{"id":"ITEM-4","itemData":{"DOI":"10.1088/1748-9326/ac2288","ISSN":"17489326","abstract":"Manifestations of climate change in the Arctic are numerous and include hydrological cycle intensification and permafrost thaw, both expected as a result of atmospheric and surface warming. Across the terrestrial Arctic dissolved organic carbon (DOC) entrained in arctic rivers may be providing a carbon subsidy to coastal food webs. Yet, data from field sampling is too often of limited duration to confidently ascertain impacts of climate change on freshwater and DOC flows to coastal waters. This study applies numerical modeling to investigate trends in freshwater and DOC exports from land to Elson Lagoon in Northwest Alaska over the period 1981-2020. While the modeling approach has limitations, the results point to significant increases in freshwater and DOC exports to the lagoon over the past four decades. The model simulation reveals significant increases in surface, subsurface (suprapermafrost), and total freshwater exports. Significant increases are also noted in surface and subsurface DOC production and export, influenced by warming soils and associated active-layer thickening. The largest changes in subsurface components are noted in September, which has experienced a </w:instrText>
      </w:r>
      <w:r w:rsidRPr="00F92A58">
        <w:rPr>
          <w:rFonts w:ascii="Cambria Math" w:hAnsi="Cambria Math" w:cs="Cambria Math"/>
          <w:szCs w:val="24"/>
        </w:rPr>
        <w:instrText>∼</w:instrText>
      </w:r>
      <w:r w:rsidRPr="00F92A58">
        <w:rPr>
          <w:rFonts w:cs="Times New Roman"/>
          <w:szCs w:val="24"/>
        </w:rPr>
        <w:instrText>50% increase in DOC export emanating from suprapermafrost flow. Direct coastal suprapermafrost freshwater and DOC exports in late summer more than doubled between the first and last five years of the simulation period, with a large anomaly in September 2019 representing a more than fourfold increase over September direct coastal export during the early 1980s. These trends highlight the need for dedicated measurement programs that will enable improved understanding of climate change impacts on coastal zone processes in this data sparse region of Northwest Alaska.","author":[{"dropping-particle":"","family":"Rawlins","given":"Michael A.","non-dropping-particle":"","parse-names":false,"suffix":""}],"container-title":"Environmental Research Letters","id":"ITEM-4","issue":"10","issued":{"date-parts":[["2021"]]},"title":"Increasing freshwater and dissolved organic carbon flows to Northwest Alaska's Elson lagoon","type":"article-journal","volume":"16"},"uris":["http://www.mendeley.com/documents/?uuid=4ae91892-0399-41c6-8572-3903ab122f39"]}],"mendeley":{"formattedCitation":"(Dunmall et al., 2016, 2013; Farley et al., 2020; Rawlins, 2021)","plainTextFormattedCitation":"(Dunmall et al., 2016, 2013; Farley et al., 2020; Rawlins, 2021)","previouslyFormattedCitation":"(Dunmall et al., 2016, 2013; Farley et al., 2020; Rawlins, 2021)"},"properties":{"noteIndex":0},"schema":"https://github.com/citation-style-language/schema/raw/master/csl-citation.json"}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(Dunmall et al., 2016, 2013; Farley et al., 2020; Rawlins, 2021)</w:t>
      </w:r>
      <w:r w:rsidRPr="00F92A58">
        <w:rPr>
          <w:rFonts w:cs="Times New Roman"/>
          <w:szCs w:val="24"/>
        </w:rPr>
        <w:fldChar w:fldCharType="end"/>
      </w:r>
      <w:r w:rsidRPr="00F92A58">
        <w:rPr>
          <w:rFonts w:cs="Times New Roman"/>
          <w:szCs w:val="24"/>
        </w:rPr>
        <w:t xml:space="preserve">. Pink salmon are known for their high population productivity </w:t>
      </w:r>
      <w:r w:rsidRPr="00F92A58">
        <w:rPr>
          <w:rFonts w:cs="Times New Roman"/>
          <w:szCs w:val="24"/>
        </w:rPr>
        <w:fldChar w:fldCharType="begin" w:fldLock="1"/>
      </w:r>
      <w:r w:rsidRPr="00F92A58">
        <w:rPr>
          <w:rFonts w:cs="Times New Roman"/>
          <w:szCs w:val="24"/>
        </w:rPr>
        <w:instrText>ADDIN CSL_CITATION {"citationItems":[{"id":"ITEM-1","itemData":{"ISBN":"0295984376","author":[{"dropping-particle":"","family":"Quinn","given":"Thomas P.","non-dropping-particle":"","parse-names":false,"suffix":""}],"id":"ITEM-1","issued":{"date-parts":[["2004"]]},"number-of-pages":"388","publisher":"Universtity of Washington Press","publisher-place":"Seattle","title":"The behavior and ecology of Pacific Salmon and Trout","type":"book"},"uris":["http://www.mendeley.com/documents/?uuid=dad38281-f285-4f6b-bfa1-9c35fe2aa887"]}],"mendeley":{"formattedCitation":"(Quinn, 2004)","plainTextFormattedCitation":"(Quinn, 2004)","previouslyFormattedCitation":"(Quinn, 2004)"},"properties":{"noteIndex":0},"schema":"https://github.com/citation-style-language/schema/raw/master/csl-citation.json"}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(Quinn, 2004)</w:t>
      </w:r>
      <w:r w:rsidRPr="00F92A58">
        <w:rPr>
          <w:rFonts w:cs="Times New Roman"/>
          <w:szCs w:val="24"/>
        </w:rPr>
        <w:fldChar w:fldCharType="end"/>
      </w:r>
      <w:r w:rsidRPr="00F92A58">
        <w:rPr>
          <w:rFonts w:cs="Times New Roman"/>
          <w:szCs w:val="24"/>
        </w:rPr>
        <w:t xml:space="preserve">, meaning that if they were to establish successful spawning populations in the Arctic, it could have significant impacts on native subsistence fish species </w:t>
      </w:r>
      <w:r w:rsidRPr="00F92A58">
        <w:rPr>
          <w:rFonts w:cs="Times New Roman"/>
          <w:szCs w:val="24"/>
        </w:rPr>
        <w:fldChar w:fldCharType="begin" w:fldLock="1"/>
      </w:r>
      <w:r w:rsidRPr="00F92A58">
        <w:rPr>
          <w:rFonts w:cs="Times New Roman"/>
          <w:szCs w:val="24"/>
        </w:rPr>
        <w:instrText>ADDIN CSL_CITATION {"citationItems":[{"id":"ITEM-1","itemData":{"author":[{"dropping-particle":"","family":"Carothers","given":"C.","non-dropping-particle":"","parse-names":false,"suffix":""},{"dropping-particle":"","family":"Seitz","given":"A.","non-dropping-particle":"","parse-names":false,"suffix":""},{"dropping-particle":"","family":"Sutton","given":"T.","non-dropping-particle":"","parse-names":false,"suffix":""}],"container-title":"Arctic Answers","id":"ITEM-1","issued":{"date-parts":[["2018"]]},"title":"How is climate change affecting subsistence (or traditional) fisheries in the high Arctic?","type":"article-journal","volume":"AA-015"},"uris":["http://www.mendeley.com/documents/?uuid=3bbe01e8-e2e2-41fc-8d31-44f271736eb3"]},{"id":"ITEM-2","itemData":{"DOI":"10.1111/gcb.15196","ISSN":"13652486","PMID":"32479687","abstract":"Species are redistributing globally in response to climate warming, impacting ecosystem functions and services. In the Barents Sea, poleward expansion of boreal species and a decreased abundance of Arctic species are causing a rapid borealization of the Arctic communities. This borealization might have profound consequences on the Arctic food web by creating novel feeding interactions between previously non co-occurring species. An early identification of new feeding links is crucial to predict their ecological impact. However, detection by traditional approaches, including stomach content and isotope analyses, although fundamental, cannot cope with the speed of change observed in the region, nor with the urgency of understanding the consequences of species redistribution for the marine ecosystem. In this study, we used an extensive food web (metaweb) with nearly 2,500 documented feeding links between 239 taxa coupled with a trait data set to predict novel feeding interactions and to quantify their potential impact on Arctic food web structure. We found that feeding interactions are largely determined by the body size of interacting species, although species foraging habitat and metabolic type are also important predictors. Further, we found that all boreal species will have at least one potential resource in the Arctic region should they redistribute therein. During 2014–2017, 11 boreal species were observed in the Arctic region of the Barents Sea. These incoming species, which are all generalists, change the structural properties of the Arctic food web by increasing connectance and decreasing modularity. In addition, these boreal species are predicted to initiate novel feeding interactions with the Arctic residents, which might amplify their impact on Arctic food web structure affecting ecosystem functioning and vulnerability. Under the ongoing species redistribution caused by environmental change, we propose merging a trait-based approach with ecological network analysis to efficiently predict the impacts of range-shifting species on food webs.","author":[{"dropping-particle":"","family":"Pecuchet","given":"Laurene","non-dropping-particle":"","parse-names":false,"suffix":""},{"dropping-particle":"","family":"Blanchet","given":"Marie Anne","non-dropping-particle":"","parse-names":false,"suffix":""},{"dropping-particle":"","family":"Frainer","given":"André","non-dropping-particle":"","parse-names":false,"suffix":""},{"dropping-particle":"","family":"Husson","given":"Bérengère","non-dropping-particle":"","parse-names":false,"suffix":""},{"dropping-particle":"","family":"Jørgensen","given":"Lis L.","non-dropping-particle":"","parse-names":false,"suffix":""},{"dropping-particle":"","family":"Kortsch","given":"Susanne","non-dropping-particle":"","parse-names":false,"suffix":""},{"dropping-particle":"","family":"Primicerio","given":"Raul","non-dropping-particle":"","parse-names":false,"suffix":""}],"container-title":"Global Change Biology","id":"ITEM-2","issue":"9","issued":{"date-parts":[["2020"]]},"page":"4894-4906","title":"Novel feeding interactions amplify the impact of species redistribution on an Arctic food web","type":"article-journal","volume":"26"},"uris":["http://www.mendeley.com/documents/?uuid=011ae270-df19-4816-a255-fa4da7e12513"]}],"mendeley":{"formattedCitation":"(Carothers et al., 2018; Pecuchet et al., 2020)","plainTextFormattedCitation":"(Carothers et al., 2018; Pecuchet et al., 2020)","previouslyFormattedCitation":"(Carothers et al., 2018; Pecuchet et al., 2020)"},"properties":{"noteIndex":0},"schema":"https://github.com/citation-style-language/schema/raw/master/csl-citation.json"}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(Carothers et al., 2018; Pecuchet et al., 2020)</w:t>
      </w:r>
      <w:r w:rsidRPr="00F92A58">
        <w:rPr>
          <w:rFonts w:cs="Times New Roman"/>
          <w:szCs w:val="24"/>
        </w:rPr>
        <w:fldChar w:fldCharType="end"/>
      </w:r>
      <w:r w:rsidRPr="00F92A58">
        <w:rPr>
          <w:rFonts w:cs="Times New Roman"/>
          <w:szCs w:val="24"/>
        </w:rPr>
        <w:t xml:space="preserve">. Well-documented impacts of invasive species on native ecosystems in aquatic environments include predation, disease, as well as pressure from resource competition </w:t>
      </w:r>
      <w:r w:rsidRPr="00F92A58">
        <w:rPr>
          <w:rFonts w:cs="Times New Roman"/>
          <w:szCs w:val="24"/>
        </w:rPr>
        <w:fldChar w:fldCharType="begin" w:fldLock="1"/>
      </w:r>
      <w:r w:rsidRPr="00F92A58">
        <w:rPr>
          <w:rFonts w:cs="Times New Roman"/>
          <w:szCs w:val="24"/>
        </w:rPr>
        <w:instrText>ADDIN CSL_CITATION {"citationItems":[{"id":"ITEM-1","itemData":{"DOI":"10.1111/gcb.13004","ISSN":"13652486","PMID":"26212892","abstract":"The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filter collectors, omnivores and predators), resident aquatic community components (macrophytes, phytoplankton, zooplankton, benthic invertebrates and fish) and habitats (rivers, lakes and estuaries). Our synthesis suggests a strong negative influence of invasive species on the abundance of aquatic communities, particularly macrophytes, zooplankton and fish.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fish abundance, the filtering activity of filter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five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author":[{"dropping-particle":"","family":"Gallardo","given":"Belinda","non-dropping-particle":"","parse-names":false,"suffix":""},{"dropping-particle":"","family":"Clavero","given":"Miguel","non-dropping-particle":"","parse-names":false,"suffix":""},{"dropping-particle":"","family":"Sánchez","given":"Marta I.","non-dropping-particle":"","parse-names":false,"suffix":""},{"dropping-particle":"","family":"Vilà","given":"Montserrat","non-dropping-particle":"","parse-names":false,"suffix":""}],"container-title":"Global Change Biology","id":"ITEM-1","issue":"1","issued":{"date-parts":[["2016"]]},"page":"151-163","title":"Global ecological impacts of invasive species in aquatic ecosystems","type":"article-journal","volume":"22"},"uris":["http://www.mendeley.com/documents/?uuid=4af17974-3093-4150-9bfb-ef346a94b730"]}],"mendeley":{"formattedCitation":"(Gallardo et al., 2016)","manualFormatting":"(as reviewed by Gallardo et al., 2016)","plainTextFormattedCitation":"(Gallardo et al., 2016)","previouslyFormattedCitation":"(Gallardo et al., 2016)"},"properties":{"noteIndex":0},"schema":"https://github.com/citation-style-language/schema/raw/master/csl-citation.json"}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(as reviewed by Gallardo et al., 2016)</w:t>
      </w:r>
      <w:r w:rsidRPr="00F92A58">
        <w:rPr>
          <w:rFonts w:cs="Times New Roman"/>
          <w:szCs w:val="24"/>
        </w:rPr>
        <w:fldChar w:fldCharType="end"/>
      </w:r>
      <w:r w:rsidRPr="00F92A58">
        <w:rPr>
          <w:rFonts w:cs="Times New Roman"/>
          <w:szCs w:val="24"/>
        </w:rPr>
        <w:t xml:space="preserve">. Additionally, as global climate change continues to drive increased physical changes in the Arctic, the region may become further exploited for resources such as oil and natural gas </w:t>
      </w:r>
      <w:r w:rsidRPr="00F92A58">
        <w:rPr>
          <w:rFonts w:cs="Times New Roman"/>
          <w:szCs w:val="24"/>
        </w:rPr>
        <w:fldChar w:fldCharType="begin" w:fldLock="1"/>
      </w:r>
      <w:r w:rsidRPr="00F92A58">
        <w:rPr>
          <w:rFonts w:cs="Times New Roman"/>
          <w:szCs w:val="24"/>
        </w:rPr>
        <w:instrText>ADDIN CSL_CITATION {"citationItems":[{"id":"ITEM-1","itemData":{"DOI":"10.3390/en14248300","ISSN":"19961073","abstract":"According to the forecasts made by IEA, BP, and Total in early 2021, the demand for hydrocarbons will continue for decades, and their share in the global energy balance will remain significant. Russia, as a key player in the energy market, is interested in maintaining and increasing hydrocarbon production, so further exploitation of the Arctic energy resources is an urgent issue. A large number of onshore oil and gas projects have been successfully implemented in the Arctic since the 1930s, while recently, special attention has been paid to the offshore energy resources and implementation of natural gas liquefaction projects. However, the implementation of oil and gas projects in the Arctic is characterized by a negative impact on the environment, which leads to a violation of the ecological balance in the Arctic, and affects the stability of its ecosystem, which is one of the most vulnerable ecosystems on the planet. The main goal of the present study is to understand how the implementation of oil and gas projects in the Arctic affects the ecosystem, to assess the significance of this process, and to find out what the state and business could do to minimize it. In the article, the authors analyze energy trends, provide brief information about important oil and gas projects being implemented in the Arctic region of Russia, and investigate the challenges of the oil and gas projects’ development and its negative impacts on the Arctic environment. The main contributions of this paper are the identification of all possible environmental risks and processes accompanying oil and gas production, and its qualitative analysis and recommendations for the state and business to reduce the negative impact of oil and gas projects on the Arctic ecosystem. The research methodology includes desk studies, risk management tools (such as risk analysis, registers, and maps), brainstorming, the expert method, systematization, comparative analysis, generalization, and grouping.","author":[{"dropping-particle":"","family":"Romasheva","given":"Natalia","non-dropping-particle":"","parse-names":false,"suffix":""},{"dropping-particle":"","family":"Dmitrieva","given":"Diana","non-dropping-particle":"","parse-names":false,"suffix":""}],"container-title":"Energies","id":"ITEM-1","issue":"24","issued":{"date-parts":[["2021"]]},"title":"Energy resources exploitation in the russian arctic: Challenges and prospects for the sustainable development of the ecosystem","type":"article-journal","volume":"14"},"uris":["http://www.mendeley.com/documents/?uuid=6a975439-28be-4932-ad59-aa19ece49fde"]},{"id":"ITEM-2","itemData":{"ISBN":"9781351019101","author":[{"dropping-particle":"","family":"Southcott","given":"Chris","non-dropping-particle":"","parse-names":false,"suffix":""},{"dropping-particle":"","family":"Abele","given":"Frances","non-dropping-particle":"","parse-names":false,"suffix":""},{"dropping-particle":"","family":"Natcher","given":"David","non-dropping-particle":"","parse-names":false,"suffix":""},{"dropping-particle":"","family":"Parlee","given":"Brenda","non-dropping-particle":"","parse-names":false,"suffix":""}],"edition":"1st Editio","id":"ITEM-2","issued":{"date-parts":[["2018"]]},"number-of-pages":"314","publisher":"Routledge","publisher-place":"London","title":"Resources and Sustainable Development in the Arctic","type":"book"},"uris":["http://www.mendeley.com/documents/?uuid=d9a27b08-36c6-47de-bfb1-216449dfc3eb"]}],"mendeley":{"formattedCitation":"(Romasheva and Dmitrieva, 2021; Southcott et al., 2018)","plainTextFormattedCitation":"(Romasheva and Dmitrieva, 2021; Southcott et al., 2018)","previouslyFormattedCitation":"(Romasheva and Dmitrieva, 2021; Southcott et al., 2018)"},"properties":{"noteIndex":0},"schema":"https://github.com/citation-style-language/schema/raw/master/csl-citation.json"}</w:instrText>
      </w:r>
      <w:r w:rsidRPr="00F92A58">
        <w:rPr>
          <w:rFonts w:cs="Times New Roman"/>
          <w:szCs w:val="24"/>
        </w:rPr>
        <w:fldChar w:fldCharType="separate"/>
      </w:r>
      <w:r w:rsidRPr="00F92A58">
        <w:rPr>
          <w:rFonts w:cs="Times New Roman"/>
          <w:noProof/>
          <w:szCs w:val="24"/>
        </w:rPr>
        <w:t>(Romasheva and Dmitrieva, 2021; Southcott et al., 2018)</w:t>
      </w:r>
      <w:r w:rsidRPr="00F92A58">
        <w:rPr>
          <w:rFonts w:cs="Times New Roman"/>
          <w:szCs w:val="24"/>
        </w:rPr>
        <w:fldChar w:fldCharType="end"/>
      </w:r>
      <w:r w:rsidRPr="00F92A58">
        <w:rPr>
          <w:rFonts w:cs="Times New Roman"/>
          <w:szCs w:val="24"/>
        </w:rPr>
        <w:t xml:space="preserve">. If pink salmon do establish populations in the area, it will be important to balance the conservation of these populations with the need to develop resources in the Arctic. Therefore, </w:t>
      </w:r>
      <w:r>
        <w:rPr>
          <w:rFonts w:cs="Times New Roman"/>
          <w:szCs w:val="24"/>
        </w:rPr>
        <w:t>it is important to</w:t>
      </w:r>
      <w:r w:rsidRPr="00F92A58">
        <w:rPr>
          <w:rFonts w:cs="Times New Roman"/>
          <w:szCs w:val="24"/>
        </w:rPr>
        <w:t xml:space="preserve"> continue to </w:t>
      </w:r>
      <w:r>
        <w:rPr>
          <w:rFonts w:cs="Times New Roman"/>
          <w:szCs w:val="24"/>
        </w:rPr>
        <w:t>improve our</w:t>
      </w:r>
      <w:r w:rsidR="00DC466D">
        <w:rPr>
          <w:rFonts w:cs="Times New Roman"/>
          <w:szCs w:val="24"/>
        </w:rPr>
        <w:t xml:space="preserve"> </w:t>
      </w:r>
      <w:r w:rsidRPr="00F92A58">
        <w:rPr>
          <w:rFonts w:cs="Times New Roman"/>
          <w:szCs w:val="24"/>
        </w:rPr>
        <w:t>understanding of how these fish are making use of newly accessible habitat and how this will impact native fish species and the ecosystem as a whole.</w:t>
      </w:r>
    </w:p>
    <w:p w14:paraId="061A5262" w14:textId="77777777" w:rsidR="00693CE2" w:rsidRPr="00F92A58" w:rsidRDefault="00693CE2" w:rsidP="00693CE2">
      <w:pPr>
        <w:pStyle w:val="Heading1"/>
      </w:pPr>
      <w:r w:rsidRPr="00F92A58">
        <w:t>5. Conclusions</w:t>
      </w:r>
    </w:p>
    <w:p w14:paraId="3AD72908" w14:textId="77777777" w:rsidR="00693CE2" w:rsidRPr="00F92A58" w:rsidRDefault="00693CE2" w:rsidP="00693CE2">
      <w:pPr>
        <w:rPr>
          <w:rFonts w:cs="Times New Roman"/>
          <w:szCs w:val="24"/>
        </w:rPr>
      </w:pPr>
      <w:r w:rsidRPr="00F92A58">
        <w:rPr>
          <w:rFonts w:cs="Times New Roman"/>
          <w:szCs w:val="24"/>
        </w:rPr>
        <w:t xml:space="preserve">In this study, </w:t>
      </w:r>
      <w:r>
        <w:rPr>
          <w:rFonts w:cs="Times New Roman"/>
          <w:szCs w:val="24"/>
        </w:rPr>
        <w:t>presents</w:t>
      </w:r>
      <w:r w:rsidRPr="00F92A58">
        <w:rPr>
          <w:rFonts w:cs="Times New Roman"/>
          <w:szCs w:val="24"/>
        </w:rPr>
        <w:t xml:space="preserve"> the first application of otolith chemistry to investigate the origins of pink salmon. In a dynamic and remote region, further developing tools like otolith microchemistry that reveal information about fish life history and can be analyzed retrospectively are important to improving our understanding of ecosystem dynamics in the region. </w:t>
      </w:r>
      <w:r>
        <w:rPr>
          <w:rFonts w:cs="Times New Roman"/>
          <w:szCs w:val="24"/>
        </w:rPr>
        <w:t>The results presented here</w:t>
      </w:r>
      <w:r w:rsidRPr="00F92A58">
        <w:rPr>
          <w:rFonts w:cs="Times New Roman"/>
          <w:szCs w:val="24"/>
        </w:rPr>
        <w:t xml:space="preserve"> indicate that most adult pink salmon collected in the Arctic were not of local origin, however, Arctic origin</w:t>
      </w:r>
      <w:r>
        <w:rPr>
          <w:rFonts w:cs="Times New Roman"/>
          <w:szCs w:val="24"/>
        </w:rPr>
        <w:t xml:space="preserve"> cannot be ruled out</w:t>
      </w:r>
      <w:r w:rsidRPr="00F92A58">
        <w:rPr>
          <w:rFonts w:cs="Times New Roman"/>
          <w:szCs w:val="24"/>
        </w:rPr>
        <w:t xml:space="preserve"> for some of the fish examined in this study. This finding, along with the favorable conditions for pink salmon in the region, warrants future study on the establishment of pink salmon populations in the Arctic.  </w:t>
      </w:r>
    </w:p>
    <w:p w14:paraId="6B4DF0EB" w14:textId="77777777" w:rsidR="00693CE2" w:rsidRPr="00F92A58" w:rsidRDefault="00693CE2" w:rsidP="00693CE2">
      <w:pPr>
        <w:pStyle w:val="Heading1"/>
      </w:pPr>
      <w:r w:rsidRPr="00F92A58">
        <w:t xml:space="preserve">Acknowledgements </w:t>
      </w:r>
    </w:p>
    <w:p w14:paraId="28205F7C" w14:textId="08676397" w:rsidR="00693CE2" w:rsidRDefault="00693CE2" w:rsidP="00693CE2">
      <w:pPr>
        <w:rPr>
          <w:rFonts w:cs="Times New Roman"/>
          <w:szCs w:val="24"/>
        </w:rPr>
      </w:pPr>
      <w:r w:rsidRPr="00F92A58">
        <w:rPr>
          <w:rFonts w:cs="Times New Roman"/>
          <w:szCs w:val="24"/>
        </w:rPr>
        <w:t xml:space="preserve">Funding for this project was provided by the U.S. Department of the Interior, Bureau of Ocean Energy Management through a grant to the University of Alaska-Fairbanks Coastal and Marine Institute. I would like to acknowledge the research team for this project: Kristen Gorman (PI, University of Alaska-Fairbanks), Peter Rand (Co-PI, Prince William Sound Science Center), Todd Sformo (Co-PI, North Slope Borough), Kimberly Pikok (North Slope Borough), Ana Stringer (North Slope Borough), Timothy Linley (Co-PI, Pacific Northwest National Lab/Mainstem Fish Research), Jill Janak (Pacific Northwest National Lab), and Lisa Kant (Pacific Northwest National Lab). Adult pink salmon from Northern Alaska were collected by native, subsistence fishers. Strontium isotopic samples were analyzed in the Environmental Signatures Lab at PNNL (Chief Scientist: Eirik Krogstad, Analyst: Steve Shen). </w:t>
      </w:r>
    </w:p>
    <w:p w14:paraId="01644737" w14:textId="5BABF38B" w:rsidR="00DC466D" w:rsidRDefault="00DC466D" w:rsidP="00DC466D">
      <w:pPr>
        <w:ind w:firstLine="0"/>
        <w:rPr>
          <w:rFonts w:cs="Times New Roman"/>
          <w:b/>
          <w:bCs/>
          <w:szCs w:val="24"/>
        </w:rPr>
      </w:pPr>
      <w:r>
        <w:rPr>
          <w:rFonts w:cs="Times New Roman"/>
          <w:b/>
          <w:bCs/>
          <w:szCs w:val="24"/>
        </w:rPr>
        <w:t>References</w:t>
      </w:r>
    </w:p>
    <w:p w14:paraId="143B6A22" w14:textId="66DCCD83" w:rsidR="00DC466D" w:rsidRPr="00DC466D" w:rsidRDefault="00DC466D" w:rsidP="00DC466D">
      <w:pPr>
        <w:widowControl w:val="0"/>
        <w:autoSpaceDE w:val="0"/>
        <w:autoSpaceDN w:val="0"/>
        <w:adjustRightInd w:val="0"/>
        <w:ind w:left="480" w:hanging="480"/>
        <w:rPr>
          <w:rFonts w:cs="Times New Roman"/>
          <w:noProof/>
          <w:szCs w:val="24"/>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Pr="00DC466D">
        <w:rPr>
          <w:rFonts w:cs="Times New Roman"/>
          <w:noProof/>
          <w:szCs w:val="24"/>
        </w:rPr>
        <w:t>Abdul-Aziz, O.I., Mantua, N.J., Myers, K.W., 2011.  Potential climate change impacts on thermal habitats of Pacific salmon ( Oncorhynchus  spp.) in the North Pacific Ocean and adjacent seas . Can. J. Fish. Aquat. Sci. 68, 1660–1680. https://doi.org/10.1139/f2011-079</w:t>
      </w:r>
    </w:p>
    <w:p w14:paraId="466357C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Ardyna, M., Arrigo, K.R., 2020. Phytoplankton dynamics in a changing Arctic Ocean. Nat. Clim. Chang. 10, 892–903. https://doi.org/10.1038/s41558-020-0905-y</w:t>
      </w:r>
    </w:p>
    <w:p w14:paraId="6C2BDE7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Barnett-Johnson, R., Grimes, C.B., Royer, C.F., Donohoe, C.J., 2008. Identifying the contribution of wild and hatchery Chinook salmon (Oncorhynchus tshawytscha) to the ocean fishery using otolith microstructure as natural tags. Can. J. Fish. Aquat. Sci. 29, 1683–1692. https://doi.org/10.1139/F07-129</w:t>
      </w:r>
    </w:p>
    <w:p w14:paraId="6A032FC8"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Bermingham, E., Forbes, S.H., Friedland, K., Pla, C., 1991. Discrimination between Atlantic Salmon (Salmo salar) of North American and European Origin using Restriction Analyses of Mitochondrial DNA. Can. J. Fish. Aquat. Sci. 48, 884–893.</w:t>
      </w:r>
    </w:p>
    <w:p w14:paraId="174D0BDD"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Bourret, S.L., Clancy, N.G., 2018. Using forensic geochemistry via fish otoliths to investigate an illegal fish introduction. Can. J. Fish. Aquat. Sci. 75, 1778–1783. https://doi.org/10.1139/cjfas-2018-0082</w:t>
      </w:r>
    </w:p>
    <w:p w14:paraId="01CCC89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Brennan, S.R., Fernandez, D.P., Mackey, G., Cerling, T.E., Bataille, C.P., Bowen, G.J., Wooller, M.J., 2014. Strontium isotope variation and carbonate versus silicate weathering in rivers from across Alaska: Implications for provenance studies. Chem. Geol. 389, 167–181. https://doi.org/10.1016/j.chemgeo.2014.08.018</w:t>
      </w:r>
    </w:p>
    <w:p w14:paraId="2838489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Brennan, S.R., Fernandez, D.P., Zimmerman, C.E., Cerling, T.E., Brown, R.J., Wooller, M.J., 2015. Strontium isotopes in otoliths of a non-migratory fish (slimy sculpin): Implications for provenance studies. Geochim. Cosmochim. Acta 149, 32–45. https://doi.org/10.1016/j.gca.2014.10.032</w:t>
      </w:r>
    </w:p>
    <w:p w14:paraId="124656E7"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CAFF, 2019. State of the Arctic Freshwater Biodiversity Report.</w:t>
      </w:r>
    </w:p>
    <w:p w14:paraId="2F809850"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Campana, S.E., 1999. Chemistry and composition of fish otoliths: Pathways, mechanisms and applications. Mar. Ecol. Prog. Ser. 188, 263–297. https://doi.org/10.3354/meps188263</w:t>
      </w:r>
    </w:p>
    <w:p w14:paraId="735FF7F8"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Campana, S.E., Stefánsdóttir, R.B., Jakobsdóttir, K., Sólmundsson, J., 2020. Shifting fish distributions in warming sub-Arctic oceans. Sci. Rep. 10, 1–14. https://doi.org/10.1038/s41598-020-73444-y</w:t>
      </w:r>
    </w:p>
    <w:p w14:paraId="43B8ED2A"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Carothers, C., Seitz, A., Sutton, T., 2018. How is climate change affecting subsistence (or traditional) fisheries in the high Arctic? Arct. Answers AA-015.</w:t>
      </w:r>
    </w:p>
    <w:p w14:paraId="286F38B4"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Carothers, C., Sformo, T.L., Cotton, S., George, J.C., Westley, P.A.H., 2019. Pacific salmon in the rapidly changing arctic: Exploring local knowledge and emerging fisheries in Utqiaġvik and Nuiqsut, Alaska. Arctic 72, 273–288. https://doi.org/10.14430/arctic68876</w:t>
      </w:r>
    </w:p>
    <w:p w14:paraId="4DDF201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Chen, K.-Y., Ludsin, S.A., Corey, M., Collingsworth, P.D., Nims, M.K., Olesik, J.W., van Tassell, J.J., Marschall, E., 2015. Experimental and field evaluation of otolith strontium as a marker to discriminate between river-spawning populations of walleye in Lake Erie. Can. J. Fish. Aquat. Sci. 74, 693–701.</w:t>
      </w:r>
    </w:p>
    <w:p w14:paraId="03DDFB6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Cheung, W.W.L., Jones, M.C., Reygondeau, G., Stock, C.A., Lam, V.W.Y., Frölicher, T.L., 2016. Structural uncertainty in projecting global fisheries catches under climate change. Ecol. Modell. 325, 57–66. https://doi.org/10.1016/j.ecolmodel.2015.12.018</w:t>
      </w:r>
    </w:p>
    <w:p w14:paraId="76016B7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Chila, Z., Dunmall, K.M., Proverbs, T.A., Lantz, T.C., Hunters, A., Hunters, I., Hunters, S.H., Hunters, O., Hunters, P., 2022. Inuvialuit knowledge of Pacific salmon range expansion in the western Canadian Arctic. Can. J. Fish. Aquat. Sci. 79, 1042–1055. https://doi.org/10.1139/cjfas-2021-0172</w:t>
      </w:r>
    </w:p>
    <w:p w14:paraId="2F857D8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Crozier, L.G., Burke, B.J., Chasco, B.E., Widener, D.L., Zabel, R.W., 2021. Climate change threatens Chinook salmon throughout their life cycle. Commun. Biol. 4, 222. https://doi.org/10.1038/s42003-021-01734-w</w:t>
      </w:r>
    </w:p>
    <w:p w14:paraId="2F2DFCF6"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Crozier, L.G., Hendry, A.P., Lawson, P.W., Quinn, T.P., Mantua, N.J., Battin, J., Shaw, R.G., Huey, R.B., 2008. PERSPECTIVE: Potential responses to climate change in organisms with complex life histories: evolution and plasticity in Pacific salmon. Evol. Appl. 1, 252–270. https://doi.org/10.1111/j.1752-4571.2008.00033.x</w:t>
      </w:r>
    </w:p>
    <w:p w14:paraId="124E3D7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Crozier, L.G., Hutchings, J.A., 2014. Plastic and evolutionary responses to climate change in fish. Evol. Appl. 7, 68–87. https://doi.org/10.1111/eva.12135</w:t>
      </w:r>
    </w:p>
    <w:p w14:paraId="5E97C3E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Crozier, L.G., Scheuerell, M.D., Zabel, R.W., 2011. Using time series analysis to characterize evolutionary and plastic responses to environmental change: A case study of a shift toward earlier migration date in sockeye salmon. Am. Nat. 178, 755–773. https://doi.org/10.1086/662669</w:t>
      </w:r>
    </w:p>
    <w:p w14:paraId="7F4298E7"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Dommasnes, A., 2010. Changing distribution of marine fish. Arct. Biodivers. Trends 2010 78–80.</w:t>
      </w:r>
    </w:p>
    <w:p w14:paraId="38F0D406"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Doubleday, Z.A., Izzo, C., Woodcock, S.H., Gillanders, B.M., 2013. Relative contribution of water and diet to otolith chemistry in freshwater fish. Aquat. Biol. 18, 271–280. https://doi.org/10.3354/ab00511</w:t>
      </w:r>
    </w:p>
    <w:p w14:paraId="0A02B8A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Dunmall, K.M., Mcnicholl, D.G., Reist, J.D., 2018. Community-based Monitoring Demonstrates Increasing Occurrences and Abundances of Pacific Salmon in the Canadian Arctic from 2000 to 2017. Tech. Rep. 8–12. https://doi.org/10.23849/npafctr11/87.90</w:t>
      </w:r>
    </w:p>
    <w:p w14:paraId="2571D926"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Dunmall, K.M., McNicholl, D.G., Zimmerman, C.E., Gilk-Baumer, S.E., Burril, S., von Biela, V.R., 2022. First juvenile chum salmon confirms successful reproduction for Pacific salmon in the North American Arctic. Can. J. Fish. Aquat. Sci. 79, 703–707. https://doi.org/10.1139/cjfas-2022-0006</w:t>
      </w:r>
    </w:p>
    <w:p w14:paraId="1BA4466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Dunmall, K.M., Mochnacz, N.J., Zimmerman, C.E., Lean, C., Reist, J.D., 2016. Using thermal limits to assess establishment of fish dispersing to high-latitude and high-elevation watersheds. Can. J. Fish. Aquat. Sci. 73, 1750–1758. https://doi.org/10.1139/cjfas-2016-0051</w:t>
      </w:r>
    </w:p>
    <w:p w14:paraId="082E58E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Dunmall, K.M., Reist, J.D., Carmack, E.C., Babaluk, J.A., Heide-Jorgensen, M.P., Docker, M.F., 2013. Pacific Salmon in the Arctic: Harbingers of Change. Responses Arct. Mar. Ecosyst. to Clim. Chang. https://doi.org/10.4027/ramecc.2013.07</w:t>
      </w:r>
    </w:p>
    <w:p w14:paraId="751479B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Dunnigan, J.L., Linley, T.J., Janak, J.M., Nims, M.K., Garavelli, L., Mcmichael, G.A., 2023. Otolith 87 Sr / 86 Sr identifies natal origin , movement and life history of Burbot Lota lota in the Kootenai River following 45 years of impoundment. Ecol. Freshw. Fish 1–15. https://doi.org/10.1111/eff.12712</w:t>
      </w:r>
    </w:p>
    <w:p w14:paraId="2D8D5FD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Eisner, L., Hillgruber, N., Martinson, E., Maselko, J., 2013. Pelagic fish and zooplankton species assemblages in relation to water mass characteristics in the northern Bering and southeast Chukchi seas. Polar Biol. 36, 87–113. https://doi.org/10.1007/s00300-012-1241-0</w:t>
      </w:r>
    </w:p>
    <w:p w14:paraId="23A3256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Elderfield, H., 1986. Strontium isotope stratigraphy. Palaeogeogr. Palaeoclimatol. Palaeoecol. 57, 71–90.</w:t>
      </w:r>
    </w:p>
    <w:p w14:paraId="44DEE03F"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Farley, E. V., Murphy, J.M., Cieciel, K., Yasumiishi, E.M., Dunmall, K., Sformo, T., Rand, P., 2020. Response of Pink salmon to climate warming in the northern Bering Sea. Deep. Res. Part II Top. Stud. Oceanogr. 177, 104830. https://doi.org/10.1016/j.dsr2.2020.104830</w:t>
      </w:r>
    </w:p>
    <w:p w14:paraId="354DA615"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Fossheim, M., Primicerio, R., Johannesen, E., Ingvaldsen, R.B., Aschan, M.M., Dolgov, A. V., 2015. Recent warming leads to a rapid borealization of fish communities in the Arctic. Nat. Clim. Chang. 5, 673–677. https://doi.org/10.1038/nclimate2647</w:t>
      </w:r>
    </w:p>
    <w:p w14:paraId="7EE93B4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Gallardo, B., Clavero, M., Sánchez, M.I., Vilà, M., 2016. Global ecological impacts of invasive species in aquatic ecosystems. Glob. Chang. Biol. 22, 151–163. https://doi.org/10.1111/gcb.13004</w:t>
      </w:r>
    </w:p>
    <w:p w14:paraId="549345B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GeoRem, 2022. GeoReM: Geological and Environmental Reference Materials [WWW Document]. Max Planck Inst. URL http://georem.mpch-mainz.gwdg.de/</w:t>
      </w:r>
    </w:p>
    <w:p w14:paraId="30E574BD"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Gibson-Reinemer, D.K., Johnson, B.M., Martinez, P.J., Winkelman, D.L., Koenig, A.E., Woodhead, J.D., 2009. Elemental signatures in otoliths of hatchery rainbow trout (Oncorhynchus mykiss): Distinctiveness and utility fo detecting origins and movement. Can. J. Fish. Aquat. Sci. 66, 513–524. https://doi.org/10.1139/F09-015</w:t>
      </w:r>
    </w:p>
    <w:p w14:paraId="6DBC3D8A"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Gover, T.R., Nims, M.K., Van Tassell, J.J., Collingsworth, P.D., Olesik, J.W., Ludsin, S.A., Marschall, E.A., 2014. How Much Cleaning is Needed When Processing Otoliths from Fish Larvae for Microchemical Analysis? Trans. Am. Fish. Soc. 143, 779–783. https://doi.org/10.1080/00028487.2014.889749</w:t>
      </w:r>
    </w:p>
    <w:p w14:paraId="6991D0E4"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Hegg, J.C., Kennedy, B.P., Chittaro, P., 2019. What did you say about my mother? The complexities of maternally derived chemical signatures in otoliths. Can. J. Fish. Aquat. Sci. 76, 81–94. https://doi.org/10.1139/cjfas-2017-0341</w:t>
      </w:r>
    </w:p>
    <w:p w14:paraId="1A079B1D"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Hegg, J.C., Kennedy, B.P., Chittaro, P.M., Zabel, R.W., 2013. Spatial structuring of an evolving life-history strategy under altered environmental conditions. Oecologia 172, 1017–1029. https://doi.org/10.1007/s00442-012-2564-9</w:t>
      </w:r>
    </w:p>
    <w:p w14:paraId="30D66AA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Hendry, A.P., Castric, H. V., Kinnison, M.T., Quinn, T.P., 2004. The evolution of philopatry and dispersal: homing versus straying in salmonids, in: Hendry, A.P., Stearns, S.C. (Eds.), Evolution Illuminated: Salmon and Their Relatives. Oxford University Press, New York, pp. 52–91.</w:t>
      </w:r>
    </w:p>
    <w:p w14:paraId="2CC718B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Huntington, H.P., Danielson, S.L., Wiese, F.K., Baker, M., Boveng, P., Citta, J.J., De Robertis, A., Dickson, D.M.S., Farley, E., George, J.C., Iken, K., Kimmel, D.G., Kuletz, K., Ladd, C., Levine, R., Quakenbush, L., Stabeno, P., Stafford, K.M., Stockwell, D., Wilson, C., 2020. Evidence suggests potential transformation of the Pacific Arctic ecosystem is underway. Nat. Clim. Chang. 10, 342–348. https://doi.org/10.1038/s41558-020-0695-2</w:t>
      </w:r>
    </w:p>
    <w:p w14:paraId="6D0CAC60"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Hutchins, D.A., Jansson, J.K., Remais, J. V., Rich, V.I., Singh, B.K., Trivedi, P., 2019. Climate change microbiology — problems and perspectives. Nat. Rev. Microbiol. 17, 391–396. https://doi.org/10.1038/s41579-019-0178-5</w:t>
      </w:r>
    </w:p>
    <w:p w14:paraId="1A3DD50A"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IPCC, 2022. Climate Change 2022: Impacts, Adaptation and Vulnerability.</w:t>
      </w:r>
    </w:p>
    <w:p w14:paraId="5122A557"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Irvine, J.R., Macdonald, R.W., Brown, R.J., Godbout, L., Reist, J.D., Carmack, E.C., 2009. Salmon in the Arctic and How They Avoid Lethal Low Temperatures. North Pacific Anadromous Fish Comm. Bull. 5, 39–50.</w:t>
      </w:r>
    </w:p>
    <w:p w14:paraId="392DEA1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Janak, J.M., Linley, T.J., Harnish, R., Shen, S., 2021. Partitioning maternal and exogenous diet contributions to otolith 87Sr/86Sr in Kokanee Salmon (Oncorhynchus nerka). Can. J. Fish. Aquat. Sci.</w:t>
      </w:r>
    </w:p>
    <w:p w14:paraId="317AA5B6"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Jepsen, N., Aarestrup, K., Økland, F., Rasmussen, G., 1998. Survival of radio-tagged Atlantic salmon (Salmo salar (L.)) and trout (Salmo trutta L.) smolts passing a reservoir during seaward migration. Hydrobiologia 371–372, 347–353. https://doi.org/10.1007/978-94-011-5090-3_39</w:t>
      </w:r>
    </w:p>
    <w:p w14:paraId="49340EC8"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Keefer, M.L., Caudill, C.C., 2014. Homing and straying by anadromous salmonids: A review of mechanisms and rates. Rev. Fish Biol. Fish. 24, 333–368. https://doi.org/10.1007/s11160-013-9334-6</w:t>
      </w:r>
    </w:p>
    <w:p w14:paraId="6D27FC6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Kennedy, B.P., Blum, J.D., Folt, C.L., Nislow, K.H., 2000. Using natural strontium isotopic signatures as fish markers: Methodology and application. Can. J. Fish. Aquat. Sci. 57, 2280–2293. https://doi.org/doi:10.1139/cjfas-57-11-2280</w:t>
      </w:r>
    </w:p>
    <w:p w14:paraId="320BBF6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Lewis, K.M., Van Dijken, G.L., Arrigo, K.R., 2020. Changes in phytoplankton concentration now drive increased Arctic Ocean primary production. Science (80-. ). 369, 198–202. https://doi.org/10.1126/science.aay8380</w:t>
      </w:r>
    </w:p>
    <w:p w14:paraId="07BAE28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Linley, T.J., Krogstad, E.J., Nims, M.K., Langshaw, R.B., 2016. Geochemical signatures in fin rays provide a nonlethal method to distinguish the natal rearing streams of endangered juvenile Chinook Salmon Oncorhynchus tshawytscha in the Wenatchee River, Washington. Fish. Res. 181, 234–246. https://doi.org/10.1016/j.fishres.2016.04.004</w:t>
      </w:r>
    </w:p>
    <w:p w14:paraId="27905405"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Maselko, J.M., Wertheimer, A.C., Thedinga, J.F., 2003. Selection and Application of a Mark-and-Recapture Technique for Estimating Pink Salmon Escapements. NOAA Tech. Memo. NMFS-AFSC-137 54.</w:t>
      </w:r>
    </w:p>
    <w:p w14:paraId="66F3FF88"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McMichael, G.A., Eppard, M.B., Carlson, T.J., Carter, J.A., Ebberts, B.D., Brown, R.S., Weiland, M., Ploskey, G.R., Harnish, R.A., Deng, Z.D., 2010. The Juvenile Salmon Acoustic Telemetry System: A New Tool. Fisheries 35, 9–22. https://doi.org/10.1577/1548-8446-35.1.9</w:t>
      </w:r>
    </w:p>
    <w:p w14:paraId="399EFBB1"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Miller, J.A., 2011. Effects of water temperature and barium concentration on otolith composition along a salinity gradient: Implications for migratory reconstructions. J. Exp. Mar. Bio. Ecol. 405, 42–52. https://doi.org/10.1016/j.jembe.2011.05.017</w:t>
      </w:r>
    </w:p>
    <w:p w14:paraId="232A95B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Miller, J.A., Kent, A.J.R., 2009. The determination of maternal run time in juvenile Chinook salmon (Oncorhynchus tshawytscha) based on Sr/Ca and 87Sr/86Sr within otolith cores. Fish. Res. 95, 373–378. https://doi.org/10.1016/j.fishres.2008.09.030</w:t>
      </w:r>
    </w:p>
    <w:p w14:paraId="33BF1E5F"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Morita, K., 2022. Reverse migration of adult pink salmon (Oncorhynchus gorbuscha) to the sea after their return to fresh water. Environ. Biol. Fishes 105, 1825–1832. https://doi.org/10.1007/s10641-021-01139-y</w:t>
      </w:r>
    </w:p>
    <w:p w14:paraId="45FCEA85"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Moss, J.H., Murphy, J.M., Farley  Jr., E. V, Eisner, L.B., Andrews, A.G., 2009. Juvenile Pink and Chum Salmon Distribution, Diet, and Growth in the Northern Bering and Chukchi Seas. North Pacific Anadromous Fish Comm. Bull. 5, 191–196.</w:t>
      </w:r>
    </w:p>
    <w:p w14:paraId="12BDB926"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Mueter, F.J., Weems, J., Farley, E. V., Sigler, M.F., 2017. Arctic Ecosystem Integrated Survey (Arctic Eis): Marine ecosystem dynamics in the rapidly changing Pacific Arctic Gateway. Deep. Res. Part II Top. Stud. Oceanogr. 135, 1–6. https://doi.org/10.1016/j.dsr2.2016.11.005</w:t>
      </w:r>
    </w:p>
    <w:p w14:paraId="1374AF90"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Nims, M.K., Walther, B.D., 2014. Contingents of Southern Flounder from Subtropical Estuaries Revealed by Otolith Chemistry. Trans. Am. Fish. Soc. 143, 721–731. https://doi.org/10.1080/00028487.2014.892535</w:t>
      </w:r>
    </w:p>
    <w:p w14:paraId="7E7FE91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Pearce, N.J.G., Perkins, W.T., Westgate, J.A., Gorton, M.P., Jackson, S.E., Neal, C.R., Chenery, S.P., 1997. A compilation of new and published major and trace element data for NIST SRM 610 and NIST SRM 612 glass reference materials. Geostand. Newsl. 21, 115–144. https://doi.org/10.1111/j.1751-908X.1997.tb00538.x</w:t>
      </w:r>
    </w:p>
    <w:p w14:paraId="0C1E505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Pecuchet, L., Blanchet, M.A., Frainer, A., Husson, B., Jørgensen, L.L., Kortsch, S., Primicerio, R., 2020. Novel feeding interactions amplify the impact of species redistribution on an Arctic food web. Glob. Chang. Biol. 26, 4894–4906. https://doi.org/10.1111/gcb.15196</w:t>
      </w:r>
    </w:p>
    <w:p w14:paraId="01FD78A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Pess, G.R., Hilborn, R., Kloehn, K., Quinn, T.P., 2012. The influence of population dynamics and environmental conditions on pink salmon (Oncorhynchus gorbuscha) recolonization after barrier removal in the Fraser river, British Columbia, Canada. Can. J. Fish. Aquat. Sci. 69, 970–982. https://doi.org/10.1139/F2012-030</w:t>
      </w:r>
    </w:p>
    <w:p w14:paraId="740B0824"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Quinn, T.P., 2004. The behavior and ecology of Pacific Salmon and Trout. Universtity of Washington Press, Seattle.</w:t>
      </w:r>
    </w:p>
    <w:p w14:paraId="66444CF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Rawlins, M.A., 2021. Increasing freshwater and dissolved organic carbon flows to Northwest Alaska’s Elson lagoon. Environ. Res. Lett. 16. https://doi.org/10.1088/1748-9326/ac2288</w:t>
      </w:r>
    </w:p>
    <w:p w14:paraId="654A2C5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Reis-Santos, P., Gillanders, B.M., Sturrock, A.M., Izzo, C., Oxman, D.S., Lueders-Dumont, J.A., Hüssy, K., Tanner, S.E., Rogers, T., Doubleday, Z.A., Andrews, A.H., Trueman, C., Brophy, D., Thiem, J.D., Baumgartner, L.J., Willmes, M., Chung, M.T., Johnson, R.C., Heimbrand, Y., Limburg, K.E., Walther, B.D., 2022. Reading the biomineralized book of life: expanding otolith biogeochemical research and applications for fisheries and ecosystem-based management, Reviews in Fish Biology and Fisheries. Springer International Publishing. https://doi.org/10.1007/s11160-022-09720-z</w:t>
      </w:r>
    </w:p>
    <w:p w14:paraId="69943323"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Romasheva, N., Dmitrieva, D., 2021. Energy resources exploitation in the russian arctic: Challenges and prospects for the sustainable development of the ecosystem. Energies 14. https://doi.org/10.3390/en14248300</w:t>
      </w:r>
    </w:p>
    <w:p w14:paraId="757AB9A0"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Rooker, J.R., Secor, D.H., De Metrio, G., Schloesser, R., Block, B.A., Neilson, J.D., 2008. Natal homoing and connectivity in Atlantic Bluefin Tuna populations. Science (80-. ). 322, 742–744. https://doi.org/10.1126/science.1161473</w:t>
      </w:r>
    </w:p>
    <w:p w14:paraId="00302F42"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Southcott, C., Abele, F., Natcher, D., Parlee, B., 2018. Resources and Sustainable Development in the Arctic, 1st Editio. ed. Routledge, London.</w:t>
      </w:r>
    </w:p>
    <w:p w14:paraId="53919B77"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Sparks, M.M., Westley, P.A.H., Falke, J.A., Quinn, T.P., 2017. Thermal adaptation and phenotypic plasticity in a warming world: Insights from common garden experiments on Alaskan sockeye salmon. Glob. Chang. Biol. 23, 5203–5217. https://doi.org/10.1111/gcb.13782</w:t>
      </w:r>
    </w:p>
    <w:p w14:paraId="14060FAF"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Steiner, N.S., Cheung, W.W.L., Cisneros-Montemayor, A.M., Drost, H., Hayashida, H., Hoover, C., Lam, J., Sou, T., Sumaila, U.R., Suprenand, P., Tai, T.C., VanderZwaag, D.L., 2019. Impacts of the changing ocean-sea ice system on the key forage fish arctic cod (Boreogadus saida) and subsistence fisheries in the Western Canadian arctic-evaluating linked climate, ecosystem and economic (CEE) models. Front. Mar. Sci. 6. https://doi.org/10.3389/fmars.2019.00179</w:t>
      </w:r>
    </w:p>
    <w:p w14:paraId="47945A35"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Stephenson, S.A., 2006. A review of the occurence of Pacific salmon (Oncorhynchus spp.) in the Canadian Western Arctic. Arctic 59, 37–46.</w:t>
      </w:r>
    </w:p>
    <w:p w14:paraId="21556E7C"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Thorrold, S.R., Jones, C.M., Campana, S.E., McLaren, J.W., Lam, J.W.H., 1998. Trace element signatures in otoliths record natal river of juvenile American shad (Alosa sapidissima). Limnol. Oceanogr. 43, 1826–1835. https://doi.org/10.4319/lo.1998.43.8.1826</w:t>
      </w:r>
    </w:p>
    <w:p w14:paraId="657C4C9B"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Walther, B.D., 2019. The art of otolith chemistry: Interpreting patterns by integrating perspectives. Mar. Freshw. Res. 1643–1658. https://doi.org/10.1071/MF18270</w:t>
      </w:r>
    </w:p>
    <w:p w14:paraId="6C93D409"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Wiig, Ø., Aars, J., Born, E.W., 2008. Effects of climate change on polar bears. Sci. Prog. 91, 151–173. https://doi.org/10.3184/003685008X324506</w:t>
      </w:r>
    </w:p>
    <w:p w14:paraId="7E3A5587" w14:textId="77777777" w:rsidR="00DC466D" w:rsidRPr="00DC466D" w:rsidRDefault="00DC466D" w:rsidP="00DC466D">
      <w:pPr>
        <w:widowControl w:val="0"/>
        <w:autoSpaceDE w:val="0"/>
        <w:autoSpaceDN w:val="0"/>
        <w:adjustRightInd w:val="0"/>
        <w:ind w:left="480" w:hanging="480"/>
        <w:rPr>
          <w:rFonts w:cs="Times New Roman"/>
          <w:noProof/>
          <w:szCs w:val="24"/>
        </w:rPr>
      </w:pPr>
      <w:r w:rsidRPr="00DC466D">
        <w:rPr>
          <w:rFonts w:cs="Times New Roman"/>
          <w:noProof/>
          <w:szCs w:val="24"/>
        </w:rPr>
        <w:t>Wrona, F.J., Johansson, M., Culp, J.M., Jenkins, A., Johanna, M., Myers-smith, I.H., Prowse, T.D., Vincent, W.F., Wookey, P.A., 2016. of a Changing Hydrological Regime. J. Geophys. Res. Biogeosciences 650–674. https://doi.org/10.1002/2015JG003133.Received</w:t>
      </w:r>
    </w:p>
    <w:p w14:paraId="1EF00A6A" w14:textId="77777777" w:rsidR="00DC466D" w:rsidRPr="00DC466D" w:rsidRDefault="00DC466D" w:rsidP="00DC466D">
      <w:pPr>
        <w:widowControl w:val="0"/>
        <w:autoSpaceDE w:val="0"/>
        <w:autoSpaceDN w:val="0"/>
        <w:adjustRightInd w:val="0"/>
        <w:ind w:left="480" w:hanging="480"/>
        <w:rPr>
          <w:rFonts w:cs="Times New Roman"/>
          <w:noProof/>
        </w:rPr>
      </w:pPr>
      <w:r w:rsidRPr="00DC466D">
        <w:rPr>
          <w:rFonts w:cs="Times New Roman"/>
          <w:noProof/>
          <w:szCs w:val="24"/>
        </w:rPr>
        <w:t>Zimmerman, C.E., Swanson, H.K., Volk, E.C., Kent, A.J.R., 2013. Species and life history affect the utility of otolith chemical composition for determining natal stream of origin for pacific salmon. Trans. Am. Fish. Soc. 142, 1370–1380. https://doi.org/10.1080/00028487.2013.811102</w:t>
      </w:r>
    </w:p>
    <w:p w14:paraId="6EAB0777" w14:textId="202FDA77" w:rsidR="00DC466D" w:rsidRPr="00DC466D" w:rsidRDefault="00DC466D" w:rsidP="00DC466D">
      <w:pPr>
        <w:ind w:firstLine="0"/>
        <w:rPr>
          <w:rFonts w:cs="Times New Roman"/>
          <w:szCs w:val="24"/>
        </w:rPr>
      </w:pPr>
      <w:r>
        <w:rPr>
          <w:rFonts w:cs="Times New Roman"/>
          <w:szCs w:val="24"/>
        </w:rPr>
        <w:fldChar w:fldCharType="end"/>
      </w:r>
    </w:p>
    <w:p w14:paraId="7CFBD21D" w14:textId="77777777" w:rsidR="00FD7821" w:rsidRDefault="00FD7821"/>
    <w:sectPr w:rsidR="00FD78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86D5" w14:textId="77777777" w:rsidR="00125294" w:rsidRDefault="00125294">
      <w:pPr>
        <w:spacing w:line="240" w:lineRule="auto"/>
      </w:pPr>
      <w:r>
        <w:separator/>
      </w:r>
    </w:p>
  </w:endnote>
  <w:endnote w:type="continuationSeparator" w:id="0">
    <w:p w14:paraId="4A2A096E" w14:textId="77777777" w:rsidR="00125294" w:rsidRDefault="00125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49075"/>
      <w:docPartObj>
        <w:docPartGallery w:val="Page Numbers (Bottom of Page)"/>
        <w:docPartUnique/>
      </w:docPartObj>
    </w:sdtPr>
    <w:sdtEndPr>
      <w:rPr>
        <w:noProof/>
      </w:rPr>
    </w:sdtEndPr>
    <w:sdtContent>
      <w:p w14:paraId="2462ADF5" w14:textId="77777777" w:rsidR="00000000" w:rsidRDefault="002E6376" w:rsidP="009D4C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6D7C" w14:textId="77777777" w:rsidR="00000000" w:rsidRPr="007A585B" w:rsidRDefault="00000000" w:rsidP="00F80ED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3152"/>
      <w:docPartObj>
        <w:docPartGallery w:val="Page Numbers (Bottom of Page)"/>
        <w:docPartUnique/>
      </w:docPartObj>
    </w:sdtPr>
    <w:sdtEndPr>
      <w:rPr>
        <w:noProof/>
      </w:rPr>
    </w:sdtEndPr>
    <w:sdtContent>
      <w:p w14:paraId="78891DCC" w14:textId="77777777" w:rsidR="00000000" w:rsidRPr="007A585B" w:rsidRDefault="002E6376" w:rsidP="00FE2A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4B25" w14:textId="77777777" w:rsidR="00000000" w:rsidRPr="007A585B" w:rsidRDefault="00000000" w:rsidP="00FE2A4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041533"/>
      <w:docPartObj>
        <w:docPartGallery w:val="Page Numbers (Bottom of Page)"/>
        <w:docPartUnique/>
      </w:docPartObj>
    </w:sdtPr>
    <w:sdtEndPr>
      <w:rPr>
        <w:noProof/>
      </w:rPr>
    </w:sdtEndPr>
    <w:sdtContent>
      <w:p w14:paraId="4B3CF280" w14:textId="77777777" w:rsidR="00000000" w:rsidRPr="007A585B" w:rsidRDefault="002E6376" w:rsidP="003039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C1277" w14:textId="77777777" w:rsidR="00125294" w:rsidRDefault="00125294">
      <w:pPr>
        <w:spacing w:line="240" w:lineRule="auto"/>
      </w:pPr>
      <w:r>
        <w:separator/>
      </w:r>
    </w:p>
  </w:footnote>
  <w:footnote w:type="continuationSeparator" w:id="0">
    <w:p w14:paraId="22F70D97" w14:textId="77777777" w:rsidR="00125294" w:rsidRDefault="00125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312056"/>
      <w:docPartObj>
        <w:docPartGallery w:val="Page Numbers (Margins)"/>
        <w:docPartUnique/>
      </w:docPartObj>
    </w:sdtPr>
    <w:sdtContent>
      <w:p w14:paraId="1958DB7F" w14:textId="77777777" w:rsidR="00000000" w:rsidRDefault="002E6376">
        <w:pPr>
          <w:pStyle w:val="Header"/>
        </w:pPr>
        <w:r w:rsidRPr="004A5843">
          <w:rPr>
            <w:rFonts w:eastAsiaTheme="majorEastAsia" w:cs="Times New Roman"/>
            <w:noProof/>
            <w:szCs w:val="24"/>
          </w:rPr>
          <mc:AlternateContent>
            <mc:Choice Requires="wps">
              <w:drawing>
                <wp:anchor distT="0" distB="0" distL="114300" distR="114300" simplePos="0" relativeHeight="251662336" behindDoc="0" locked="0" layoutInCell="0" allowOverlap="1" wp14:anchorId="07DB99FC" wp14:editId="0EAF1518">
                  <wp:simplePos x="0" y="0"/>
                  <wp:positionH relativeFrom="leftMargin">
                    <wp:align>center</wp:align>
                  </wp:positionH>
                  <wp:positionV relativeFrom="page">
                    <wp:align>center</wp:align>
                  </wp:positionV>
                  <wp:extent cx="762000" cy="895350"/>
                  <wp:effectExtent l="0" t="0" r="0"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204BA" w14:textId="77777777" w:rsidR="00000000" w:rsidRPr="004A5843" w:rsidRDefault="00000000">
                              <w:pPr>
                                <w:jc w:val="center"/>
                                <w:rPr>
                                  <w:rFonts w:eastAsiaTheme="majorEastAsia" w:cs="Times New Roman"/>
                                  <w:szCs w:val="24"/>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B99FC" id="Rectangle 33" o:spid="_x0000_s1026" style="position:absolute;left:0;text-align:left;margin-left:0;margin-top:0;width:60pt;height:70.5pt;z-index:251662336;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" o:allowincell="f" stroked="f">
                  <v:textbox style="layout-flow:vertical">
                    <w:txbxContent>
                      <w:p w14:paraId="500204BA" w14:textId="77777777" w:rsidR="004A5843" w:rsidRPr="004A5843" w:rsidRDefault="00000000">
                        <w:pPr>
                          <w:jc w:val="center"/>
                          <w:rPr>
                            <w:rFonts w:eastAsiaTheme="majorEastAsia" w:cs="Times New Roman"/>
                            <w:szCs w:val="24"/>
                          </w:rPr>
                        </w:pPr>
                      </w:p>
                    </w:txbxContent>
                  </v:textbox>
                  <w10:wrap anchorx="margin" anchory="page"/>
                </v:rect>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05483"/>
      <w:docPartObj>
        <w:docPartGallery w:val="Page Numbers (Margins)"/>
        <w:docPartUnique/>
      </w:docPartObj>
    </w:sdtPr>
    <w:sdtContent>
      <w:p w14:paraId="54E9BED7" w14:textId="77777777" w:rsidR="00000000" w:rsidRDefault="002E6376">
        <w:pPr>
          <w:pStyle w:val="Header"/>
        </w:pPr>
        <w:r>
          <w:rPr>
            <w:noProof/>
          </w:rPr>
          <mc:AlternateContent>
            <mc:Choice Requires="wps">
              <w:drawing>
                <wp:anchor distT="0" distB="0" distL="114300" distR="114300" simplePos="0" relativeHeight="251660288" behindDoc="0" locked="0" layoutInCell="0" allowOverlap="1" wp14:anchorId="6DC8E433" wp14:editId="4EE7785B">
                  <wp:simplePos x="0" y="0"/>
                  <wp:positionH relativeFrom="leftMargin">
                    <wp:align>center</wp:align>
                  </wp:positionH>
                  <wp:positionV relativeFrom="page">
                    <wp:align>center</wp:align>
                  </wp:positionV>
                  <wp:extent cx="762000" cy="895350"/>
                  <wp:effectExtent l="0" t="0" r="0" b="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cs="Times New Roman"/>
                                  <w:szCs w:val="24"/>
                                </w:rPr>
                                <w:id w:val="-1187289997"/>
                                <w:docPartObj>
                                  <w:docPartGallery w:val="Page Numbers (Margins)"/>
                                  <w:docPartUnique/>
                                </w:docPartObj>
                              </w:sdtPr>
                              <w:sdtContent>
                                <w:sdt>
                                  <w:sdtPr>
                                    <w:rPr>
                                      <w:rFonts w:eastAsiaTheme="majorEastAsia" w:cs="Times New Roman"/>
                                      <w:szCs w:val="24"/>
                                    </w:rPr>
                                    <w:id w:val="-565415673"/>
                                    <w:docPartObj>
                                      <w:docPartGallery w:val="Page Numbers (Margins)"/>
                                      <w:docPartUnique/>
                                    </w:docPartObj>
                                  </w:sdtPr>
                                  <w:sdtContent>
                                    <w:p w14:paraId="4F2903D7" w14:textId="77777777" w:rsidR="00000000" w:rsidRPr="002A4A98" w:rsidRDefault="002E6376" w:rsidP="00BE0270">
                                      <w:pPr>
                                        <w:rPr>
                                          <w:rFonts w:eastAsiaTheme="majorEastAsia" w:cs="Times New Roman"/>
                                          <w:szCs w:val="24"/>
                                        </w:rPr>
                                      </w:pPr>
                                      <w:r w:rsidRPr="002A4A98">
                                        <w:rPr>
                                          <w:rFonts w:eastAsiaTheme="minorEastAsia" w:cs="Times New Roman"/>
                                          <w:szCs w:val="24"/>
                                        </w:rPr>
                                        <w:fldChar w:fldCharType="begin"/>
                                      </w:r>
                                      <w:r w:rsidRPr="002A4A98">
                                        <w:rPr>
                                          <w:rFonts w:cs="Times New Roman"/>
                                          <w:szCs w:val="24"/>
                                        </w:rPr>
                                        <w:instrText xml:space="preserve"> PAGE   \* MERGEFORMAT </w:instrText>
                                      </w:r>
                                      <w:r w:rsidRPr="002A4A98">
                                        <w:rPr>
                                          <w:rFonts w:eastAsiaTheme="minorEastAsia" w:cs="Times New Roman"/>
                                          <w:szCs w:val="24"/>
                                        </w:rPr>
                                        <w:fldChar w:fldCharType="separate"/>
                                      </w:r>
                                      <w:r w:rsidRPr="002A4A98">
                                        <w:rPr>
                                          <w:rFonts w:eastAsiaTheme="majorEastAsia" w:cs="Times New Roman"/>
                                          <w:noProof/>
                                          <w:szCs w:val="24"/>
                                        </w:rPr>
                                        <w:t>2</w:t>
                                      </w:r>
                                      <w:r w:rsidRPr="002A4A98">
                                        <w:rPr>
                                          <w:rFonts w:eastAsiaTheme="majorEastAsia" w:cs="Times New Roman"/>
                                          <w:noProof/>
                                          <w:szCs w:val="24"/>
                                        </w:rPr>
                                        <w:fldChar w:fldCharType="end"/>
                                      </w:r>
                                    </w:p>
                                  </w:sdtContent>
                                </w:sdt>
                              </w:sdtContent>
                            </w:sdt>
                          </w:txbxContent>
                        </wps:txbx>
                        <wps:bodyPr rot="0" vert="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DC8E433" id="Rectangle 25" o:spid="_x0000_s1027" style="position:absolute;left:0;text-align:left;margin-left:0;margin-top:0;width:60pt;height:70.5pt;z-index:251660288;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" o:allowincell="f" stroked="f">
                  <v:textbox style="layout-flow:vertical">
                    <w:txbxContent>
                      <w:sdt>
                        <w:sdtPr>
                          <w:rPr>
                            <w:rFonts w:eastAsiaTheme="majorEastAsia" w:cs="Times New Roman"/>
                            <w:szCs w:val="24"/>
                          </w:rPr>
                          <w:id w:val="-1187289997"/>
                          <w:docPartObj>
                            <w:docPartGallery w:val="Page Numbers (Margins)"/>
                            <w:docPartUnique/>
                          </w:docPartObj>
                        </w:sdtPr>
                        <w:sdtContent>
                          <w:sdt>
                            <w:sdtPr>
                              <w:rPr>
                                <w:rFonts w:eastAsiaTheme="majorEastAsia" w:cs="Times New Roman"/>
                                <w:szCs w:val="24"/>
                              </w:rPr>
                              <w:id w:val="-565415673"/>
                              <w:docPartObj>
                                <w:docPartGallery w:val="Page Numbers (Margins)"/>
                                <w:docPartUnique/>
                              </w:docPartObj>
                            </w:sdtPr>
                            <w:sdtContent>
                              <w:p w14:paraId="4F2903D7" w14:textId="77777777" w:rsidR="00D05001" w:rsidRPr="002A4A98" w:rsidRDefault="00000000" w:rsidP="00BE0270">
                                <w:pPr>
                                  <w:rPr>
                                    <w:rFonts w:eastAsiaTheme="majorEastAsia" w:cs="Times New Roman"/>
                                    <w:szCs w:val="24"/>
                                  </w:rPr>
                                </w:pPr>
                                <w:r w:rsidRPr="002A4A98">
                                  <w:rPr>
                                    <w:rFonts w:eastAsiaTheme="minorEastAsia" w:cs="Times New Roman"/>
                                    <w:szCs w:val="24"/>
                                  </w:rPr>
                                  <w:fldChar w:fldCharType="begin"/>
                                </w:r>
                                <w:r w:rsidRPr="002A4A98">
                                  <w:rPr>
                                    <w:rFonts w:cs="Times New Roman"/>
                                    <w:szCs w:val="24"/>
                                  </w:rPr>
                                  <w:instrText xml:space="preserve"> PAGE   \* MERGEFORMAT </w:instrText>
                                </w:r>
                                <w:r w:rsidRPr="002A4A98">
                                  <w:rPr>
                                    <w:rFonts w:eastAsiaTheme="minorEastAsia" w:cs="Times New Roman"/>
                                    <w:szCs w:val="24"/>
                                  </w:rPr>
                                  <w:fldChar w:fldCharType="separate"/>
                                </w:r>
                                <w:r w:rsidRPr="002A4A98">
                                  <w:rPr>
                                    <w:rFonts w:eastAsiaTheme="majorEastAsia" w:cs="Times New Roman"/>
                                    <w:noProof/>
                                    <w:szCs w:val="24"/>
                                  </w:rPr>
                                  <w:t>2</w:t>
                                </w:r>
                                <w:r w:rsidRPr="002A4A98">
                                  <w:rPr>
                                    <w:rFonts w:eastAsiaTheme="majorEastAsia" w:cs="Times New Roman"/>
                                    <w:noProof/>
                                    <w:szCs w:val="24"/>
                                  </w:rPr>
                                  <w:fldChar w:fldCharType="end"/>
                                </w:r>
                              </w:p>
                            </w:sdtContent>
                          </w:sdt>
                        </w:sdtContent>
                      </w:sdt>
                    </w:txbxContent>
                  </v:textbox>
                  <w10:wrap anchorx="margin" anchory="page"/>
                </v:rect>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213480"/>
      <w:docPartObj>
        <w:docPartGallery w:val="Page Numbers (Margins)"/>
        <w:docPartUnique/>
      </w:docPartObj>
    </w:sdtPr>
    <w:sdtContent>
      <w:p w14:paraId="23F74832" w14:textId="77777777" w:rsidR="00000000" w:rsidRDefault="002E6376">
        <w:pPr>
          <w:pStyle w:val="Header"/>
        </w:pPr>
        <w:r>
          <w:rPr>
            <w:noProof/>
          </w:rPr>
          <mc:AlternateContent>
            <mc:Choice Requires="wps">
              <w:drawing>
                <wp:anchor distT="0" distB="0" distL="114300" distR="114300" simplePos="0" relativeHeight="251659264" behindDoc="0" locked="0" layoutInCell="0" allowOverlap="1" wp14:anchorId="21011067" wp14:editId="40DF14FD">
                  <wp:simplePos x="0" y="0"/>
                  <wp:positionH relativeFrom="leftMargin">
                    <wp:align>center</wp:align>
                  </wp:positionH>
                  <wp:positionV relativeFrom="page">
                    <wp:align>center</wp:align>
                  </wp:positionV>
                  <wp:extent cx="762000" cy="89535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D3B2F" w14:textId="77777777" w:rsidR="00000000" w:rsidRPr="00AD4B8A" w:rsidRDefault="00000000">
                              <w:pPr>
                                <w:jc w:val="center"/>
                                <w:rPr>
                                  <w:rFonts w:eastAsiaTheme="majorEastAsia" w:cs="Times New Roman"/>
                                  <w:szCs w:val="24"/>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11067" id="Rectangle 9" o:spid="_x0000_s1028"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" o:allowincell="f" stroked="f">
                  <v:textbox style="layout-flow:vertical">
                    <w:txbxContent>
                      <w:p w14:paraId="597D3B2F" w14:textId="77777777" w:rsidR="005D123B" w:rsidRPr="00AD4B8A" w:rsidRDefault="00000000">
                        <w:pPr>
                          <w:jc w:val="center"/>
                          <w:rPr>
                            <w:rFonts w:eastAsiaTheme="majorEastAsia" w:cs="Times New Roman"/>
                            <w:szCs w:val="24"/>
                          </w:rPr>
                        </w:pPr>
                      </w:p>
                    </w:txbxContent>
                  </v:textbox>
                  <w10:wrap anchorx="margin" anchory="page"/>
                </v:rec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539070"/>
      <w:docPartObj>
        <w:docPartGallery w:val="Page Numbers (Margins)"/>
        <w:docPartUnique/>
      </w:docPartObj>
    </w:sdtPr>
    <w:sdtContent>
      <w:p w14:paraId="6EF5087C" w14:textId="77777777" w:rsidR="00000000" w:rsidRDefault="002E6376">
        <w:pPr>
          <w:pStyle w:val="Header"/>
        </w:pPr>
        <w:r w:rsidRPr="00C4652C">
          <w:rPr>
            <w:rFonts w:eastAsiaTheme="majorEastAsia" w:cs="Times New Roman"/>
            <w:noProof/>
            <w:szCs w:val="24"/>
          </w:rPr>
          <mc:AlternateContent>
            <mc:Choice Requires="wps">
              <w:drawing>
                <wp:anchor distT="0" distB="0" distL="114300" distR="114300" simplePos="0" relativeHeight="251661312" behindDoc="0" locked="0" layoutInCell="0" allowOverlap="1" wp14:anchorId="4934F205" wp14:editId="0F3587EE">
                  <wp:simplePos x="0" y="0"/>
                  <wp:positionH relativeFrom="leftMargin">
                    <wp:align>center</wp:align>
                  </wp:positionH>
                  <wp:positionV relativeFrom="page">
                    <wp:align>center</wp:align>
                  </wp:positionV>
                  <wp:extent cx="762000" cy="89535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cs="Times New Roman"/>
                                  <w:szCs w:val="24"/>
                                </w:rPr>
                                <w:id w:val="1625121006"/>
                                <w:docPartObj>
                                  <w:docPartGallery w:val="Page Numbers (Margins)"/>
                                  <w:docPartUnique/>
                                </w:docPartObj>
                              </w:sdtPr>
                              <w:sdtContent>
                                <w:sdt>
                                  <w:sdtPr>
                                    <w:rPr>
                                      <w:rFonts w:eastAsiaTheme="majorEastAsia" w:cs="Times New Roman"/>
                                      <w:szCs w:val="24"/>
                                    </w:rPr>
                                    <w:id w:val="-276959664"/>
                                    <w:docPartObj>
                                      <w:docPartGallery w:val="Page Numbers (Margins)"/>
                                      <w:docPartUnique/>
                                    </w:docPartObj>
                                  </w:sdtPr>
                                  <w:sdtContent>
                                    <w:p w14:paraId="24856E44" w14:textId="77777777" w:rsidR="00000000" w:rsidRPr="00C4652C" w:rsidRDefault="002E6376">
                                      <w:pPr>
                                        <w:jc w:val="center"/>
                                        <w:rPr>
                                          <w:rFonts w:eastAsiaTheme="majorEastAsia" w:cs="Times New Roman"/>
                                          <w:szCs w:val="24"/>
                                        </w:rPr>
                                      </w:pPr>
                                      <w:r w:rsidRPr="00C4652C">
                                        <w:rPr>
                                          <w:rFonts w:eastAsiaTheme="minorEastAsia" w:cs="Times New Roman"/>
                                          <w:szCs w:val="24"/>
                                        </w:rPr>
                                        <w:fldChar w:fldCharType="begin"/>
                                      </w:r>
                                      <w:r w:rsidRPr="00C4652C">
                                        <w:rPr>
                                          <w:rFonts w:cs="Times New Roman"/>
                                          <w:szCs w:val="24"/>
                                        </w:rPr>
                                        <w:instrText xml:space="preserve"> PAGE   \* MERGEFORMAT </w:instrText>
                                      </w:r>
                                      <w:r w:rsidRPr="00C4652C">
                                        <w:rPr>
                                          <w:rFonts w:eastAsiaTheme="minorEastAsia" w:cs="Times New Roman"/>
                                          <w:szCs w:val="24"/>
                                        </w:rPr>
                                        <w:fldChar w:fldCharType="separate"/>
                                      </w:r>
                                      <w:r w:rsidRPr="00C4652C">
                                        <w:rPr>
                                          <w:rFonts w:eastAsiaTheme="majorEastAsia" w:cs="Times New Roman"/>
                                          <w:noProof/>
                                          <w:szCs w:val="24"/>
                                        </w:rPr>
                                        <w:t>2</w:t>
                                      </w:r>
                                      <w:r w:rsidRPr="00C4652C">
                                        <w:rPr>
                                          <w:rFonts w:eastAsiaTheme="majorEastAsia" w:cs="Times New Roman"/>
                                          <w:noProof/>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4F205" id="Rectangle 30" o:spid="_x0000_s1029" style="position:absolute;left:0;text-align:left;margin-left:0;margin-top:0;width:60pt;height:70.5pt;z-index:251661312;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" o:allowincell="f" stroked="f">
                  <v:textbox style="layout-flow:vertical">
                    <w:txbxContent>
                      <w:sdt>
                        <w:sdtPr>
                          <w:rPr>
                            <w:rFonts w:eastAsiaTheme="majorEastAsia" w:cs="Times New Roman"/>
                            <w:szCs w:val="24"/>
                          </w:rPr>
                          <w:id w:val="1625121006"/>
                          <w:docPartObj>
                            <w:docPartGallery w:val="Page Numbers (Margins)"/>
                            <w:docPartUnique/>
                          </w:docPartObj>
                        </w:sdtPr>
                        <w:sdtContent>
                          <w:sdt>
                            <w:sdtPr>
                              <w:rPr>
                                <w:rFonts w:eastAsiaTheme="majorEastAsia" w:cs="Times New Roman"/>
                                <w:szCs w:val="24"/>
                              </w:rPr>
                              <w:id w:val="-276959664"/>
                              <w:docPartObj>
                                <w:docPartGallery w:val="Page Numbers (Margins)"/>
                                <w:docPartUnique/>
                              </w:docPartObj>
                            </w:sdtPr>
                            <w:sdtContent>
                              <w:p w14:paraId="24856E44" w14:textId="77777777" w:rsidR="00C4652C" w:rsidRPr="00C4652C" w:rsidRDefault="00000000">
                                <w:pPr>
                                  <w:jc w:val="center"/>
                                  <w:rPr>
                                    <w:rFonts w:eastAsiaTheme="majorEastAsia" w:cs="Times New Roman"/>
                                    <w:szCs w:val="24"/>
                                  </w:rPr>
                                </w:pPr>
                                <w:r w:rsidRPr="00C4652C">
                                  <w:rPr>
                                    <w:rFonts w:eastAsiaTheme="minorEastAsia" w:cs="Times New Roman"/>
                                    <w:szCs w:val="24"/>
                                  </w:rPr>
                                  <w:fldChar w:fldCharType="begin"/>
                                </w:r>
                                <w:r w:rsidRPr="00C4652C">
                                  <w:rPr>
                                    <w:rFonts w:cs="Times New Roman"/>
                                    <w:szCs w:val="24"/>
                                  </w:rPr>
                                  <w:instrText xml:space="preserve"> PAGE   \* MERGEFORMAT </w:instrText>
                                </w:r>
                                <w:r w:rsidRPr="00C4652C">
                                  <w:rPr>
                                    <w:rFonts w:eastAsiaTheme="minorEastAsia" w:cs="Times New Roman"/>
                                    <w:szCs w:val="24"/>
                                  </w:rPr>
                                  <w:fldChar w:fldCharType="separate"/>
                                </w:r>
                                <w:r w:rsidRPr="00C4652C">
                                  <w:rPr>
                                    <w:rFonts w:eastAsiaTheme="majorEastAsia" w:cs="Times New Roman"/>
                                    <w:noProof/>
                                    <w:szCs w:val="24"/>
                                  </w:rPr>
                                  <w:t>2</w:t>
                                </w:r>
                                <w:r w:rsidRPr="00C4652C">
                                  <w:rPr>
                                    <w:rFonts w:eastAsiaTheme="majorEastAsia" w:cs="Times New Roman"/>
                                    <w:noProof/>
                                    <w:szCs w:val="24"/>
                                  </w:rPr>
                                  <w:fldChar w:fldCharType="end"/>
                                </w:r>
                              </w:p>
                            </w:sdtContent>
                          </w:sdt>
                        </w:sdtContent>
                      </w:sdt>
                    </w:txbxContent>
                  </v:textbox>
                  <w10:wrap anchorx="margin" anchory="page"/>
                </v:rect>
              </w:pict>
            </mc:Fallback>
          </mc:AlternateConten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530518"/>
      <w:docPartObj>
        <w:docPartGallery w:val="Page Numbers (Margins)"/>
        <w:docPartUnique/>
      </w:docPartObj>
    </w:sdtPr>
    <w:sdtContent>
      <w:p w14:paraId="37479650" w14:textId="77777777" w:rsidR="00000000" w:rsidRDefault="002E6376">
        <w:pPr>
          <w:pStyle w:val="Header"/>
        </w:pPr>
        <w:r w:rsidRPr="00C4652C">
          <w:rPr>
            <w:rFonts w:eastAsiaTheme="majorEastAsia" w:cs="Times New Roman"/>
            <w:noProof/>
            <w:szCs w:val="24"/>
          </w:rPr>
          <mc:AlternateContent>
            <mc:Choice Requires="wps">
              <w:drawing>
                <wp:anchor distT="0" distB="0" distL="114300" distR="114300" simplePos="0" relativeHeight="251663360" behindDoc="0" locked="0" layoutInCell="0" allowOverlap="1" wp14:anchorId="13AC6E56" wp14:editId="5911878C">
                  <wp:simplePos x="0" y="0"/>
                  <wp:positionH relativeFrom="leftMargin">
                    <wp:align>center</wp:align>
                  </wp:positionH>
                  <wp:positionV relativeFrom="page">
                    <wp:align>center</wp:align>
                  </wp:positionV>
                  <wp:extent cx="762000" cy="895350"/>
                  <wp:effectExtent l="0" t="0" r="0" b="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721A29" w14:textId="77777777" w:rsidR="00000000" w:rsidRPr="00C4652C" w:rsidRDefault="00000000">
                              <w:pPr>
                                <w:jc w:val="center"/>
                                <w:rPr>
                                  <w:rFonts w:eastAsiaTheme="majorEastAsia" w:cs="Times New Roman"/>
                                  <w:szCs w:val="24"/>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C6E56" id="Rectangle 42" o:spid="_x0000_s1030" style="position:absolute;left:0;text-align:left;margin-left:0;margin-top:0;width:60pt;height:70.5pt;z-index:251663360;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" o:allowincell="f" stroked="f">
                  <v:textbox style="layout-flow:vertical">
                    <w:txbxContent>
                      <w:p w14:paraId="1A721A29" w14:textId="77777777" w:rsidR="00B33A6C" w:rsidRPr="00C4652C" w:rsidRDefault="00000000">
                        <w:pPr>
                          <w:jc w:val="center"/>
                          <w:rPr>
                            <w:rFonts w:eastAsiaTheme="majorEastAsia" w:cs="Times New Roman"/>
                            <w:szCs w:val="24"/>
                          </w:rPr>
                        </w:pPr>
                      </w:p>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3B0"/>
    <w:multiLevelType w:val="hybridMultilevel"/>
    <w:tmpl w:val="5670A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D0574"/>
    <w:multiLevelType w:val="hybridMultilevel"/>
    <w:tmpl w:val="4A32DCE6"/>
    <w:lvl w:ilvl="0" w:tplc="E48A3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D5389F"/>
    <w:multiLevelType w:val="hybridMultilevel"/>
    <w:tmpl w:val="4CF82000"/>
    <w:lvl w:ilvl="0" w:tplc="55F86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2A1815"/>
    <w:multiLevelType w:val="hybridMultilevel"/>
    <w:tmpl w:val="41501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F09EE"/>
    <w:multiLevelType w:val="hybridMultilevel"/>
    <w:tmpl w:val="0DCC915A"/>
    <w:lvl w:ilvl="0" w:tplc="244832C4">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F241D5"/>
    <w:multiLevelType w:val="hybridMultilevel"/>
    <w:tmpl w:val="358EE306"/>
    <w:lvl w:ilvl="0" w:tplc="6058657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47745E"/>
    <w:multiLevelType w:val="hybridMultilevel"/>
    <w:tmpl w:val="A7EC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461E60"/>
    <w:multiLevelType w:val="hybridMultilevel"/>
    <w:tmpl w:val="F66E8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D33AED"/>
    <w:multiLevelType w:val="hybridMultilevel"/>
    <w:tmpl w:val="FBE89D04"/>
    <w:lvl w:ilvl="0" w:tplc="49EEC3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2D4C77"/>
    <w:multiLevelType w:val="hybridMultilevel"/>
    <w:tmpl w:val="3AA671B2"/>
    <w:lvl w:ilvl="0" w:tplc="EE3AC7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3E7508"/>
    <w:multiLevelType w:val="hybridMultilevel"/>
    <w:tmpl w:val="986CEBEE"/>
    <w:lvl w:ilvl="0" w:tplc="6882A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54E1081"/>
    <w:multiLevelType w:val="hybridMultilevel"/>
    <w:tmpl w:val="8E585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21674552">
    <w:abstractNumId w:val="9"/>
  </w:num>
  <w:num w:numId="2" w16cid:durableId="1430468156">
    <w:abstractNumId w:val="0"/>
  </w:num>
  <w:num w:numId="3" w16cid:durableId="1251236394">
    <w:abstractNumId w:val="8"/>
  </w:num>
  <w:num w:numId="4" w16cid:durableId="1440835017">
    <w:abstractNumId w:val="6"/>
  </w:num>
  <w:num w:numId="5" w16cid:durableId="356930644">
    <w:abstractNumId w:val="5"/>
  </w:num>
  <w:num w:numId="6" w16cid:durableId="1784495025">
    <w:abstractNumId w:val="7"/>
  </w:num>
  <w:num w:numId="7" w16cid:durableId="1128284974">
    <w:abstractNumId w:val="2"/>
  </w:num>
  <w:num w:numId="8" w16cid:durableId="218633300">
    <w:abstractNumId w:val="10"/>
  </w:num>
  <w:num w:numId="9" w16cid:durableId="232545476">
    <w:abstractNumId w:val="1"/>
  </w:num>
  <w:num w:numId="10" w16cid:durableId="544562696">
    <w:abstractNumId w:val="11"/>
  </w:num>
  <w:num w:numId="11" w16cid:durableId="741605399">
    <w:abstractNumId w:val="3"/>
  </w:num>
  <w:num w:numId="12" w16cid:durableId="72353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E2"/>
    <w:rsid w:val="00034693"/>
    <w:rsid w:val="00085A83"/>
    <w:rsid w:val="00125294"/>
    <w:rsid w:val="001D7F48"/>
    <w:rsid w:val="00290DC3"/>
    <w:rsid w:val="002E6376"/>
    <w:rsid w:val="005157DF"/>
    <w:rsid w:val="006072D1"/>
    <w:rsid w:val="00693CE2"/>
    <w:rsid w:val="006A2A9D"/>
    <w:rsid w:val="009C02AF"/>
    <w:rsid w:val="00A9299B"/>
    <w:rsid w:val="00C63574"/>
    <w:rsid w:val="00DC466D"/>
    <w:rsid w:val="00ED3139"/>
    <w:rsid w:val="00EE6697"/>
    <w:rsid w:val="00FD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7B999"/>
  <w15:chartTrackingRefBased/>
  <w15:docId w15:val="{A0E314A0-F2C6-4B4E-A0FB-8BA720C4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E2"/>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693CE2"/>
    <w:pPr>
      <w:keepNext/>
      <w:keepLines/>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3CE2"/>
    <w:pPr>
      <w:keepNext/>
      <w:keepLines/>
      <w:ind w:firstLine="0"/>
      <w:outlineLvl w:val="1"/>
    </w:pPr>
    <w:rPr>
      <w:rFonts w:eastAsiaTheme="majorEastAsia" w:cstheme="majorBidi"/>
      <w:i/>
      <w:szCs w:val="26"/>
    </w:rPr>
  </w:style>
  <w:style w:type="paragraph" w:styleId="Heading3">
    <w:name w:val="heading 3"/>
    <w:basedOn w:val="Normal"/>
    <w:next w:val="Normal"/>
    <w:link w:val="Heading3Char"/>
    <w:uiPriority w:val="9"/>
    <w:semiHidden/>
    <w:unhideWhenUsed/>
    <w:qFormat/>
    <w:rsid w:val="00693CE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E2"/>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693CE2"/>
    <w:rPr>
      <w:rFonts w:ascii="Times New Roman" w:eastAsiaTheme="majorEastAsia" w:hAnsi="Times New Roman" w:cstheme="majorBidi"/>
      <w:i/>
      <w:sz w:val="24"/>
      <w:szCs w:val="26"/>
    </w:rPr>
  </w:style>
  <w:style w:type="character" w:customStyle="1" w:styleId="Heading3Char">
    <w:name w:val="Heading 3 Char"/>
    <w:basedOn w:val="DefaultParagraphFont"/>
    <w:link w:val="Heading3"/>
    <w:uiPriority w:val="9"/>
    <w:semiHidden/>
    <w:rsid w:val="00693CE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93CE2"/>
    <w:pPr>
      <w:tabs>
        <w:tab w:val="center" w:pos="4680"/>
        <w:tab w:val="right" w:pos="9360"/>
      </w:tabs>
      <w:spacing w:line="240" w:lineRule="auto"/>
    </w:pPr>
  </w:style>
  <w:style w:type="character" w:customStyle="1" w:styleId="HeaderChar">
    <w:name w:val="Header Char"/>
    <w:basedOn w:val="DefaultParagraphFont"/>
    <w:link w:val="Header"/>
    <w:uiPriority w:val="99"/>
    <w:rsid w:val="00693CE2"/>
    <w:rPr>
      <w:rFonts w:ascii="Times New Roman" w:hAnsi="Times New Roman"/>
      <w:sz w:val="24"/>
    </w:rPr>
  </w:style>
  <w:style w:type="paragraph" w:styleId="Footer">
    <w:name w:val="footer"/>
    <w:basedOn w:val="Normal"/>
    <w:link w:val="FooterChar"/>
    <w:uiPriority w:val="99"/>
    <w:unhideWhenUsed/>
    <w:rsid w:val="00693CE2"/>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693CE2"/>
    <w:rPr>
      <w:rFonts w:ascii="Times New Roman" w:hAnsi="Times New Roman"/>
      <w:sz w:val="24"/>
    </w:rPr>
  </w:style>
  <w:style w:type="paragraph" w:styleId="ListParagraph">
    <w:name w:val="List Paragraph"/>
    <w:basedOn w:val="Normal"/>
    <w:uiPriority w:val="34"/>
    <w:qFormat/>
    <w:rsid w:val="00693CE2"/>
    <w:pPr>
      <w:ind w:left="720"/>
      <w:contextualSpacing/>
    </w:pPr>
  </w:style>
  <w:style w:type="character" w:styleId="Hyperlink">
    <w:name w:val="Hyperlink"/>
    <w:basedOn w:val="DefaultParagraphFont"/>
    <w:uiPriority w:val="99"/>
    <w:unhideWhenUsed/>
    <w:rsid w:val="00693CE2"/>
    <w:rPr>
      <w:color w:val="0563C1"/>
      <w:u w:val="single"/>
    </w:rPr>
  </w:style>
  <w:style w:type="character" w:styleId="FollowedHyperlink">
    <w:name w:val="FollowedHyperlink"/>
    <w:basedOn w:val="DefaultParagraphFont"/>
    <w:uiPriority w:val="99"/>
    <w:semiHidden/>
    <w:unhideWhenUsed/>
    <w:rsid w:val="00693CE2"/>
    <w:rPr>
      <w:color w:val="954F72" w:themeColor="followedHyperlink"/>
      <w:u w:val="single"/>
    </w:rPr>
  </w:style>
  <w:style w:type="paragraph" w:styleId="BalloonText">
    <w:name w:val="Balloon Text"/>
    <w:basedOn w:val="Normal"/>
    <w:link w:val="BalloonTextChar"/>
    <w:uiPriority w:val="99"/>
    <w:semiHidden/>
    <w:unhideWhenUsed/>
    <w:rsid w:val="00693CE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3CE2"/>
    <w:rPr>
      <w:rFonts w:ascii="Segoe UI" w:hAnsi="Segoe UI" w:cs="Segoe UI"/>
      <w:sz w:val="18"/>
      <w:szCs w:val="18"/>
    </w:rPr>
  </w:style>
  <w:style w:type="paragraph" w:styleId="Revision">
    <w:name w:val="Revision"/>
    <w:hidden/>
    <w:uiPriority w:val="99"/>
    <w:semiHidden/>
    <w:rsid w:val="00693CE2"/>
    <w:pPr>
      <w:spacing w:after="0" w:line="240" w:lineRule="auto"/>
    </w:pPr>
  </w:style>
  <w:style w:type="character" w:styleId="CommentReference">
    <w:name w:val="annotation reference"/>
    <w:basedOn w:val="DefaultParagraphFont"/>
    <w:uiPriority w:val="99"/>
    <w:semiHidden/>
    <w:unhideWhenUsed/>
    <w:rsid w:val="00693CE2"/>
    <w:rPr>
      <w:sz w:val="16"/>
      <w:szCs w:val="16"/>
    </w:rPr>
  </w:style>
  <w:style w:type="paragraph" w:styleId="CommentText">
    <w:name w:val="annotation text"/>
    <w:basedOn w:val="Normal"/>
    <w:link w:val="CommentTextChar"/>
    <w:uiPriority w:val="99"/>
    <w:unhideWhenUsed/>
    <w:rsid w:val="00693CE2"/>
    <w:pPr>
      <w:spacing w:line="240" w:lineRule="auto"/>
    </w:pPr>
    <w:rPr>
      <w:sz w:val="20"/>
      <w:szCs w:val="20"/>
    </w:rPr>
  </w:style>
  <w:style w:type="character" w:customStyle="1" w:styleId="CommentTextChar">
    <w:name w:val="Comment Text Char"/>
    <w:basedOn w:val="DefaultParagraphFont"/>
    <w:link w:val="CommentText"/>
    <w:uiPriority w:val="99"/>
    <w:rsid w:val="00693C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93CE2"/>
    <w:rPr>
      <w:b/>
      <w:bCs/>
    </w:rPr>
  </w:style>
  <w:style w:type="character" w:customStyle="1" w:styleId="CommentSubjectChar">
    <w:name w:val="Comment Subject Char"/>
    <w:basedOn w:val="CommentTextChar"/>
    <w:link w:val="CommentSubject"/>
    <w:uiPriority w:val="99"/>
    <w:semiHidden/>
    <w:rsid w:val="00693CE2"/>
    <w:rPr>
      <w:rFonts w:ascii="Times New Roman" w:hAnsi="Times New Roman"/>
      <w:b/>
      <w:bCs/>
      <w:sz w:val="20"/>
      <w:szCs w:val="20"/>
    </w:rPr>
  </w:style>
  <w:style w:type="paragraph" w:styleId="Title">
    <w:name w:val="Title"/>
    <w:basedOn w:val="Normal"/>
    <w:next w:val="Normal"/>
    <w:link w:val="TitleChar"/>
    <w:uiPriority w:val="10"/>
    <w:qFormat/>
    <w:rsid w:val="00693CE2"/>
    <w:pPr>
      <w:ind w:firstLine="0"/>
      <w:contextualSpacing/>
      <w:jc w:val="center"/>
    </w:pPr>
    <w:rPr>
      <w:rFonts w:cs="Times New Roman"/>
      <w:szCs w:val="24"/>
    </w:rPr>
  </w:style>
  <w:style w:type="character" w:customStyle="1" w:styleId="TitleChar">
    <w:name w:val="Title Char"/>
    <w:basedOn w:val="DefaultParagraphFont"/>
    <w:link w:val="Title"/>
    <w:uiPriority w:val="10"/>
    <w:rsid w:val="00693CE2"/>
    <w:rPr>
      <w:rFonts w:ascii="Times New Roman" w:hAnsi="Times New Roman" w:cs="Times New Roman"/>
      <w:sz w:val="24"/>
      <w:szCs w:val="24"/>
    </w:rPr>
  </w:style>
  <w:style w:type="paragraph" w:customStyle="1" w:styleId="FigureCaption">
    <w:name w:val="Figure Caption"/>
    <w:basedOn w:val="Normal"/>
    <w:qFormat/>
    <w:rsid w:val="00693CE2"/>
    <w:pPr>
      <w:spacing w:line="240" w:lineRule="auto"/>
      <w:ind w:firstLine="0"/>
      <w:contextualSpacing/>
    </w:pPr>
    <w:rPr>
      <w:rFonts w:cs="Times New Roman"/>
      <w:szCs w:val="24"/>
    </w:rPr>
  </w:style>
  <w:style w:type="paragraph" w:customStyle="1" w:styleId="Tabletitle">
    <w:name w:val="Table title"/>
    <w:basedOn w:val="Normal"/>
    <w:autoRedefine/>
    <w:qFormat/>
    <w:rsid w:val="00693CE2"/>
    <w:pPr>
      <w:spacing w:after="120" w:line="240" w:lineRule="auto"/>
      <w:ind w:firstLine="0"/>
      <w:contextualSpacing/>
    </w:pPr>
    <w:rPr>
      <w:rFonts w:cs="Times New Roman"/>
      <w:bCs/>
      <w:iCs/>
      <w:szCs w:val="24"/>
    </w:rPr>
  </w:style>
  <w:style w:type="table" w:styleId="TableGrid">
    <w:name w:val="Table Grid"/>
    <w:basedOn w:val="TableNormal"/>
    <w:rsid w:val="00693CE2"/>
    <w:pPr>
      <w:spacing w:after="0" w:line="240" w:lineRule="auto"/>
    </w:pPr>
    <w:rPr>
      <w:rFonts w:eastAsia="Times New Roman"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uation">
    <w:name w:val="Equation"/>
    <w:basedOn w:val="BodyText"/>
    <w:uiPriority w:val="2"/>
    <w:qFormat/>
    <w:rsid w:val="00693CE2"/>
    <w:pPr>
      <w:spacing w:before="240" w:after="0" w:line="240" w:lineRule="auto"/>
    </w:pPr>
    <w:rPr>
      <w:rFonts w:eastAsia="Times New Roman" w:cs="Times New Roman"/>
    </w:rPr>
  </w:style>
  <w:style w:type="paragraph" w:styleId="BodyText">
    <w:name w:val="Body Text"/>
    <w:basedOn w:val="Normal"/>
    <w:link w:val="BodyTextChar"/>
    <w:uiPriority w:val="99"/>
    <w:semiHidden/>
    <w:unhideWhenUsed/>
    <w:rsid w:val="00693CE2"/>
    <w:pPr>
      <w:spacing w:after="120"/>
    </w:pPr>
  </w:style>
  <w:style w:type="character" w:customStyle="1" w:styleId="BodyTextChar">
    <w:name w:val="Body Text Char"/>
    <w:basedOn w:val="DefaultParagraphFont"/>
    <w:link w:val="BodyText"/>
    <w:uiPriority w:val="99"/>
    <w:semiHidden/>
    <w:rsid w:val="00693CE2"/>
    <w:rPr>
      <w:rFonts w:ascii="Times New Roman" w:hAnsi="Times New Roman"/>
      <w:sz w:val="24"/>
    </w:rPr>
  </w:style>
  <w:style w:type="table" w:customStyle="1" w:styleId="TableGrid1">
    <w:name w:val="Table Grid1"/>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te">
    <w:name w:val="Table note"/>
    <w:basedOn w:val="Normal"/>
    <w:autoRedefine/>
    <w:qFormat/>
    <w:rsid w:val="00693CE2"/>
    <w:pPr>
      <w:spacing w:before="120" w:line="240" w:lineRule="auto"/>
      <w:ind w:firstLine="0"/>
    </w:pPr>
    <w:rPr>
      <w:i/>
    </w:rPr>
  </w:style>
  <w:style w:type="table" w:customStyle="1" w:styleId="TableGrid4">
    <w:name w:val="Table Grid4"/>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693CE2"/>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693C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693CE2"/>
    <w:pPr>
      <w:spacing w:before="100" w:beforeAutospacing="1" w:after="100" w:afterAutospacing="1" w:line="240" w:lineRule="auto"/>
      <w:ind w:firstLine="0"/>
    </w:pPr>
    <w:rPr>
      <w:rFonts w:eastAsia="Times New Roman" w:cs="Times New Roman"/>
      <w:szCs w:val="24"/>
    </w:rPr>
  </w:style>
  <w:style w:type="table" w:customStyle="1" w:styleId="PlainTable21">
    <w:name w:val="Plain Table 21"/>
    <w:basedOn w:val="TableNormal"/>
    <w:next w:val="PlainTable2"/>
    <w:uiPriority w:val="42"/>
    <w:rsid w:val="00693CE2"/>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93C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ortraitpagenumber">
    <w:name w:val="Portrait page number"/>
    <w:basedOn w:val="Footer"/>
    <w:qFormat/>
    <w:rsid w:val="00693CE2"/>
    <w:pPr>
      <w:jc w:val="center"/>
    </w:pPr>
  </w:style>
  <w:style w:type="table" w:customStyle="1" w:styleId="TableGrid5">
    <w:name w:val="Table Grid5"/>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93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93CE2"/>
    <w:pPr>
      <w:tabs>
        <w:tab w:val="right" w:leader="dot" w:pos="9360"/>
      </w:tabs>
      <w:spacing w:after="240" w:line="240" w:lineRule="auto"/>
      <w:ind w:firstLine="0"/>
    </w:pPr>
  </w:style>
  <w:style w:type="paragraph" w:styleId="TableofFigures">
    <w:name w:val="table of figures"/>
    <w:basedOn w:val="Normal"/>
    <w:next w:val="Normal"/>
    <w:uiPriority w:val="99"/>
    <w:unhideWhenUsed/>
    <w:rsid w:val="00693CE2"/>
  </w:style>
  <w:style w:type="paragraph" w:styleId="TOC2">
    <w:name w:val="toc 2"/>
    <w:basedOn w:val="Normal"/>
    <w:next w:val="Normal"/>
    <w:autoRedefine/>
    <w:uiPriority w:val="39"/>
    <w:unhideWhenUsed/>
    <w:rsid w:val="00693C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FEE40-B840-443C-BDA6-112BB5D99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53417</Words>
  <Characters>304478</Characters>
  <Application>Microsoft Office Word</Application>
  <DocSecurity>0</DocSecurity>
  <Lines>2537</Lines>
  <Paragraphs>714</Paragraphs>
  <ScaleCrop>false</ScaleCrop>
  <Company/>
  <LinksUpToDate>false</LinksUpToDate>
  <CharactersWithSpaces>357181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Nims, Megan K</dc:creator>
  <cp:keywords/>
  <dc:description/>
  <cp:lastModifiedBy>Makhlouf, Ben</cp:lastModifiedBy>
  <cp:revision>2</cp:revision>
  <dcterms:created xsi:type="dcterms:W3CDTF">2025-12-16T20:04:00Z</dcterms:created>
  <dcterms:modified xsi:type="dcterms:W3CDTF">2025-12-16T20:04:00Z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157d0025-daea-4ad8-9a50-9f9255edfea4</vt:lpwstr>
  </property>
  <property fmtid="{D5CDD505-2E9C-101B-9397-08002B2CF9AE}" pid="3" name="Mendeley Document_1">
    <vt:lpwstr>True</vt:lpwstr>
  </property>
  <property fmtid="{D5CDD505-2E9C-101B-9397-08002B2CF9AE}" pid="4" name="Mendeley Citation Style_1">
    <vt:lpwstr>http://www.zotero.org/styles/journal-of-thermal-biology</vt:lpwstr>
  </property>
  <property fmtid="{D5CDD505-2E9C-101B-9397-08002B2CF9AE}" pid="5" name="Mendeley Unique User Id_1">
    <vt:lpwstr>8eae2dd6-dc7e-301a-8765-50336426c65c</vt:lpwstr>
  </property>
</Properties>
</file>