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t-Test</w:t>
      </w:r>
    </w:p>
    <w:p>
      <w:pPr>
        <w:pStyle w:val="Date"/>
      </w:pPr>
      <w:r>
        <w:t xml:space="preserve">12/02/2021</w:t>
      </w:r>
      <w:r>
        <w:t xml:space="preserve"> </w:t>
      </w:r>
      <w:r>
        <w:t xml:space="preserve">20:59</w:t>
      </w:r>
    </w:p>
    <w:bookmarkStart w:id="21" w:name="abstract"/>
    <w:p>
      <w:pPr>
        <w:pStyle w:val="Heading1"/>
      </w:pPr>
      <w:r>
        <w:t xml:space="preserve">Abstract</w:t>
      </w:r>
    </w:p>
    <w:p>
      <w:pPr>
        <w:pStyle w:val="FirstParagraph"/>
      </w:pPr>
      <w:r>
        <w:t xml:space="preserve">Outcome variable:</w:t>
      </w:r>
      <w:r>
        <w:t xml:space="preserve"> </w:t>
      </w:r>
      <w:r>
        <w:rPr>
          <w:i/>
        </w:rPr>
        <w:t xml:space="preserve">BodyFatPctg</w:t>
      </w:r>
      <w:r>
        <w:br/>
      </w:r>
      <w:r>
        <w:t xml:space="preserve">Predictor (grouping) variable:</w:t>
      </w:r>
      <w:r>
        <w:t xml:space="preserve"> </w:t>
      </w:r>
      <w:r>
        <w:rPr>
          <w:i/>
        </w:rPr>
        <w:t xml:space="preserve">Group</w:t>
      </w:r>
      <w:r>
        <w:br/>
      </w:r>
      <w:r>
        <w:t xml:space="preserve">Null difference in means:</w:t>
      </w:r>
      <w:r>
        <w:t xml:space="preserve"> </w:t>
      </w:r>
      <w:r>
        <w:rPr>
          <w:i/>
        </w:rPr>
        <w:t xml:space="preserve">0</w:t>
      </w:r>
      <w:r>
        <w:br/>
      </w:r>
      <w:r>
        <w:t xml:space="preserve">Alternative hypothesis:</w:t>
      </w:r>
      <w:r>
        <w:t xml:space="preserve"> </w:t>
      </w:r>
      <w:r>
        <w:rPr>
          <w:i/>
        </w:rPr>
        <w:t xml:space="preserve">two.sided</w:t>
      </w:r>
    </w:p>
    <w:p>
      <w:pPr>
        <w:pStyle w:val="BodyText"/>
      </w:pPr>
      <w:r>
        <w:t xml:space="preserve">A two-sample t-test is employed to check if the difference in means equals 0. According to the result, we can reject the null difference and get the conclusion, two.sided, at the significance level of 0.05.</w:t>
      </w:r>
    </w:p>
    <w:bookmarkStart w:id="20" w:name="two-sample-t-test"/>
    <w:p>
      <w:pPr>
        <w:pStyle w:val="Heading3"/>
      </w:pPr>
      <w:r>
        <w:t xml:space="preserve">Two-Sample t-Test</w:t>
      </w:r>
    </w:p>
    <w:p>
      <w:pPr>
        <w:pStyle w:val="FirstParagraph"/>
      </w:pPr>
      <w:r>
        <w:t xml:space="preserve">The two-sample t-test is used to determine if the means of two independent populations are equal under normal distributed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23</w:t>
            </w:r>
          </w:p>
        </w:tc>
        <w:tc>
          <w:p>
            <w:pPr>
              <w:pStyle w:val="Compact"/>
              <w:jc w:val="center"/>
            </w:pPr>
            <w:r>
              <w:t xml:space="preserve">0</w:t>
            </w:r>
          </w:p>
        </w:tc>
      </w:tr>
    </w:tbl>
    <w:p>
      <w:pPr>
        <w:pStyle w:val="BodyText"/>
      </w:pPr>
      <w:r>
        <w:t xml:space="preserve">Table 2 gives the descriptive statistics.</w:t>
      </w:r>
    </w:p>
    <w:p>
      <w:pPr>
        <w:pStyle w:val="BodyText"/>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rPr>
          <w:i/>
        </w:rPr>
        <w:t xml:space="preserve">Descriptive statistics.</w:t>
      </w:r>
    </w:p>
    <w:tbl>
      <w:tblPr>
        <w:tblStyle w:val="Table"/>
        <w:tblW w:type="pct" w:w="3263.888888888889"/>
        <w:tblLook w:firstRow="1" w:lastRow="0" w:firstColumn="0" w:lastColumn="0" w:noHBand="0" w:noVBand="0"/>
      </w:tblPr>
      <w:tblGrid>
        <w:gridCol w:w="1100"/>
        <w:gridCol w:w="550"/>
        <w:gridCol w:w="1100"/>
        <w:gridCol w:w="1760"/>
        <w:gridCol w:w="660"/>
      </w:tblGrid>
      <w:tr>
        <w:trPr>
          <w:cnfStyle w:firstRow="1"/>
        </w:trPr>
        <w:tc>
          <w:tcPr>
            <w:tcBorders>
              <w:bottom w:val="single"/>
            </w:tcBorders>
            <w:vAlign w:val="bottom"/>
          </w:tcPr>
          <w:p>
            <w:pPr>
              <w:pStyle w:val="Compact"/>
              <w:jc w:val="center"/>
            </w:pPr>
            <w:r>
              <w:br/>
            </w:r>
            <w:r>
              <w:t xml:space="preserve">Group</w:t>
            </w:r>
          </w:p>
        </w:tc>
        <w:tc>
          <w:tcPr>
            <w:tcBorders>
              <w:bottom w:val="single"/>
            </w:tcBorders>
            <w:vAlign w:val="bottom"/>
          </w:tcPr>
          <w:p>
            <w:pPr>
              <w:pStyle w:val="Compact"/>
              <w:jc w:val="center"/>
            </w:pPr>
            <w:r>
              <w:br/>
            </w:r>
            <w:r>
              <w:t xml:space="preserve">n</w:t>
            </w:r>
          </w:p>
        </w:tc>
        <w:tc>
          <w:tcPr>
            <w:tcBorders>
              <w:bottom w:val="single"/>
            </w:tcBorders>
            <w:vAlign w:val="bottom"/>
          </w:tcPr>
          <w:p>
            <w:pPr>
              <w:pStyle w:val="Compact"/>
              <w:jc w:val="center"/>
            </w:pPr>
            <w:r>
              <w:br/>
            </w:r>
            <w:r>
              <w:t xml:space="preserve">Percent</w:t>
            </w:r>
          </w:p>
        </w:tc>
        <w:tc>
          <w:tcPr>
            <w:tcBorders>
              <w:bottom w:val="single"/>
            </w:tcBorders>
            <w:vAlign w:val="bottom"/>
          </w:tcPr>
          <w:p>
            <w:pPr>
              <w:pStyle w:val="Compact"/>
              <w:jc w:val="center"/>
            </w:pPr>
            <w:r>
              <w:t xml:space="preserve">BodyFatPctg</w:t>
            </w:r>
            <w:r>
              <w:br/>
            </w:r>
            <w:r>
              <w:t xml:space="preserve">mean</w:t>
            </w:r>
          </w:p>
        </w:tc>
        <w:tc>
          <w:tcPr>
            <w:tcBorders>
              <w:bottom w:val="single"/>
            </w:tcBorders>
            <w:vAlign w:val="bottom"/>
          </w:tcPr>
          <w:p>
            <w:pPr>
              <w:pStyle w:val="Compact"/>
              <w:jc w:val="center"/>
            </w:pPr>
            <w:r>
              <w:br/>
            </w:r>
            <w:r>
              <w:t xml:space="preserve">sd</w:t>
            </w:r>
          </w:p>
        </w:tc>
      </w:tr>
      <w:tr>
        <w:tc>
          <w:p>
            <w:pPr>
              <w:pStyle w:val="Compact"/>
              <w:jc w:val="center"/>
            </w:pPr>
            <w:r>
              <w:rPr>
                <w:i/>
              </w:rPr>
              <w:t xml:space="preserve">Men</w:t>
            </w:r>
          </w:p>
        </w:tc>
        <w:tc>
          <w:p>
            <w:pPr>
              <w:pStyle w:val="Compact"/>
              <w:jc w:val="center"/>
            </w:pPr>
            <w:r>
              <w:t xml:space="preserve">13</w:t>
            </w:r>
          </w:p>
        </w:tc>
        <w:tc>
          <w:p>
            <w:pPr>
              <w:pStyle w:val="Compact"/>
              <w:jc w:val="center"/>
            </w:pPr>
            <w:r>
              <w:t xml:space="preserve">56.52</w:t>
            </w:r>
          </w:p>
        </w:tc>
        <w:tc>
          <w:p>
            <w:pPr>
              <w:pStyle w:val="Compact"/>
              <w:jc w:val="center"/>
            </w:pPr>
            <w:r>
              <w:t xml:space="preserve">14.9</w:t>
            </w:r>
          </w:p>
        </w:tc>
        <w:tc>
          <w:p>
            <w:pPr>
              <w:pStyle w:val="Compact"/>
              <w:jc w:val="center"/>
            </w:pPr>
            <w:r>
              <w:t xml:space="preserve">6.8</w:t>
            </w:r>
          </w:p>
        </w:tc>
      </w:tr>
      <w:tr>
        <w:tc>
          <w:p>
            <w:pPr>
              <w:pStyle w:val="Compact"/>
              <w:jc w:val="center"/>
            </w:pPr>
            <w:r>
              <w:rPr>
                <w:i/>
              </w:rPr>
              <w:t xml:space="preserve">Women</w:t>
            </w:r>
          </w:p>
        </w:tc>
        <w:tc>
          <w:p>
            <w:pPr>
              <w:pStyle w:val="Compact"/>
              <w:jc w:val="center"/>
            </w:pPr>
            <w:r>
              <w:t xml:space="preserve">10</w:t>
            </w:r>
          </w:p>
        </w:tc>
        <w:tc>
          <w:p>
            <w:pPr>
              <w:pStyle w:val="Compact"/>
              <w:jc w:val="center"/>
            </w:pPr>
            <w:r>
              <w:t xml:space="preserve">43.48</w:t>
            </w:r>
          </w:p>
        </w:tc>
        <w:tc>
          <w:p>
            <w:pPr>
              <w:pStyle w:val="Compact"/>
              <w:jc w:val="center"/>
            </w:pPr>
            <w:r>
              <w:t xml:space="preserve">22.3</w:t>
            </w:r>
          </w:p>
        </w:tc>
        <w:tc>
          <w:p>
            <w:pPr>
              <w:pStyle w:val="Compact"/>
              <w:jc w:val="center"/>
            </w:pPr>
            <w:r>
              <w:t xml:space="preserve">5.3</w:t>
            </w:r>
          </w:p>
        </w:tc>
      </w:tr>
      <w:tr>
        <w:tc>
          <w:p>
            <w:pPr>
              <w:pStyle w:val="Compact"/>
              <w:jc w:val="center"/>
            </w:pPr>
            <w:r>
              <w:rPr>
                <w:i/>
              </w:rPr>
              <w:t xml:space="preserve">All</w:t>
            </w:r>
          </w:p>
        </w:tc>
        <w:tc>
          <w:p>
            <w:pPr>
              <w:pStyle w:val="Compact"/>
              <w:jc w:val="center"/>
            </w:pPr>
            <w:r>
              <w:t xml:space="preserve">23</w:t>
            </w:r>
          </w:p>
        </w:tc>
        <w:tc>
          <w:p>
            <w:pPr>
              <w:pStyle w:val="Compact"/>
              <w:jc w:val="center"/>
            </w:pPr>
            <w:r>
              <w:t xml:space="preserve">100.00</w:t>
            </w:r>
          </w:p>
        </w:tc>
        <w:tc>
          <w:p>
            <w:pPr>
              <w:pStyle w:val="Compact"/>
              <w:jc w:val="center"/>
            </w:pPr>
            <w:r>
              <w:t xml:space="preserve">18.1</w:t>
            </w:r>
          </w:p>
        </w:tc>
        <w:tc>
          <w:p>
            <w:pPr>
              <w:pStyle w:val="Compact"/>
              <w:jc w:val="center"/>
            </w:pPr>
            <w:r>
              <w:t xml:space="preserve">7.1</w:t>
            </w:r>
          </w:p>
        </w:tc>
      </w:tr>
    </w:tbl>
    <w:p>
      <w:pPr>
        <w:pStyle w:val="BodyText"/>
      </w:pPr>
      <w:r>
        <w:t xml:space="preserve">The box plots for each group are given by</w:t>
      </w:r>
    </w:p>
    <w:p>
      <w:pPr>
        <w:pStyle w:val="CaptionedFigure"/>
      </w:pPr>
      <w:r>
        <w:drawing>
          <wp:inline>
            <wp:extent cx="4587290" cy="4587290"/>
            <wp:effectExtent b="0" l="0" r="0" t="0"/>
            <wp:docPr descr="\mathbf{Figure~1.} Box plot for each group."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each group.</w:t>
      </w:r>
    </w:p>
    <w:p>
      <w:pPr>
        <w:pStyle w:val="BodyText"/>
      </w:pPr>
      <w:r>
        <w:t xml:space="preserve">The box plot shows the shape of the distribution and its central value for each sample. In a box, the ends of the box are the upper and lower quartiles.</w:t>
      </w:r>
    </w:p>
    <w:bookmarkEnd w:id="23"/>
    <w:bookmarkStart w:id="26" w:name="results"/>
    <w:p>
      <w:pPr>
        <w:pStyle w:val="Heading1"/>
      </w:pPr>
      <w:r>
        <w:t xml:space="preserve">Results</w:t>
      </w:r>
    </w:p>
    <w:p>
      <w:pPr>
        <w:pStyle w:val="FirstParagraph"/>
      </w:pPr>
      <w:r>
        <w:t xml:space="preserve">The mean estimations are given along with their difference, and the 95% confidence interval of the difference in Table 3.</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Two groups data comparison.</w:t>
      </w:r>
    </w:p>
    <w:tbl>
      <w:tblPr>
        <w:tblStyle w:val="Table"/>
        <w:tblW w:type="pct" w:w="0.0"/>
        <w:tblLook w:firstRow="1" w:lastRow="0" w:firstColumn="0" w:lastColumn="0" w:noHBand="0" w:noVBand="0"/>
        <w:tblCaption w:val="\mathbf{Table~3.} Two groups data comparison."/>
      </w:tblPr>
      <w:tblGrid/>
      <w:tr>
        <w:trPr>
          <w:cnfStyle w:firstRow="1"/>
        </w:trPr>
        <w:tc>
          <w:tcPr>
            <w:tcBorders>
              <w:bottom w:val="single"/>
            </w:tcBorders>
            <w:vAlign w:val="bottom"/>
          </w:tcPr>
          <w:p>
            <w:pPr>
              <w:pStyle w:val="Compact"/>
              <w:jc w:val="center"/>
            </w:pPr>
            <w:r>
              <w:t xml:space="preserve">mean in group Men</w:t>
            </w:r>
          </w:p>
        </w:tc>
        <w:tc>
          <w:tcPr>
            <w:tcBorders>
              <w:bottom w:val="single"/>
            </w:tcBorders>
            <w:vAlign w:val="bottom"/>
          </w:tcPr>
          <w:p>
            <w:pPr>
              <w:pStyle w:val="Compact"/>
              <w:jc w:val="center"/>
            </w:pPr>
            <w:r>
              <w:t xml:space="preserve">mean in group Women</w:t>
            </w:r>
          </w:p>
        </w:tc>
        <w:tc>
          <w:tcPr>
            <w:tcBorders>
              <w:bottom w:val="single"/>
            </w:tcBorders>
            <w:vAlign w:val="bottom"/>
          </w:tcPr>
          <w:p>
            <w:pPr>
              <w:pStyle w:val="Compact"/>
              <w:jc w:val="center"/>
            </w:pPr>
            <w:r>
              <w:t xml:space="preserve">Difference</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pPr>
              <w:pStyle w:val="Compact"/>
              <w:jc w:val="center"/>
            </w:pPr>
            <w:r>
              <w:t xml:space="preserve">14.946</w:t>
            </w:r>
          </w:p>
        </w:tc>
        <w:tc>
          <w:p>
            <w:pPr>
              <w:pStyle w:val="Compact"/>
              <w:jc w:val="center"/>
            </w:pPr>
            <w:r>
              <w:t xml:space="preserve">22.29</w:t>
            </w:r>
          </w:p>
        </w:tc>
        <w:tc>
          <w:p>
            <w:pPr>
              <w:pStyle w:val="Compact"/>
              <w:jc w:val="center"/>
            </w:pPr>
            <w:r>
              <w:t xml:space="preserve">-7.344</w:t>
            </w:r>
          </w:p>
        </w:tc>
        <w:tc>
          <w:p>
            <w:pPr>
              <w:pStyle w:val="Compact"/>
              <w:jc w:val="center"/>
            </w:pPr>
            <w:r>
              <w:t xml:space="preserve">-12.798</w:t>
            </w:r>
          </w:p>
        </w:tc>
        <w:tc>
          <w:p>
            <w:pPr>
              <w:pStyle w:val="Compact"/>
              <w:jc w:val="center"/>
            </w:pPr>
            <w:r>
              <w:t xml:space="preserve">-1.889</w:t>
            </w:r>
          </w:p>
        </w:tc>
      </w:tr>
    </w:tbl>
    <w:p>
      <w:pPr>
        <w:pStyle w:val="BodyText"/>
      </w:pPr>
      <w:r>
        <w:t xml:space="preserve">To test the homogeneity of variances,</w:t>
      </w:r>
      <w:r>
        <w:t xml:space="preserve"> </w:t>
      </w:r>
      <w:r>
        <w:t xml:space="preserve">Bartlett’s test is employed</w:t>
      </w:r>
      <w:r>
        <w:t xml:space="preserve"> </w:t>
      </w:r>
      <w:r>
        <w:t xml:space="preserve">(Bartlett 1937)</w:t>
      </w:r>
      <w:r>
        <w:t xml:space="preserve">.</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Result of Bartlett test.</w:t>
      </w:r>
    </w:p>
    <w:tbl>
      <w:tblPr>
        <w:tblStyle w:val="Table"/>
        <w:tblW w:type="pct" w:w="0.0"/>
        <w:tblLook w:firstRow="1" w:lastRow="0" w:firstColumn="0" w:lastColumn="0" w:noHBand="0" w:noVBand="0"/>
        <w:tblCaption w:val="\mathbf{Table~4.} Result of Bartlett test."/>
      </w:tblPr>
      <w:tblGrid/>
      <w:tr>
        <w:trPr>
          <w:cnfStyle w:firstRow="1"/>
        </w:trPr>
        <w:tc>
          <w:tcPr>
            <w:tcBorders>
              <w:bottom w:val="single"/>
            </w:tcBorders>
            <w:vAlign w:val="bottom"/>
          </w:tcPr>
          <w:p>
            <w:pPr>
              <w:pStyle w:val="Compact"/>
              <w:jc w:val="center"/>
            </w:pPr>
            <w:r>
              <w:t xml:space="preserve">Bartlett’s K-squared</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0.601</w:t>
            </w:r>
          </w:p>
        </w:tc>
        <w:tc>
          <w:p>
            <w:pPr>
              <w:pStyle w:val="Compact"/>
              <w:jc w:val="center"/>
            </w:pPr>
            <w:r>
              <w:t xml:space="preserve">1</w:t>
            </w:r>
          </w:p>
        </w:tc>
        <w:tc>
          <w:p>
            <w:pPr>
              <w:pStyle w:val="Compact"/>
              <w:jc w:val="center"/>
            </w:pPr>
            <w:r>
              <w:t xml:space="preserve">0.438</w:t>
            </w:r>
          </w:p>
        </w:tc>
      </w:tr>
    </w:tbl>
    <w:p>
      <w:pPr>
        <w:pStyle w:val="BodyText"/>
      </w:pPr>
      <w:r>
        <w:t xml:space="preserve">Bartlett’s test is used to test if</w:t>
      </w:r>
      <w:r>
        <w:t xml:space="preserve"> </w:t>
      </w:r>
      <w:r>
        <w:rPr>
          <w:i/>
        </w:rPr>
        <w:t xml:space="preserve">k</w:t>
      </w:r>
      <w:r>
        <w:t xml:space="preserve"> </w:t>
      </w:r>
      <w:r>
        <w:t xml:space="preserve">samples are from populations with equal variances. The null hypothesis of Bartlett’s test is that the variances of all populations are the same. Thus, if the</w:t>
      </w:r>
      <w:r>
        <w:t xml:space="preserve"> </w:t>
      </w:r>
      <w:r>
        <w:rPr>
          <w:i/>
        </w:rPr>
        <w:t xml:space="preserve">p</w:t>
      </w:r>
      <w:r>
        <w:t xml:space="preserve">-value is less than the chosen significance level (typically 0.05), then the null hypothesis is rejected and there is evidence that at least two variances are different.</w:t>
      </w:r>
    </w:p>
    <w:p>
      <w:pPr>
        <w:pStyle w:val="BodyText"/>
      </w:pPr>
      <w:r>
        <w:t xml:space="preserve">In this case, Bartlett’s test</w:t>
      </w:r>
      <w:r>
        <w:t xml:space="preserve"> </w:t>
      </w:r>
      <w:r>
        <w:rPr>
          <w:i/>
        </w:rPr>
        <w:t xml:space="preserve">p</w:t>
      </w:r>
      <w:r>
        <w:t xml:space="preserve">-value is greater than 0.05, indicating that the variances in different groups are the same.</w:t>
      </w:r>
    </w:p>
    <w:p>
      <w:pPr>
        <w:pStyle w:val="BodyText"/>
      </w:pPr>
      <w:r>
        <w:t xml:space="preserve">Based on the above result,</w:t>
      </w:r>
      <w:r>
        <w:t xml:space="preserve"> </w:t>
      </w:r>
      <w:r>
        <w:t xml:space="preserve">a t-test with an option</w:t>
      </w:r>
      <w:r>
        <w:t xml:space="preserve"> </w:t>
      </w:r>
      <w:r>
        <w:t xml:space="preserve">“</w:t>
      </w:r>
      <w:r>
        <w:t xml:space="preserve">two.sided</w:t>
      </w:r>
      <w:r>
        <w:t xml:space="preserve">”</w:t>
      </w:r>
      <w:r>
        <w:t xml:space="preserve"> </w:t>
      </w:r>
      <w:r>
        <w:t xml:space="preserve">and</w:t>
      </w:r>
      <w:r>
        <w:t xml:space="preserve"> </w:t>
      </w:r>
      <w:r>
        <w:t xml:space="preserve">“</w:t>
      </w:r>
      <w:r>
        <w:t xml:space="preserve">equal variance assumption</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t-statistic, degree of freedom, and</w:t>
      </w:r>
      <w:r>
        <w:t xml:space="preserve"> </w:t>
      </w:r>
      <w:r>
        <w:rPr>
          <w:i/>
        </w:rPr>
        <w:t xml:space="preserve">p</w:t>
      </w:r>
      <w:r>
        <w:t xml:space="preserve">-value.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two-sample t-test.</w:t>
      </w:r>
    </w:p>
    <w:tbl>
      <w:tblPr>
        <w:tblStyle w:val="Table"/>
        <w:tblW w:type="pct" w:w="0.0"/>
        <w:tblLook w:firstRow="1" w:lastRow="0" w:firstColumn="0" w:lastColumn="0" w:noHBand="0" w:noVBand="0"/>
        <w:tblCaption w:val="\mathbf{Table~5.} Results of the two-sample t-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left"/>
            </w:pPr>
            <w:r>
              <w:t xml:space="preserve">Two Sample t-test</w:t>
            </w:r>
          </w:p>
        </w:tc>
        <w:tc>
          <w:p>
            <w:pPr>
              <w:pStyle w:val="Compact"/>
              <w:jc w:val="center"/>
            </w:pPr>
            <w:r>
              <w:t xml:space="preserve">0</w:t>
            </w:r>
          </w:p>
        </w:tc>
        <w:tc>
          <w:p>
            <w:pPr>
              <w:pStyle w:val="Compact"/>
              <w:jc w:val="center"/>
            </w:pPr>
            <w:r>
              <w:t xml:space="preserve">two.sided</w:t>
            </w:r>
          </w:p>
        </w:tc>
        <w:tc>
          <w:p>
            <w:pPr>
              <w:pStyle w:val="Compact"/>
              <w:jc w:val="center"/>
            </w:pPr>
            <w:r>
              <w:t xml:space="preserve">-2.8</w:t>
            </w:r>
          </w:p>
        </w:tc>
        <w:tc>
          <w:p>
            <w:pPr>
              <w:pStyle w:val="Compact"/>
              <w:jc w:val="center"/>
            </w:pPr>
            <w:r>
              <w:t xml:space="preserve">21</w:t>
            </w:r>
          </w:p>
        </w:tc>
        <w:tc>
          <w:p>
            <w:pPr>
              <w:pStyle w:val="Compact"/>
              <w:jc w:val="center"/>
            </w:pPr>
            <w:r>
              <w:t xml:space="preserve">0.011</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The test</w:t>
      </w:r>
      <w:r>
        <w:t xml:space="preserve"> </w:t>
      </w:r>
      <w:r>
        <w:rPr>
          <w:i/>
        </w:rPr>
        <w:t xml:space="preserve">p</w:t>
      </w:r>
      <w:r>
        <w:t xml:space="preserve">-value is less than or equal to 0.05,indicating that there is significant difference between the difference of the two groups and the null value. In other words, the sample mean is different from the null value.</w:t>
      </w:r>
    </w:p>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First, we give the following Q-Q plot.</w:t>
      </w:r>
    </w:p>
    <w:p>
      <w:pPr>
        <w:pStyle w:val="CaptionedFigure"/>
      </w:pPr>
      <w:r>
        <w:drawing>
          <wp:inline>
            <wp:extent cx="5334000" cy="2667000"/>
            <wp:effectExtent b="0" l="0" r="0" t="0"/>
            <wp:docPr descr="\mathbf{Figure~2.} Normal Q-Q plot for each group."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 for each group.</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it is normally distributed.</w:t>
      </w:r>
    </w:p>
    <w:p>
      <w:pPr>
        <w:pStyle w:val="BodyText"/>
      </w:pPr>
      <w:r>
        <w:t xml:space="preserve">Then, we employ both the Shapiro-Wilk test and the Kolmogorov-Smirnov test to check the normality assumption of the data. The results are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Results of normality assumption checking.</w:t>
      </w:r>
    </w:p>
    <w:tbl>
      <w:tblPr>
        <w:tblStyle w:val="Table"/>
        <w:tblW w:type="pct" w:w="0.0"/>
        <w:tblLook w:firstRow="1" w:lastRow="0" w:firstColumn="0" w:lastColumn="0" w:noHBand="0" w:noVBand="0"/>
        <w:tblCaption w:val="\mathbf{Table~6.} Results of normality assumption checking."/>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 Group=Men</w:t>
            </w:r>
          </w:p>
        </w:tc>
        <w:tc>
          <w:p>
            <w:pPr>
              <w:pStyle w:val="Compact"/>
              <w:jc w:val="center"/>
            </w:pPr>
            <w:r>
              <w:t xml:space="preserve">0.174</w:t>
            </w:r>
          </w:p>
        </w:tc>
        <w:tc>
          <w:p>
            <w:pPr>
              <w:pStyle w:val="Compact"/>
              <w:jc w:val="center"/>
            </w:pPr>
            <w:r>
              <w:t xml:space="preserve">0.825</w:t>
            </w:r>
          </w:p>
        </w:tc>
      </w:tr>
      <w:tr>
        <w:tc>
          <w:p>
            <w:pPr>
              <w:pStyle w:val="Compact"/>
              <w:jc w:val="left"/>
            </w:pPr>
            <w:r>
              <w:t xml:space="preserve">Shapiro-Wilk test, Group=Men</w:t>
            </w:r>
          </w:p>
        </w:tc>
        <w:tc>
          <w:p>
            <w:pPr>
              <w:pStyle w:val="Compact"/>
              <w:jc w:val="center"/>
            </w:pPr>
            <w:r>
              <w:t xml:space="preserve">0.958</w:t>
            </w:r>
          </w:p>
        </w:tc>
        <w:tc>
          <w:p>
            <w:pPr>
              <w:pStyle w:val="Compact"/>
              <w:jc w:val="center"/>
            </w:pPr>
            <w:r>
              <w:t xml:space="preserve">0.730</w:t>
            </w:r>
          </w:p>
        </w:tc>
      </w:tr>
      <w:tr>
        <w:tc>
          <w:p>
            <w:pPr>
              <w:pStyle w:val="Compact"/>
              <w:jc w:val="left"/>
            </w:pPr>
            <w:r>
              <w:t xml:space="preserve">Kolmogorov-Smirnov test, Group=Women</w:t>
            </w:r>
          </w:p>
        </w:tc>
        <w:tc>
          <w:p>
            <w:pPr>
              <w:pStyle w:val="Compact"/>
              <w:jc w:val="center"/>
            </w:pPr>
            <w:r>
              <w:t xml:space="preserve">0.204</w:t>
            </w:r>
          </w:p>
        </w:tc>
        <w:tc>
          <w:p>
            <w:pPr>
              <w:pStyle w:val="Compact"/>
              <w:jc w:val="center"/>
            </w:pPr>
            <w:r>
              <w:t xml:space="preserve">0.727</w:t>
            </w:r>
          </w:p>
        </w:tc>
      </w:tr>
      <w:tr>
        <w:tc>
          <w:p>
            <w:pPr>
              <w:pStyle w:val="Compact"/>
              <w:jc w:val="left"/>
            </w:pPr>
            <w:r>
              <w:t xml:space="preserve">Shapiro-Wilk test, Group=Women</w:t>
            </w:r>
          </w:p>
        </w:tc>
        <w:tc>
          <w:p>
            <w:pPr>
              <w:pStyle w:val="Compact"/>
              <w:jc w:val="center"/>
            </w:pPr>
            <w:r>
              <w:t xml:space="preserve">0.952</w:t>
            </w:r>
          </w:p>
        </w:tc>
        <w:tc>
          <w:p>
            <w:pPr>
              <w:pStyle w:val="Compact"/>
              <w:jc w:val="center"/>
            </w:pPr>
            <w:r>
              <w:t xml:space="preserve">0.691</w:t>
            </w:r>
          </w:p>
        </w:tc>
      </w:tr>
    </w:tbl>
    <w:p>
      <w:pPr>
        <w:pStyle w:val="BodyText"/>
      </w:pPr>
      <w:r>
        <w:t xml:space="preserve">An important assumption of the t-test is that the population(s) being compared should follow a normal distribution(s). In this section, the Q-Q plot and normality test are employed to check this assumption.</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There is a significant difference between the mean difference and the null value at the significance level of 0.05. In other words, the difference of the means is different from the null value.</w:t>
      </w:r>
    </w:p>
    <w:p>
      <w:pPr>
        <w:numPr>
          <w:ilvl w:val="0"/>
          <w:numId w:val="1001"/>
        </w:numPr>
      </w:pPr>
      <w:r>
        <w:t xml:space="preserve">The normal distribution assumption can be acceptable. The t-test result is recommended.</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w:t>
      </w:r>
      <w:r>
        <w:t xml:space="preserve"> </w:t>
      </w:r>
      <w:r>
        <w:rPr>
          <w:i/>
        </w:rPr>
        <w:t xml:space="preserve">p</w:t>
      </w:r>
      <w:r>
        <w:t xml:space="preserve">-value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is constructed by the sample, follows a known distribution asymptotically under a null hypothesis. Hence, it can be used to test hypotheses and define p-value.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3" w:name="references"/>
    <w:p>
      <w:pPr>
        <w:pStyle w:val="Heading1"/>
      </w:pPr>
      <w:r>
        <w:t xml:space="preserve">References</w:t>
      </w:r>
    </w:p>
    <w:bookmarkStart w:id="32" w:name="refs"/>
    <w:bookmarkStart w:id="29" w:name="ref-bartlett1937properties"/>
    <w:p>
      <w:pPr>
        <w:pStyle w:val="Bibliography"/>
      </w:pPr>
      <w:r>
        <w:t xml:space="preserve">Bartlett, Maurice Stevenson. 1937. “Properties of Sufficiency and Statistical Tests.”</w:t>
      </w:r>
      <w:r>
        <w:t xml:space="preserve"> </w:t>
      </w:r>
      <w:r>
        <w:rPr>
          <w:i/>
        </w:rPr>
        <w:t xml:space="preserve">Proceedings of the Royal Society of London. Series A-Mathematical and Physical Sciences</w:t>
      </w:r>
      <w:r>
        <w:t xml:space="preserve"> </w:t>
      </w:r>
      <w:r>
        <w:t xml:space="preserve">160 (901): 268–82.</w:t>
      </w:r>
    </w:p>
    <w:bookmarkEnd w:id="29"/>
    <w:bookmarkStart w:id="30"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30"/>
    <w:bookmarkStart w:id="31"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t-Test</dc:title>
  <dc:creator/>
  <cp:keywords/>
  <dcterms:created xsi:type="dcterms:W3CDTF">2021-12-03T01:59:12Z</dcterms:created>
  <dcterms:modified xsi:type="dcterms:W3CDTF">2021-12-03T01:59:12Z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diffgroups-ref.bib</vt:lpwstr>
  </property>
  <property fmtid="{D5CDD505-2E9C-101B-9397-08002B2CF9AE}" pid="3" name="date">
    <vt:lpwstr>12/02/2021 20:59</vt:lpwstr>
  </property>
  <property fmtid="{D5CDD505-2E9C-101B-9397-08002B2CF9AE}" pid="4" name="output">
    <vt:lpwstr>word_document</vt:lpwstr>
  </property>
</Properties>
</file>