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workout_probabilities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Mannakee</w:t>
      </w:r>
    </w:p>
    <w:p>
      <w:pPr>
        <w:pStyle w:val="Date"/>
      </w:pPr>
      <w:r>
        <w:t xml:space="preserve">4/22/2019</w:t>
      </w:r>
    </w:p>
    <w:p>
      <w:pPr>
        <w:pStyle w:val="Heading1"/>
      </w:pPr>
      <w:bookmarkStart w:id="21" w:name="intro"/>
      <w:bookmarkEnd w:id="21"/>
      <w:r>
        <w:t xml:space="preserve">Intro</w:t>
      </w:r>
    </w:p>
    <w:p>
      <w:pPr>
        <w:pStyle w:val="FirstParagraph"/>
      </w:pPr>
      <w:r>
        <w:t xml:space="preserve">Variant callers are statistical classifiers.</w:t>
      </w:r>
      <w:r>
        <w:t xml:space="preserve"> </w:t>
      </w:r>
      <w:r>
        <w:t xml:space="preserve">Usefulness of any classifier is a combination of the ranking performance of the classifier, and the quality of decisions based on the classifier in the real world.</w:t>
      </w:r>
      <w:r>
        <w:t xml:space="preserve"> </w:t>
      </w:r>
      <w:r>
        <w:t xml:space="preserve">Here we describe an empirical Bayes method which uses very high confidence variant calls from MuTect to create a biologically inspired prior probability of mutation based in the mutation spectrum of the tumor.</w:t>
      </w:r>
      <w:r>
        <w:t xml:space="preserve"> </w:t>
      </w:r>
      <w:r>
        <w:t xml:space="preserve">We use realistic tumor simulations to show that this method is superior to MuTect as a classifier based on AUROC, while equal or inferior to MuTect based on AUPRC except in situations where the distribution of allele frequencies is extreme and unrealistic.</w:t>
      </w:r>
      <w:r>
        <w:t xml:space="preserve"> </w:t>
      </w:r>
      <w:r>
        <w:t xml:space="preserve">We then implement a method of false discovery rate control that recovers the superiority of the classifier in the decision context.</w:t>
      </w:r>
    </w:p>
    <w:p>
      <w:pPr>
        <w:pStyle w:val="Heading1"/>
      </w:pPr>
      <w:bookmarkStart w:id="22" w:name="emprical-bayes-estimate-of-the-posterior-probability-of-mutation"/>
      <w:bookmarkEnd w:id="22"/>
      <w:r>
        <w:t xml:space="preserve">Emprical Bayes estimate of the posterior probability of mutation</w:t>
      </w:r>
    </w:p>
    <w:p>
      <w:pPr>
        <w:pStyle w:val="FirstParagraph"/>
      </w:pPr>
      <w:r>
        <w:t xml:space="preserve">At every site in the genome with non-zero coverage, Next Generation Sequencing (NGS) produces a vector</w:t>
      </w:r>
      <w:r>
        <w:t xml:space="preserve"> </w:t>
      </w:r>
      <m:oMath>
        <m:r>
          <m:rPr>
            <m:sty m:val="b"/>
          </m:rPr>
          <m:t>x</m:t>
        </m:r>
        <m:r>
          <m:t>=</m:t>
        </m:r>
        <m:r>
          <m:t>(</m:t>
        </m:r>
        <m:r>
          <m:t>{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}</m:t>
        </m:r>
        <m:r>
          <m:t>,</m:t>
        </m:r>
        <m:r>
          <m:t>{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t>}</m:t>
        </m:r>
        <m:r>
          <m:t>)</m:t>
        </m:r>
        <m:r>
          <m:t>,</m:t>
        </m:r>
        <m:r>
          <m:t>i</m:t>
        </m:r>
        <m:r>
          <m:t>=</m:t>
        </m:r>
        <m:r>
          <m:t>1</m:t>
        </m:r>
        <m:r>
          <m:t>…</m:t>
        </m:r>
        <m:r>
          <m:t>D</m:t>
        </m:r>
      </m:oMath>
      <w:r>
        <w:t xml:space="preserve"> </w:t>
      </w:r>
      <w:r>
        <w:t xml:space="preserve">of base calls and their associated quality scores, where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total read depth.</w:t>
      </w:r>
      <w:r>
        <w:t xml:space="preserve"> </w:t>
      </w:r>
      <w:r>
        <w:t xml:space="preserve">The goal is to use</w:t>
      </w:r>
      <w:r>
        <w:t xml:space="preserve"> </w:t>
      </w:r>
      <m:oMath>
        <m:r>
          <m:rPr>
            <m:sty m:val="b"/>
          </m:rPr>
          <m:t>x</m:t>
        </m:r>
      </m:oMath>
      <w:r>
        <w:t xml:space="preserve"> </w:t>
      </w:r>
      <w:r>
        <w:t xml:space="preserve">to select between competing hypotheses;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b"/>
                      </m:rPr>
                      <m:t>H</m:t>
                    </m:r>
                  </m:e>
                  <m:sub>
                    <m:r>
                      <m:rPr>
                        <m:sty m:val="b"/>
                      </m:rPr>
                      <m:t>0</m:t>
                    </m:r>
                  </m:sub>
                </m:sSub>
                <m:r>
                  <m:t>:</m:t>
                </m:r>
                <m:r>
                  <m:t> </m:t>
                </m:r>
                <m:r>
                  <m:rPr>
                    <m:sty m:val="p"/>
                  </m:rPr>
                  <m:t>Alt allele</m:t>
                </m:r>
                <m:r>
                  <m:t>=</m:t>
                </m:r>
                <m:r>
                  <m:t>m</m:t>
                </m:r>
                <m:r>
                  <m:t>;</m:t>
                </m:r>
                <m:r>
                  <m:t> </m:t>
                </m:r>
                <m:r>
                  <m:t>ν</m:t>
                </m:r>
                <m:r>
                  <m:t>=</m:t>
                </m:r>
                <m:r>
                  <m:t>0</m:t>
                </m:r>
              </m:e>
            </m:mr>
            <m:mr>
              <m:e>
                <m:sSub>
                  <m:e>
                    <m:r>
                      <m:rPr>
                        <m:sty m:val="b"/>
                      </m:rPr>
                      <m:t>H</m:t>
                    </m:r>
                  </m:e>
                  <m:sub>
                    <m:r>
                      <m:rPr>
                        <m:sty m:val="b"/>
                      </m:rPr>
                      <m:t>1</m:t>
                    </m:r>
                  </m:sub>
                </m:sSub>
                <m:r>
                  <m:t>:</m:t>
                </m:r>
                <m:r>
                  <m:t> </m:t>
                </m:r>
                <m:r>
                  <m:rPr>
                    <m:sty m:val="p"/>
                  </m:rPr>
                  <m:t>Alt allele</m:t>
                </m:r>
                <m:r>
                  <m:t>=</m:t>
                </m:r>
                <m:r>
                  <m:t>m</m:t>
                </m:r>
                <m:r>
                  <m:t>;</m:t>
                </m:r>
                <m:r>
                  <m:t> </m:t>
                </m:r>
                <m:r>
                  <m:t>ν</m:t>
                </m:r>
                <m:r>
                  <m:t>=</m:t>
                </m:r>
                <m:groupChr>
                  <m:groupChrPr>
                    <m:chr m:val="^"/>
                    <m:pos m:val="top"/>
                    <m:vertJc m:val="bot"/>
                  </m:groupChrPr>
                  <m:e>
                    <m:r>
                      <m:t>f</m:t>
                    </m:r>
                  </m:e>
                </m:groupChr>
                <m: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is the variant allele frequency,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r>
              <m:t>f</m:t>
            </m:r>
          </m:e>
        </m:groupChr>
      </m:oMath>
      <w:r>
        <w:t xml:space="preserve"> </w:t>
      </w:r>
      <w:r>
        <w:t xml:space="preserve">is the maximum likelihood estimate of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given data</w:t>
      </w:r>
      <w:r>
        <w:t xml:space="preserve"> </w:t>
      </w:r>
      <m:oMath>
        <m:r>
          <m:rPr>
            <m:sty m:val="b"/>
          </m:rPr>
          <m:t>x</m:t>
        </m:r>
      </m:oMath>
      <w:r>
        <w:t xml:space="preserve">, i.e. the ratio of the count of variant reads and total read depth, and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any of the 3 possible alternative non-reference bases.</w:t>
      </w:r>
      <w:r>
        <w:t xml:space="preserve"> </w:t>
      </w:r>
      <w:r>
        <w:t xml:space="preserve">For a given read with base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q-score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, the density function under a hypothesis is</w:t>
      </w:r>
      <w:r>
        <w:t xml:space="preserve"> </w:t>
      </w:r>
      <m:oMath>
        <m:sSub>
          <m:e>
            <m:r>
              <m:rPr>
                <m:sty m:val="p"/>
              </m:rPr>
              <m:t>f</m:t>
            </m:r>
          </m:e>
          <m:sub>
            <m:r>
              <m:t>ν</m:t>
            </m:r>
            <m:r>
              <m:t>,</m:t>
            </m:r>
            <m:r>
              <m:t>m</m:t>
            </m:r>
          </m:sub>
        </m:sSub>
        <m:r>
          <m:t>(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is defined as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f</m:t>
              </m:r>
            </m:e>
            <m:sub>
              <m:r>
                <m:t>ν</m:t>
              </m:r>
              <m:r>
                <m:t>,</m:t>
              </m:r>
              <m:r>
                <m:t>m</m:t>
              </m:r>
            </m:sub>
          </m:sSub>
          <m:r>
            <m:t>(</m:t>
          </m:r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q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right"/>
                        <m:count m:val="1"/>
                      </m:mcPr>
                    </m:mc>
                  </m:mcs>
                </m:mPr>
                <m:mr>
                  <m:e>
                    <m:r>
                      <m:t>ν</m:t>
                    </m:r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10</m:t>
                            </m:r>
                          </m:e>
                          <m:sup>
                            <m:r>
                              <m:t>−</m:t>
                            </m:r>
                            <m:sSub>
                              <m:e>
                                <m:r>
                                  <m:t>q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r>
                              <m:t>/</m:t>
                            </m:r>
                            <m:r>
                              <m:t>10</m:t>
                            </m:r>
                          </m:sup>
                        </m:sSup>
                      </m:num>
                      <m:den>
                        <m:r>
                          <m:t>3</m:t>
                        </m:r>
                      </m:den>
                    </m:f>
                    <m:r>
                      <m:t>+</m:t>
                    </m:r>
                    <m:r>
                      <m:t>(</m:t>
                    </m:r>
                    <m:r>
                      <m:t>1</m:t>
                    </m:r>
                    <m:r>
                      <m:t>−</m:t>
                    </m:r>
                    <m:r>
                      <m:t>ν</m:t>
                    </m:r>
                    <m:r>
                      <m:t>)</m:t>
                    </m:r>
                    <m:r>
                      <m:t>(</m:t>
                    </m:r>
                    <m:r>
                      <m:t>1</m:t>
                    </m:r>
                    <m:r>
                      <m:t>−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t>/</m:t>
                        </m:r>
                        <m:r>
                          <m:t>10</m:t>
                        </m:r>
                      </m:sup>
                    </m:sSup>
                    <m:r>
                      <m:t>)</m:t>
                    </m:r>
                  </m:e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=</m:t>
                    </m:r>
                    <m:r>
                      <m:t>r</m:t>
                    </m:r>
                    <m:r>
                      <m:t>e</m:t>
                    </m:r>
                    <m:r>
                      <m:t>f</m:t>
                    </m:r>
                    <m:r>
                      <m:t>e</m:t>
                    </m:r>
                    <m:r>
                      <m:t>r</m:t>
                    </m:r>
                    <m:r>
                      <m:t>e</m:t>
                    </m:r>
                    <m:r>
                      <m:t>n</m:t>
                    </m:r>
                    <m:r>
                      <m:t>c</m:t>
                    </m:r>
                    <m:r>
                      <m:t>e</m:t>
                    </m:r>
                  </m:e>
                </m:mr>
                <m:mr>
                  <m:e>
                    <m:r>
                      <m:t>ν</m:t>
                    </m:r>
                    <m:r>
                      <m:t>(</m:t>
                    </m:r>
                    <m:r>
                      <m:t>1</m:t>
                    </m:r>
                    <m:r>
                      <m:t>−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t>/</m:t>
                        </m:r>
                        <m:r>
                          <m:t>10</m:t>
                        </m:r>
                      </m:sup>
                    </m:sSup>
                    <m:r>
                      <m:t>)</m:t>
                    </m:r>
                    <m:r>
                      <m:t>+</m:t>
                    </m:r>
                    <m:r>
                      <m:t>(</m:t>
                    </m:r>
                    <m:r>
                      <m:t>1</m:t>
                    </m:r>
                    <m:r>
                      <m:t>−</m:t>
                    </m:r>
                    <m:r>
                      <m:t>ν</m:t>
                    </m:r>
                    <m:r>
                      <m:t>)</m:t>
                    </m:r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10</m:t>
                            </m:r>
                          </m:e>
                          <m:sup>
                            <m:r>
                              <m:t>−</m:t>
                            </m:r>
                            <m:sSub>
                              <m:e>
                                <m:r>
                                  <m:t>q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r>
                              <m:t>/</m:t>
                            </m:r>
                            <m:r>
                              <m:t>10</m:t>
                            </m:r>
                          </m:sup>
                        </m:sSup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=</m:t>
                    </m:r>
                    <m:r>
                      <m:t>m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10</m:t>
                            </m:r>
                          </m:e>
                          <m:sup>
                            <m:r>
                              <m:t>−</m:t>
                            </m:r>
                            <m:sSub>
                              <m:e>
                                <m:r>
                                  <m:t>q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r>
                              <m:t>/</m:t>
                            </m:r>
                            <m:r>
                              <m:t>10</m:t>
                            </m:r>
                          </m:sup>
                        </m:sSup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r>
                      <m:t>o</m:t>
                    </m:r>
                    <m:r>
                      <m:t>t</m:t>
                    </m:r>
                    <m:r>
                      <m:t>h</m:t>
                    </m:r>
                    <m:r>
                      <m:t>e</m:t>
                    </m:r>
                    <m:r>
                      <m:t>r</m:t>
                    </m:r>
                    <m:r>
                      <m:t>w</m:t>
                    </m:r>
                    <m:r>
                      <m:t>i</m:t>
                    </m:r>
                    <m:r>
                      <m:t>s</m:t>
                    </m:r>
                    <m:r>
                      <m:t>e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The likelihood under the hypothesis is then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L</m:t>
            </m:r>
          </m:e>
          <m:sub>
            <m:r>
              <m:t>ν</m:t>
            </m:r>
            <m:r>
              <m:t>,</m:t>
            </m:r>
            <m:r>
              <m:t>m</m:t>
            </m:r>
          </m:sub>
        </m:sSub>
        <m:r>
          <m:t>(</m:t>
        </m:r>
        <m:r>
          <m:rPr>
            <m:sty m:val="b"/>
          </m:rPr>
          <m:t>x</m:t>
        </m:r>
        <m:r>
          <m:t>)</m:t>
        </m:r>
        <m:r>
          <m:t>=</m:t>
        </m:r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D</m:t>
            </m:r>
          </m:sup>
          <m:e>
            <m:sSub>
              <m:e>
                <m:r>
                  <m:rPr>
                    <m:sty m:val="p"/>
                  </m:rPr>
                  <m:t>f</m:t>
                </m:r>
              </m:e>
              <m:sub>
                <m:r>
                  <m:t>ν</m:t>
                </m:r>
                <m:r>
                  <m:t>,</m:t>
                </m:r>
                <m:r>
                  <m:t>m</m:t>
                </m:r>
              </m:sub>
            </m:sSub>
          </m:e>
        </m:nary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.</w:t>
      </w:r>
      <w:r>
        <w:t xml:space="preserve"> </w:t>
      </w:r>
      <w:r>
        <w:t xml:space="preserve">MuTect reports the log likelihood ratio</w:t>
      </w:r>
      <w:r>
        <w:t xml:space="preserve"> </w:t>
      </w:r>
      <m:oMath>
        <m:r>
          <m:t>l</m:t>
        </m:r>
        <m:r>
          <m:t>o</m:t>
        </m:r>
        <m:r>
          <m:t>g</m:t>
        </m:r>
        <m:r>
          <m:t>(</m:t>
        </m:r>
        <m:sSub>
          <m:e>
            <m:r>
              <m:rPr>
                <m:sty m:val="p"/>
                <m:scr m:val="script"/>
              </m:rPr>
              <m:t>L</m:t>
            </m:r>
          </m:e>
          <m:sub>
            <m:r>
              <m:t>ν</m:t>
            </m:r>
            <m:r>
              <m:t>=</m:t>
            </m:r>
            <m:groupChr>
              <m:groupChrPr>
                <m:chr m:val="^"/>
                <m:pos m:val="top"/>
                <m:vertJc m:val="bot"/>
              </m:groupChrPr>
              <m:e>
                <m:r>
                  <m:t>f</m:t>
                </m:r>
              </m:e>
            </m:groupChr>
            <m:r>
              <m:t>,</m:t>
            </m:r>
            <m:r>
              <m:t>m</m:t>
            </m:r>
          </m:sub>
        </m:sSub>
        <m:r>
          <m:t>(</m:t>
        </m:r>
        <m:r>
          <m:rPr>
            <m:sty m:val="b"/>
          </m:rPr>
          <m:t>x</m:t>
        </m:r>
        <m:r>
          <m:t>)</m:t>
        </m:r>
        <m:r>
          <m:t>/</m:t>
        </m:r>
        <m:sSub>
          <m:e>
            <m:r>
              <m:rPr>
                <m:sty m:val="p"/>
                <m:scr m:val="script"/>
              </m:rPr>
              <m:t>L</m:t>
            </m:r>
          </m:e>
          <m:sub>
            <m:r>
              <m:t>ν</m:t>
            </m:r>
            <m:r>
              <m:t>=</m:t>
            </m:r>
            <m:r>
              <m:t>0</m:t>
            </m:r>
            <m:r>
              <m:t>,</m:t>
            </m:r>
            <m:r>
              <m:t>m</m:t>
            </m:r>
          </m:sub>
        </m:sSub>
        <m:r>
          <m:t>(</m:t>
        </m:r>
        <m:r>
          <m:rPr>
            <m:sty m:val="b"/>
          </m:rPr>
          <m:t>x</m:t>
        </m:r>
        <m:r>
          <m:t>)</m:t>
        </m:r>
        <m:r>
          <m:t>)</m:t>
        </m:r>
      </m:oMath>
      <w:r>
        <w:t xml:space="preserve"> </w:t>
      </w:r>
      <w:r>
        <w:t xml:space="preserve">as either TLOD or t_lod_fstar depending on the version.</w:t>
      </w:r>
      <w:r>
        <w:t xml:space="preserve"> </w:t>
      </w:r>
      <w:r>
        <w:t xml:space="preserve">By fixing the threshold posterior odds at two, and the prior probability of mutation a constant</w:t>
      </w:r>
      <w:r>
        <w:t xml:space="preserve"> </w:t>
      </w:r>
      <m:oMath>
        <m:r>
          <m:t>μ</m:t>
        </m:r>
        <m:r>
          <m:t>=</m:t>
        </m:r>
        <m:r>
          <m:t>1</m:t>
        </m:r>
        <m:r>
          <m:rPr>
            <m:sty m:val="p"/>
          </m:rPr>
          <m:t>e</m:t>
        </m:r>
        <m:r>
          <m:t>−</m:t>
        </m:r>
        <m:r>
          <m:t>6</m:t>
        </m:r>
      </m:oMath>
      <w:r>
        <w:t xml:space="preserve">, they derive a TLOD threshold of 6.3.</w:t>
      </w:r>
      <w:r>
        <w:t xml:space="preserve"> </w:t>
      </w:r>
      <w:r>
        <w:t xml:space="preserve">Here we examine the effect of the assumption of a constant prior probability of mutation.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6d7b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workout_probabilities</dc:title>
  <dc:creator>Brian Mannakee</dc:creator>
  <dcterms:created xsi:type="dcterms:W3CDTF">2019-04-22T19:44:57Z</dcterms:created>
  <dcterms:modified xsi:type="dcterms:W3CDTF">2019-04-22T19:44:57Z</dcterms:modified>
</cp:coreProperties>
</file>