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8BFA" w14:textId="7E147C8E" w:rsidR="00FE20EC" w:rsidRDefault="00D709F8">
      <w:pPr>
        <w:snapToGrid w:val="0"/>
        <w:spacing w:line="276" w:lineRule="auto"/>
        <w:jc w:val="center"/>
      </w:pPr>
      <w:r>
        <w:rPr>
          <w:b/>
          <w:bCs/>
        </w:rPr>
        <w:t>ON.LE CORTE DI GIUSTIZIA TRIBUTARIA DI PRIMO GRADO DI MILANO</w:t>
      </w:r>
    </w:p>
    <w:p w14:paraId="5AB6A5C6" w14:textId="77777777" w:rsidR="00FE20EC" w:rsidRDefault="00FE20EC">
      <w:pPr>
        <w:snapToGrid w:val="0"/>
        <w:spacing w:line="276" w:lineRule="auto"/>
        <w:jc w:val="center"/>
        <w:rPr>
          <w:b/>
          <w:bCs/>
        </w:rPr>
      </w:pPr>
    </w:p>
    <w:p w14:paraId="295E2CB3" w14:textId="29D829AD" w:rsidR="00D709F8" w:rsidRDefault="00D709F8" w:rsidP="00D709F8">
      <w:pPr>
        <w:ind w:firstLine="567"/>
        <w:jc w:val="center"/>
        <w:rPr>
          <w:b/>
          <w:bCs/>
        </w:rPr>
      </w:pPr>
      <w:r>
        <w:rPr>
          <w:b/>
          <w:bCs/>
        </w:rPr>
        <w:t xml:space="preserve">Memoria di costituzione </w:t>
      </w:r>
      <w:r w:rsidR="00B36640">
        <w:rPr>
          <w:b/>
          <w:bCs/>
        </w:rPr>
        <w:t>in giudizio</w:t>
      </w:r>
    </w:p>
    <w:p w14:paraId="603DA98E" w14:textId="77777777" w:rsidR="00FE20EC" w:rsidRDefault="00FE20EC">
      <w:pPr>
        <w:snapToGrid w:val="0"/>
        <w:spacing w:line="276" w:lineRule="auto"/>
        <w:jc w:val="center"/>
      </w:pPr>
    </w:p>
    <w:p w14:paraId="5AD57700" w14:textId="7B3E75E3" w:rsidR="00D709F8" w:rsidRDefault="00FE12A7" w:rsidP="00D709F8">
      <w:pPr>
        <w:snapToGrid w:val="0"/>
      </w:pPr>
      <w:r>
        <w:t xml:space="preserve">per il </w:t>
      </w:r>
      <w:r>
        <w:rPr>
          <w:b/>
          <w:bCs/>
        </w:rPr>
        <w:t>COMUNE DI CINISELLO BALSAMO</w:t>
      </w:r>
      <w:r>
        <w:t xml:space="preserve"> (MI) (C.F. 01971350150 – P.IVA 00727780967), con sede in Via XXV Aprile n. 4, 20092 Cinisello Balsamo (MI), in persona del legale rappresentante pro tempore, rappresentato e difeso</w:t>
      </w:r>
      <w:r w:rsidR="00B36640">
        <w:t xml:space="preserve"> ……………….</w:t>
      </w:r>
    </w:p>
    <w:p w14:paraId="37E4EF40" w14:textId="3C9B5581" w:rsidR="00FE20EC" w:rsidRPr="00D709F8" w:rsidRDefault="00D709F8" w:rsidP="00D709F8">
      <w:pPr>
        <w:snapToGrid w:val="0"/>
        <w:jc w:val="right"/>
        <w:rPr>
          <w:b/>
          <w:bCs/>
        </w:rPr>
      </w:pPr>
      <w:r w:rsidRPr="00D709F8">
        <w:rPr>
          <w:b/>
          <w:bCs/>
        </w:rPr>
        <w:t>- RESISTENTE -</w:t>
      </w:r>
    </w:p>
    <w:p w14:paraId="64BB2D4F" w14:textId="66B84A56" w:rsidR="00FE20EC" w:rsidRDefault="00D709F8" w:rsidP="00D709F8">
      <w:pPr>
        <w:snapToGrid w:val="0"/>
        <w:spacing w:line="276" w:lineRule="auto"/>
        <w:jc w:val="left"/>
        <w:rPr>
          <w:b/>
          <w:bCs/>
        </w:rPr>
      </w:pPr>
      <w:r w:rsidRPr="00D709F8">
        <w:rPr>
          <w:b/>
          <w:bCs/>
        </w:rPr>
        <w:t>Contro</w:t>
      </w:r>
    </w:p>
    <w:p w14:paraId="6539390D" w14:textId="77777777" w:rsidR="00D709F8" w:rsidRPr="00D709F8" w:rsidRDefault="00D709F8" w:rsidP="00D709F8">
      <w:pPr>
        <w:snapToGrid w:val="0"/>
        <w:spacing w:line="276" w:lineRule="auto"/>
        <w:jc w:val="left"/>
        <w:rPr>
          <w:b/>
          <w:bCs/>
        </w:rPr>
      </w:pPr>
    </w:p>
    <w:p w14:paraId="7BC61F57" w14:textId="1F6B383A" w:rsidR="00FE20EC" w:rsidRDefault="00FE12A7">
      <w:pPr>
        <w:snapToGrid w:val="0"/>
      </w:pPr>
      <w:r>
        <w:rPr>
          <w:b/>
          <w:bCs/>
        </w:rPr>
        <w:t>UNARETI S.P.A.</w:t>
      </w:r>
      <w:r>
        <w:t>, società soggetta all’attività di direzione e coordinamento di A2A S.p.A., con sede legale in Brescia, Via Alessandro Lamarmora n. 230, 25124 Brescia (BS), C.F. e P.IVA n. 12883450152, in persona del legale rappresentante pro tempore, rappresentata e difesa dal Dott. Guido Ascer Guetta (C.F. GTTGSC69S18F205R) e dalla Dott.ssa Alessia Rado (C.F. RDALSS84S46I480D), dello Studio Pirola Pennuto Zei &amp; Associati;</w:t>
      </w:r>
    </w:p>
    <w:p w14:paraId="7AAD3F2B" w14:textId="44A77BB8" w:rsidR="00FE20EC" w:rsidRPr="00D709F8" w:rsidRDefault="00FE12A7" w:rsidP="00D709F8">
      <w:pPr>
        <w:pStyle w:val="Paragrafoelenco"/>
        <w:numPr>
          <w:ilvl w:val="0"/>
          <w:numId w:val="6"/>
        </w:numPr>
        <w:snapToGrid w:val="0"/>
        <w:jc w:val="right"/>
        <w:rPr>
          <w:b/>
          <w:bCs/>
        </w:rPr>
      </w:pPr>
      <w:r w:rsidRPr="00D709F8">
        <w:rPr>
          <w:b/>
          <w:bCs/>
        </w:rPr>
        <w:t>RICORRENTE</w:t>
      </w:r>
      <w:r w:rsidR="00D709F8" w:rsidRPr="00D709F8">
        <w:rPr>
          <w:b/>
          <w:bCs/>
        </w:rPr>
        <w:t xml:space="preserve"> - </w:t>
      </w:r>
    </w:p>
    <w:p w14:paraId="3836B880" w14:textId="77777777" w:rsidR="00FE20EC" w:rsidRDefault="00FE12A7">
      <w:pPr>
        <w:snapToGrid w:val="0"/>
        <w:spacing w:line="276" w:lineRule="auto"/>
        <w:jc w:val="center"/>
      </w:pPr>
      <w:r>
        <w:t>* * *</w:t>
      </w:r>
    </w:p>
    <w:p w14:paraId="3F062057" w14:textId="284976CC" w:rsidR="00D709F8" w:rsidRPr="00D709F8" w:rsidRDefault="00B36640" w:rsidP="00D709F8">
      <w:pPr>
        <w:spacing w:after="80"/>
      </w:pPr>
      <w:r>
        <w:rPr>
          <w:b/>
          <w:bCs/>
        </w:rPr>
        <w:t>FATTO</w:t>
      </w:r>
    </w:p>
    <w:p w14:paraId="091FAB3F" w14:textId="56BD80E1" w:rsidR="00FE20EC" w:rsidRDefault="00FE12A7">
      <w:pPr>
        <w:snapToGrid w:val="0"/>
      </w:pPr>
      <w:r>
        <w:t xml:space="preserve">Il Comune di Cinisello Balsamo, con deliberazione del Consiglio Comunale n. 18 del 15 aprile 2021, ha approvato il </w:t>
      </w:r>
      <w:r w:rsidRPr="00D709F8">
        <w:rPr>
          <w:b/>
          <w:bCs/>
        </w:rPr>
        <w:t>Regolamento per l’applicazione del Canone Patrimoniale di Concessione, Autorizzazione o Esposizione Pubblicitaria</w:t>
      </w:r>
      <w:r>
        <w:t>, così come successivamente modificato ed integrato con deliberazione del Consiglio Comunale n. 24 del 23 maggio 2022 (</w:t>
      </w:r>
      <w:r>
        <w:rPr>
          <w:b/>
          <w:bCs/>
        </w:rPr>
        <w:t>doc. 1</w:t>
      </w:r>
      <w:r>
        <w:t>), in attuazione dell’art. 1, commi da 816 a 836, della Legge n. 160/2019.</w:t>
      </w:r>
    </w:p>
    <w:p w14:paraId="1EF936A1" w14:textId="60887C7F" w:rsidR="00FE20EC" w:rsidRDefault="00FE12A7">
      <w:pPr>
        <w:snapToGrid w:val="0"/>
      </w:pPr>
      <w:r>
        <w:t xml:space="preserve">Il Comune, tramite la società Archivia Solution S.p.A. – affidataria del servizio di </w:t>
      </w:r>
      <w:r w:rsidRPr="008A00B3">
        <w:rPr>
          <w:b/>
          <w:bCs/>
          <w:u w:val="single"/>
        </w:rPr>
        <w:t>supporto</w:t>
      </w:r>
      <w:r w:rsidRPr="00D709F8">
        <w:rPr>
          <w:b/>
          <w:bCs/>
        </w:rPr>
        <w:t xml:space="preserve"> </w:t>
      </w:r>
      <w:r>
        <w:t>alla gestione del Canone Unico Patrimoniale (di seguito anche “CUP” o “Canone”), giusta Determinazione n. 709 dell’11 giugno 2025 del Settore Risorse e Patrimonio (</w:t>
      </w:r>
      <w:r>
        <w:rPr>
          <w:b/>
          <w:bCs/>
        </w:rPr>
        <w:t>doc. 2</w:t>
      </w:r>
      <w:r>
        <w:t xml:space="preserve">) – in data </w:t>
      </w:r>
      <w:r w:rsidRPr="00D709F8">
        <w:rPr>
          <w:b/>
          <w:bCs/>
        </w:rPr>
        <w:t xml:space="preserve">26 gennaio 2026 </w:t>
      </w:r>
      <w:r w:rsidR="00B36640" w:rsidRPr="00B36640">
        <w:rPr>
          <w:bCs/>
        </w:rPr>
        <w:t>ha</w:t>
      </w:r>
      <w:r w:rsidR="00B36640">
        <w:rPr>
          <w:b/>
          <w:bCs/>
        </w:rPr>
        <w:t xml:space="preserve"> </w:t>
      </w:r>
      <w:r>
        <w:t>richie</w:t>
      </w:r>
      <w:r w:rsidR="00B36640">
        <w:t>sto</w:t>
      </w:r>
      <w:r>
        <w:t xml:space="preserve"> ad Unareti S.p.A. (di seguito anche la “Società”) copia della dichiarazione delle utenze attive e dei versamenti relativi al Canone per le annualità 2022, 2023 e 2024, </w:t>
      </w:r>
      <w:r w:rsidR="00B36640">
        <w:t xml:space="preserve">evidenziando </w:t>
      </w:r>
      <w:r>
        <w:t>che, dai primi controlli, non risultava eseguito alcun pagamento per le predette annualità (</w:t>
      </w:r>
      <w:r>
        <w:rPr>
          <w:b/>
          <w:bCs/>
        </w:rPr>
        <w:t>doc. 3</w:t>
      </w:r>
      <w:r>
        <w:t>).</w:t>
      </w:r>
    </w:p>
    <w:p w14:paraId="21CFD367" w14:textId="6F1CF338" w:rsidR="00B36640" w:rsidRDefault="00FE12A7">
      <w:pPr>
        <w:snapToGrid w:val="0"/>
      </w:pPr>
      <w:r>
        <w:t xml:space="preserve">In riscontro, la Società trasmetteva la nota del </w:t>
      </w:r>
      <w:r w:rsidRPr="00D709F8">
        <w:rPr>
          <w:b/>
          <w:bCs/>
        </w:rPr>
        <w:t>30 gennaio 2026</w:t>
      </w:r>
      <w:r w:rsidR="007813B5">
        <w:rPr>
          <w:b/>
          <w:bCs/>
        </w:rPr>
        <w:t xml:space="preserve"> </w:t>
      </w:r>
      <w:r w:rsidR="007813B5" w:rsidRPr="00126DAC">
        <w:rPr>
          <w:b/>
        </w:rPr>
        <w:t>(doc. 4</w:t>
      </w:r>
      <w:r w:rsidR="007813B5">
        <w:rPr>
          <w:b/>
          <w:bCs/>
        </w:rPr>
        <w:t xml:space="preserve"> </w:t>
      </w:r>
      <w:r w:rsidR="008A00B3">
        <w:rPr>
          <w:b/>
          <w:bCs/>
        </w:rPr>
        <w:t>)</w:t>
      </w:r>
      <w:r>
        <w:t>, dichiara</w:t>
      </w:r>
      <w:r w:rsidR="00B36640">
        <w:t xml:space="preserve">ndo un numero di </w:t>
      </w:r>
      <w:r>
        <w:t>utenze</w:t>
      </w:r>
      <w:r w:rsidR="00B36640">
        <w:t>, che risulta del tutto incongruo considerata la dimensione del Comune.</w:t>
      </w:r>
    </w:p>
    <w:p w14:paraId="410ABAB3" w14:textId="2FBA41D5" w:rsidR="00195A65" w:rsidRPr="008A00B3" w:rsidRDefault="00B36640">
      <w:pPr>
        <w:snapToGrid w:val="0"/>
        <w:rPr>
          <w:b/>
          <w:bCs/>
          <w:u w:val="single"/>
        </w:rPr>
      </w:pPr>
      <w:r>
        <w:lastRenderedPageBreak/>
        <w:t xml:space="preserve">Pertanto, </w:t>
      </w:r>
      <w:r w:rsidR="00FE12A7">
        <w:t xml:space="preserve">Archivia Solution S.p.A., con nota </w:t>
      </w:r>
      <w:r w:rsidR="00FE12A7" w:rsidRPr="00126DAC">
        <w:rPr>
          <w:b/>
        </w:rPr>
        <w:t>del 5 febbraio 2026</w:t>
      </w:r>
      <w:r w:rsidR="00126DAC">
        <w:t xml:space="preserve"> </w:t>
      </w:r>
      <w:r w:rsidR="00126DAC" w:rsidRPr="00126DAC">
        <w:rPr>
          <w:b/>
        </w:rPr>
        <w:t xml:space="preserve">(doc. </w:t>
      </w:r>
      <w:r w:rsidR="007813B5">
        <w:rPr>
          <w:b/>
        </w:rPr>
        <w:t>5</w:t>
      </w:r>
      <w:r w:rsidR="00126DAC" w:rsidRPr="00126DAC">
        <w:rPr>
          <w:b/>
        </w:rPr>
        <w:t>)</w:t>
      </w:r>
      <w:r w:rsidR="00FE12A7">
        <w:t xml:space="preserve">, </w:t>
      </w:r>
      <w:r>
        <w:t xml:space="preserve">ha richiesto chiarimenti alla Società sulla modalità di </w:t>
      </w:r>
      <w:r w:rsidR="00195A65">
        <w:t xml:space="preserve">computo del numero di utenze, </w:t>
      </w:r>
      <w:r w:rsidR="00FE12A7">
        <w:t>reitera</w:t>
      </w:r>
      <w:r w:rsidR="00195A65">
        <w:t>ndo</w:t>
      </w:r>
      <w:r w:rsidR="00FE12A7">
        <w:t xml:space="preserve"> la richiesta di documentazione</w:t>
      </w:r>
      <w:r w:rsidR="00195A65">
        <w:t xml:space="preserve"> a supporto</w:t>
      </w:r>
      <w:r w:rsidR="00FE12A7">
        <w:t>, estendendo</w:t>
      </w:r>
      <w:r w:rsidR="00195A65">
        <w:t xml:space="preserve"> la richiesta anche</w:t>
      </w:r>
      <w:r w:rsidR="00FE12A7">
        <w:t xml:space="preserve"> all’annualità 2025, </w:t>
      </w:r>
      <w:r w:rsidR="00FE12A7" w:rsidRPr="008A00B3">
        <w:rPr>
          <w:b/>
          <w:bCs/>
          <w:u w:val="single"/>
        </w:rPr>
        <w:t>avvert</w:t>
      </w:r>
      <w:r w:rsidR="00195A65" w:rsidRPr="008A00B3">
        <w:rPr>
          <w:b/>
          <w:bCs/>
          <w:u w:val="single"/>
        </w:rPr>
        <w:t>endo c</w:t>
      </w:r>
      <w:r w:rsidR="00FE12A7" w:rsidRPr="008A00B3">
        <w:rPr>
          <w:b/>
          <w:bCs/>
          <w:u w:val="single"/>
        </w:rPr>
        <w:t>he, in difetto di adeguata collaborazione, si sarebbe proceduto all’accertamento sulla base dei dati rilevati dalla piattaforma Punto Fisco dell’Agenzia delle Entrate.</w:t>
      </w:r>
    </w:p>
    <w:p w14:paraId="59B16E71" w14:textId="5B33AFDE" w:rsidR="00FE20EC" w:rsidRDefault="00FE12A7">
      <w:pPr>
        <w:snapToGrid w:val="0"/>
      </w:pPr>
      <w:r>
        <w:t>La Società forniva ulteriori indicazioni con successiva comunicazione del 17 febbraio 2026</w:t>
      </w:r>
      <w:r w:rsidR="00195A65">
        <w:t xml:space="preserve">, con la quale specificava </w:t>
      </w:r>
      <w:r w:rsidR="00126DAC">
        <w:t xml:space="preserve">la </w:t>
      </w:r>
      <w:r w:rsidR="00126DAC" w:rsidRPr="008A00B3">
        <w:rPr>
          <w:u w:val="single"/>
        </w:rPr>
        <w:t>percentuale di rete posata nei vari anni oggetti di verifica</w:t>
      </w:r>
      <w:r w:rsidR="00126DAC">
        <w:t>, ritenendo di essere soggetto passivo solo per tali percentuali</w:t>
      </w:r>
      <w:r>
        <w:t xml:space="preserve"> (</w:t>
      </w:r>
      <w:r>
        <w:rPr>
          <w:b/>
          <w:bCs/>
        </w:rPr>
        <w:t xml:space="preserve">doc. </w:t>
      </w:r>
      <w:r w:rsidR="007813B5">
        <w:rPr>
          <w:b/>
          <w:bCs/>
        </w:rPr>
        <w:t>6</w:t>
      </w:r>
      <w:r>
        <w:t>).</w:t>
      </w:r>
    </w:p>
    <w:p w14:paraId="06E6C87C" w14:textId="6B147212" w:rsidR="00FE20EC" w:rsidRDefault="008B57B0">
      <w:pPr>
        <w:snapToGrid w:val="0"/>
      </w:pPr>
      <w:r>
        <w:t>Attesa l’infondatezza della posizione di UNARETI, in</w:t>
      </w:r>
      <w:r w:rsidR="00FE12A7">
        <w:t xml:space="preserve"> data 5 marzo 2026, il Comune emetteva l’</w:t>
      </w:r>
      <w:r w:rsidR="00FE12A7" w:rsidRPr="000F24CB">
        <w:rPr>
          <w:b/>
          <w:bCs/>
        </w:rPr>
        <w:t xml:space="preserve">Avviso di accertamento esecutivo n. 17, </w:t>
      </w:r>
      <w:r w:rsidR="00FE12A7">
        <w:t>notificato in data 27 marzo 2026 (</w:t>
      </w:r>
      <w:r w:rsidR="00FE12A7">
        <w:rPr>
          <w:b/>
          <w:bCs/>
        </w:rPr>
        <w:t xml:space="preserve">doc. </w:t>
      </w:r>
      <w:r w:rsidR="007813B5">
        <w:rPr>
          <w:b/>
          <w:bCs/>
        </w:rPr>
        <w:t>7</w:t>
      </w:r>
      <w:r w:rsidR="00FE12A7">
        <w:t>), con il quale veniva contestato alla Società l’omesso/parziale versamento del Canone dovuto, ai sensi dell’art. 1, comma 831, della Legge n. 160/2019, per le occupazioni permanenti del territorio comunale con cavi e condutture destinate all’erogazione del servizio di distribuzione del gas naturale, per le annualità 2022, 2023, 2024 e 2025, per un impo</w:t>
      </w:r>
      <w:r>
        <w:t>rto complessivo di € 225.708,00</w:t>
      </w:r>
      <w:r w:rsidR="00FE12A7">
        <w:t>.</w:t>
      </w:r>
    </w:p>
    <w:p w14:paraId="4B6776FD" w14:textId="731EA01C" w:rsidR="008B57B0" w:rsidRDefault="00FE12A7">
      <w:pPr>
        <w:snapToGrid w:val="0"/>
      </w:pPr>
      <w:r>
        <w:t>Avverso l’atto impositivo, la Società presentava istanza di annullamento in autotutela in data 30 aprile 2026 (</w:t>
      </w:r>
      <w:r>
        <w:rPr>
          <w:b/>
          <w:bCs/>
        </w:rPr>
        <w:t xml:space="preserve">doc. </w:t>
      </w:r>
      <w:r w:rsidR="007813B5">
        <w:rPr>
          <w:b/>
          <w:bCs/>
        </w:rPr>
        <w:t>8</w:t>
      </w:r>
      <w:r>
        <w:t xml:space="preserve">), riproponendo la tesi della debenza del Canone limitatamente alla porzione di rete di propria proprietà. </w:t>
      </w:r>
    </w:p>
    <w:p w14:paraId="5EA5F1F2" w14:textId="5F10F1D1" w:rsidR="00FE20EC" w:rsidRDefault="00FE12A7">
      <w:pPr>
        <w:snapToGrid w:val="0"/>
      </w:pPr>
      <w:r>
        <w:t>Il Comune, con successivo provvedimento di rigetto del 12 maggio 2026 (</w:t>
      </w:r>
      <w:r>
        <w:rPr>
          <w:b/>
          <w:bCs/>
        </w:rPr>
        <w:t xml:space="preserve">doc. </w:t>
      </w:r>
      <w:r w:rsidR="007813B5">
        <w:rPr>
          <w:b/>
          <w:bCs/>
        </w:rPr>
        <w:t>9</w:t>
      </w:r>
      <w:r>
        <w:t xml:space="preserve">), confermava la correttezza e la legittimità dell’accertamento, ribadendo l’inapplicabilità della </w:t>
      </w:r>
      <w:r w:rsidR="008B57B0">
        <w:t>esenzione</w:t>
      </w:r>
      <w:r>
        <w:t xml:space="preserve"> invocata.</w:t>
      </w:r>
    </w:p>
    <w:p w14:paraId="1F3FB3E6" w14:textId="25BF8CDA" w:rsidR="00FE20EC" w:rsidRDefault="008B57B0">
      <w:pPr>
        <w:snapToGrid w:val="0"/>
      </w:pPr>
      <w:r>
        <w:t xml:space="preserve">All’esito del suddetto rigetto, </w:t>
      </w:r>
      <w:r w:rsidR="00FE12A7">
        <w:t>Unareti S.p.A. ha proposto ricorso innanzi a Codesta Ecc.ma Corte di Giustizia Tributaria di Primo Grado di Milano (</w:t>
      </w:r>
      <w:r w:rsidR="00FE12A7">
        <w:rPr>
          <w:b/>
          <w:bCs/>
        </w:rPr>
        <w:t>doc. A</w:t>
      </w:r>
      <w:r w:rsidR="00FE12A7">
        <w:t xml:space="preserve">), </w:t>
      </w:r>
      <w:r>
        <w:t>lamentando</w:t>
      </w:r>
      <w:r w:rsidR="00FE12A7">
        <w:t>:</w:t>
      </w:r>
    </w:p>
    <w:p w14:paraId="69E53001" w14:textId="6DE003F2" w:rsidR="00FE20EC" w:rsidRDefault="00FE12A7">
      <w:pPr>
        <w:snapToGrid w:val="0"/>
      </w:pPr>
      <w:r>
        <w:t>1)</w:t>
      </w:r>
      <w:r w:rsidR="008B57B0">
        <w:t xml:space="preserve"> V</w:t>
      </w:r>
      <w:r>
        <w:t>iolazione dell’art. 7 della L. 212/2000 – carenza di motivazione dell’atto;</w:t>
      </w:r>
    </w:p>
    <w:p w14:paraId="186F9213" w14:textId="2E26D4EF" w:rsidR="00FE20EC" w:rsidRDefault="00FE12A7">
      <w:pPr>
        <w:snapToGrid w:val="0"/>
      </w:pPr>
      <w:r>
        <w:t>2) Illegittimità dell’atto emesso in violazione dell’art. 6-bis della L. 212/2000;</w:t>
      </w:r>
    </w:p>
    <w:p w14:paraId="0B43921C" w14:textId="3245808B" w:rsidR="00FE20EC" w:rsidRDefault="00FE12A7">
      <w:pPr>
        <w:snapToGrid w:val="0"/>
      </w:pPr>
      <w:r>
        <w:t xml:space="preserve">3) </w:t>
      </w:r>
      <w:r w:rsidR="008B57B0">
        <w:t xml:space="preserve">Il preteso </w:t>
      </w:r>
      <w:r>
        <w:t>il rispetto della normativa da parte di Unareti;</w:t>
      </w:r>
    </w:p>
    <w:p w14:paraId="3A490048" w14:textId="6DA641E8" w:rsidR="00FE20EC" w:rsidRDefault="00FE12A7">
      <w:pPr>
        <w:snapToGrid w:val="0"/>
      </w:pPr>
      <w:r>
        <w:t xml:space="preserve">4) </w:t>
      </w:r>
      <w:r w:rsidR="008B57B0">
        <w:t xml:space="preserve">La pretesa </w:t>
      </w:r>
      <w:r>
        <w:t>violazione del diritto all’equo processo;</w:t>
      </w:r>
    </w:p>
    <w:p w14:paraId="1D9CA845" w14:textId="4514680D" w:rsidR="00FE20EC" w:rsidRDefault="00FE12A7">
      <w:pPr>
        <w:snapToGrid w:val="0"/>
      </w:pPr>
      <w:r>
        <w:t>5) Istanza di sospensione.</w:t>
      </w:r>
    </w:p>
    <w:p w14:paraId="0603EC83" w14:textId="60EFA8CE" w:rsidR="008A00B3" w:rsidRDefault="008A00B3" w:rsidP="008A00B3">
      <w:pPr>
        <w:snapToGrid w:val="0"/>
      </w:pPr>
      <w:r w:rsidRPr="008A00B3">
        <w:t>Paventando anche, a dimostrazione della debolezza delle proprie tesi</w:t>
      </w:r>
      <w:r w:rsidRPr="008A00B3">
        <w:rPr>
          <w:i/>
          <w:iCs/>
        </w:rPr>
        <w:t>, “un’azione accertativa “eterodiretta” dalla Società di Riscossione, che ha tutto l’interesse a convincere l’Ente ad accertare la Società considerata la rilevante success fee del 20% dell’incassato pattuita con il Comune</w:t>
      </w:r>
      <w:r>
        <w:rPr>
          <w:i/>
          <w:iCs/>
        </w:rPr>
        <w:t>”</w:t>
      </w:r>
      <w:r w:rsidRPr="008A00B3">
        <w:t>.</w:t>
      </w:r>
      <w:r>
        <w:t xml:space="preserve"> </w:t>
      </w:r>
    </w:p>
    <w:p w14:paraId="1DF017F0" w14:textId="60152B43" w:rsidR="00FE20EC" w:rsidRDefault="008B57B0">
      <w:pPr>
        <w:snapToGrid w:val="0"/>
      </w:pPr>
      <w:r>
        <w:lastRenderedPageBreak/>
        <w:t>C</w:t>
      </w:r>
      <w:r w:rsidR="00FE12A7">
        <w:t>on il presente atto si costituisce in giudizio il Comune di Cinisello Balsamo, come sopra rappresentato e difeso, contestando integralmente le domande, le eccezioni e le deduzioni avversarie, di cui chiede il rigetto per i seguenti</w:t>
      </w:r>
    </w:p>
    <w:p w14:paraId="1ED326DC" w14:textId="77777777" w:rsidR="00FE20EC" w:rsidRDefault="00FE12A7">
      <w:pPr>
        <w:snapToGrid w:val="0"/>
        <w:spacing w:line="276" w:lineRule="auto"/>
        <w:jc w:val="center"/>
        <w:rPr>
          <w:b/>
          <w:bCs/>
        </w:rPr>
      </w:pPr>
      <w:r>
        <w:rPr>
          <w:b/>
          <w:bCs/>
        </w:rPr>
        <w:t>MOTIVI</w:t>
      </w:r>
    </w:p>
    <w:p w14:paraId="4553BCF6" w14:textId="77777777" w:rsidR="004170C5" w:rsidRDefault="00705AF0" w:rsidP="00945F8B">
      <w:pPr>
        <w:snapToGrid w:val="0"/>
        <w:ind w:firstLine="709"/>
        <w:rPr>
          <w:b/>
          <w:bCs/>
        </w:rPr>
      </w:pPr>
      <w:r>
        <w:rPr>
          <w:b/>
          <w:bCs/>
        </w:rPr>
        <w:t>Prima di replicare ai singoli motivi</w:t>
      </w:r>
      <w:r w:rsidR="004170C5">
        <w:rPr>
          <w:b/>
          <w:bCs/>
        </w:rPr>
        <w:t xml:space="preserve"> di ricorso,</w:t>
      </w:r>
      <w:r>
        <w:rPr>
          <w:b/>
          <w:bCs/>
        </w:rPr>
        <w:t xml:space="preserve"> si ritiene </w:t>
      </w:r>
      <w:r w:rsidR="004170C5">
        <w:rPr>
          <w:b/>
          <w:bCs/>
        </w:rPr>
        <w:t>necessario chiarire</w:t>
      </w:r>
      <w:r>
        <w:rPr>
          <w:b/>
          <w:bCs/>
        </w:rPr>
        <w:t xml:space="preserve">, stigmatizzando il tentivo </w:t>
      </w:r>
      <w:r w:rsidR="008A00B3" w:rsidRPr="00705AF0">
        <w:rPr>
          <w:b/>
          <w:bCs/>
        </w:rPr>
        <w:t>di mera strumentalizzazione della Ricorrente, che la società ARCHIVIA SOLUTION spa non è Concessionario della Riscossione</w:t>
      </w:r>
      <w:r>
        <w:rPr>
          <w:b/>
          <w:bCs/>
        </w:rPr>
        <w:t>,</w:t>
      </w:r>
      <w:r w:rsidR="008A00B3" w:rsidRPr="00705AF0">
        <w:rPr>
          <w:b/>
          <w:bCs/>
        </w:rPr>
        <w:t xml:space="preserve"> ma solo società di Supporto al Comune</w:t>
      </w:r>
      <w:r w:rsidR="004170C5" w:rsidRPr="004170C5">
        <w:rPr>
          <w:b/>
          <w:bCs/>
        </w:rPr>
        <w:t xml:space="preserve"> </w:t>
      </w:r>
      <w:r w:rsidR="004170C5">
        <w:rPr>
          <w:b/>
          <w:bCs/>
        </w:rPr>
        <w:t>ne</w:t>
      </w:r>
      <w:r w:rsidR="004170C5" w:rsidRPr="004170C5">
        <w:rPr>
          <w:b/>
          <w:bCs/>
        </w:rPr>
        <w:t>lla gestione del Canone, giusta Determinazione n. 709/2025</w:t>
      </w:r>
      <w:r w:rsidR="004170C5">
        <w:rPr>
          <w:b/>
          <w:bCs/>
        </w:rPr>
        <w:t>.</w:t>
      </w:r>
    </w:p>
    <w:p w14:paraId="5FA74337" w14:textId="0FCF7ED2" w:rsidR="004170C5" w:rsidRPr="004170C5" w:rsidRDefault="004170C5" w:rsidP="00945F8B">
      <w:pPr>
        <w:snapToGrid w:val="0"/>
        <w:ind w:firstLine="709"/>
        <w:rPr>
          <w:b/>
          <w:bCs/>
        </w:rPr>
      </w:pPr>
      <w:r w:rsidRPr="00DB2967">
        <w:rPr>
          <w:b/>
          <w:bCs/>
          <w:u w:val="single"/>
        </w:rPr>
        <w:t>In particolare, va evidenziato che il compenso di Archivia Solution spa maturerà solo dopo l’effettivo incasso da parte del Comune del tributo evaso da società come UNARETI. Pertanto, non vi sarebbe alcun</w:t>
      </w:r>
      <w:r w:rsidR="00945F8B">
        <w:rPr>
          <w:b/>
          <w:bCs/>
          <w:u w:val="single"/>
        </w:rPr>
        <w:t xml:space="preserve"> vantaggio </w:t>
      </w:r>
      <w:r w:rsidRPr="00DB2967">
        <w:rPr>
          <w:b/>
          <w:bCs/>
          <w:u w:val="single"/>
        </w:rPr>
        <w:t>a fornire consulenze infondate</w:t>
      </w:r>
      <w:r>
        <w:rPr>
          <w:b/>
          <w:bCs/>
        </w:rPr>
        <w:t>.</w:t>
      </w:r>
    </w:p>
    <w:p w14:paraId="22E0DC7B" w14:textId="1E9796D6" w:rsidR="00705AF0" w:rsidRDefault="004170C5" w:rsidP="00945F8B">
      <w:pPr>
        <w:snapToGrid w:val="0"/>
        <w:ind w:firstLine="709"/>
        <w:rPr>
          <w:b/>
          <w:bCs/>
        </w:rPr>
      </w:pPr>
      <w:r>
        <w:rPr>
          <w:b/>
          <w:bCs/>
        </w:rPr>
        <w:t>L</w:t>
      </w:r>
      <w:r w:rsidRPr="004170C5">
        <w:rPr>
          <w:b/>
          <w:bCs/>
        </w:rPr>
        <w:t>e insinuazioni avversarie</w:t>
      </w:r>
      <w:r>
        <w:rPr>
          <w:b/>
          <w:bCs/>
        </w:rPr>
        <w:t>,</w:t>
      </w:r>
      <w:r w:rsidRPr="004170C5">
        <w:rPr>
          <w:b/>
          <w:bCs/>
        </w:rPr>
        <w:t xml:space="preserve"> circa un’asserita azione accertativa “eterodiretta” dalla predetta società sono, pertanto, oltre che irrilevanti ai fini della debenza del tributo, del tutto prive di fondamento, inserite solo al fine di confondere il giudicante attesa la debolezza delle tesi difensive avverse</w:t>
      </w:r>
      <w:r w:rsidR="00705AF0">
        <w:rPr>
          <w:b/>
          <w:bCs/>
        </w:rPr>
        <w:t>.</w:t>
      </w:r>
    </w:p>
    <w:p w14:paraId="5C2C4BC4" w14:textId="18601736" w:rsidR="008A00B3" w:rsidRDefault="004170C5" w:rsidP="004170C5">
      <w:pPr>
        <w:snapToGrid w:val="0"/>
        <w:spacing w:line="276" w:lineRule="auto"/>
        <w:ind w:firstLine="0"/>
        <w:jc w:val="center"/>
      </w:pPr>
      <w:r>
        <w:rPr>
          <w:b/>
          <w:bCs/>
        </w:rPr>
        <w:t>* * *</w:t>
      </w:r>
    </w:p>
    <w:p w14:paraId="25868324" w14:textId="77777777" w:rsidR="00FE20EC" w:rsidRDefault="00FE12A7">
      <w:pPr>
        <w:snapToGrid w:val="0"/>
      </w:pPr>
      <w:r>
        <w:rPr>
          <w:b/>
          <w:bCs/>
        </w:rPr>
        <w:t>1. Sull’infondatezza del primo motivo: l’adeguatezza della motivazione dell’atto (art. 7 della L. 212/2000).</w:t>
      </w:r>
    </w:p>
    <w:p w14:paraId="696F2548" w14:textId="77777777" w:rsidR="008B57B0" w:rsidRDefault="00FE12A7">
      <w:pPr>
        <w:snapToGrid w:val="0"/>
      </w:pPr>
      <w:r>
        <w:t xml:space="preserve">La ricorrente lamenta che l’Avviso sarebbe sorretto da motivazione meramente apparente, riducendosi ad un mero elenco di disposizioni normative, e che il Comune non avrebbe allegato la documentazione da cui ha tratto il numero delle utenze. </w:t>
      </w:r>
    </w:p>
    <w:p w14:paraId="3461BEEA" w14:textId="164B7FB6" w:rsidR="00FE20EC" w:rsidRDefault="00FE12A7">
      <w:pPr>
        <w:snapToGrid w:val="0"/>
      </w:pPr>
      <w:r>
        <w:t>La censura è infondata.</w:t>
      </w:r>
    </w:p>
    <w:p w14:paraId="24E5F1BF" w14:textId="6087B37D" w:rsidR="00FE20EC" w:rsidRDefault="00FE12A7">
      <w:pPr>
        <w:snapToGrid w:val="0"/>
      </w:pPr>
      <w:r>
        <w:t>L’Avviso impugnato, lungi dal limitarsi ad un elenco di norme, individua compiutamente: a) il presupposto impositivo, costituito dall’occupazione permanente del suolo pubblico comunale con la rete di distribuzione del gas naturale condotta dalla Società in forza del Contratto di Servizio dell’ATEM Milano 1; b) la norma impositiva applicata, ossia l’art. 1, comma 831, della L. 160/2019 e la relativa norma di interpretazione autentica; c) il criterio di quantificazione, espressamente esplicitato, fondato sui dati rilevati dalla piattaforma Punto Fisco dell’Agenzia delle Entrate</w:t>
      </w:r>
      <w:r w:rsidR="00DB2967">
        <w:t xml:space="preserve"> </w:t>
      </w:r>
      <w:r w:rsidR="00DB2967" w:rsidRPr="00DB2967">
        <w:rPr>
          <w:b/>
          <w:bCs/>
        </w:rPr>
        <w:t>(estratto doc. 1</w:t>
      </w:r>
      <w:r w:rsidR="00AA0C1D">
        <w:rPr>
          <w:b/>
          <w:bCs/>
        </w:rPr>
        <w:t>2</w:t>
      </w:r>
      <w:r w:rsidR="00DB2967" w:rsidRPr="00DB2967">
        <w:rPr>
          <w:b/>
          <w:bCs/>
        </w:rPr>
        <w:t>)</w:t>
      </w:r>
      <w:r>
        <w:t xml:space="preserve">, al netto dei versamenti già effettuati, con indicazione del dettaglio per ciascuna annualità accertata; d) le ragioni del disconoscimento dei dati dichiarati, </w:t>
      </w:r>
      <w:r w:rsidR="0075000E" w:rsidRPr="0075000E">
        <w:t>riconducibili alla loro incongruità rispetto alla dimensione del Comune e alla mancata adeguata collaborazione della Società nel chiarire le percentuali di rete che pretendeva di assoggettare</w:t>
      </w:r>
      <w:r>
        <w:t>.</w:t>
      </w:r>
    </w:p>
    <w:p w14:paraId="1E42280E" w14:textId="77777777" w:rsidR="0075000E" w:rsidRDefault="00FE12A7">
      <w:pPr>
        <w:snapToGrid w:val="0"/>
      </w:pPr>
      <w:r>
        <w:lastRenderedPageBreak/>
        <w:t xml:space="preserve">La motivazione così resa ha consentito alla ricorrente di esercitare pienamente il proprio diritto di difesa, come del resto dimostra l’articolato ricorso introduttivo, nel quale la Società ha </w:t>
      </w:r>
      <w:r w:rsidR="008B57B0">
        <w:t>c</w:t>
      </w:r>
      <w:r>
        <w:t xml:space="preserve">ontestato sia i presupposti giuridici sia il criterio di calcolo dell’atto. </w:t>
      </w:r>
    </w:p>
    <w:p w14:paraId="760DD2BA" w14:textId="6A2D8778" w:rsidR="00BE2EBD" w:rsidRDefault="00FE12A7">
      <w:pPr>
        <w:snapToGrid w:val="0"/>
      </w:pPr>
      <w:r>
        <w:t>È dunque insussistente qualsiasi pregiudizio difensivo</w:t>
      </w:r>
      <w:r w:rsidR="0075000E">
        <w:t xml:space="preserve"> </w:t>
      </w:r>
      <w:r w:rsidR="0075000E" w:rsidRPr="0075000E">
        <w:t xml:space="preserve">la ricorrente, peraltro, non ha dedotto né provato un concreto pregiudizio derivante da tale modalità di </w:t>
      </w:r>
      <w:r w:rsidR="0075000E">
        <w:t>formazione del provvedimento</w:t>
      </w:r>
      <w:r>
        <w:t xml:space="preserve">. </w:t>
      </w:r>
    </w:p>
    <w:p w14:paraId="2B62D2F1" w14:textId="37348CE4" w:rsidR="00FE20EC" w:rsidRDefault="00FE12A7">
      <w:pPr>
        <w:snapToGrid w:val="0"/>
      </w:pPr>
      <w:r>
        <w:t>Il primo motivo deve pertanto essere rigettato.</w:t>
      </w:r>
    </w:p>
    <w:p w14:paraId="09433A46" w14:textId="77777777" w:rsidR="00FE20EC" w:rsidRDefault="00FE12A7">
      <w:pPr>
        <w:snapToGrid w:val="0"/>
        <w:spacing w:line="276" w:lineRule="auto"/>
        <w:jc w:val="center"/>
      </w:pPr>
      <w:r>
        <w:t>* * *</w:t>
      </w:r>
    </w:p>
    <w:p w14:paraId="731F5748" w14:textId="77777777" w:rsidR="00FE20EC" w:rsidRDefault="00FE12A7">
      <w:pPr>
        <w:snapToGrid w:val="0"/>
      </w:pPr>
      <w:r>
        <w:rPr>
          <w:b/>
          <w:bCs/>
        </w:rPr>
        <w:t>2. Sull’infondatezza del secondo motivo: il rispetto del contraddittorio (art. 6-bis della L. 212/2000).</w:t>
      </w:r>
    </w:p>
    <w:p w14:paraId="4451B1B0" w14:textId="77777777" w:rsidR="008B57B0" w:rsidRDefault="00FE12A7">
      <w:pPr>
        <w:snapToGrid w:val="0"/>
      </w:pPr>
      <w:r>
        <w:t>La ricorrente deduce l’illegittimità dell’Avviso per omessa instaurazione del contraddittorio preventivo e per mancata notifica dello schema d’atto.</w:t>
      </w:r>
    </w:p>
    <w:p w14:paraId="14646CC8" w14:textId="28CA3BA6" w:rsidR="00FE20EC" w:rsidRDefault="00FE12A7">
      <w:pPr>
        <w:snapToGrid w:val="0"/>
      </w:pPr>
      <w:r>
        <w:t>La censura non merita accoglimento.</w:t>
      </w:r>
    </w:p>
    <w:p w14:paraId="7DD346AF" w14:textId="2DA4E64F" w:rsidR="00A4202C" w:rsidRDefault="00FE12A7">
      <w:pPr>
        <w:snapToGrid w:val="0"/>
      </w:pPr>
      <w:r>
        <w:t xml:space="preserve">Al riguardo, va preliminarmente osservato che la sentenza delle Sezioni Unite della </w:t>
      </w:r>
      <w:r w:rsidRPr="008B57B0">
        <w:rPr>
          <w:b/>
        </w:rPr>
        <w:t>Corte di Cassazione n. 12225 del 1° maggio 2026 (</w:t>
      </w:r>
      <w:r w:rsidRPr="008B57B0">
        <w:rPr>
          <w:b/>
          <w:bCs/>
        </w:rPr>
        <w:t>doc</w:t>
      </w:r>
      <w:r>
        <w:rPr>
          <w:b/>
          <w:bCs/>
        </w:rPr>
        <w:t xml:space="preserve">. </w:t>
      </w:r>
      <w:r w:rsidR="007813B5">
        <w:rPr>
          <w:b/>
          <w:bCs/>
        </w:rPr>
        <w:t>1</w:t>
      </w:r>
      <w:r w:rsidR="00AA0C1D">
        <w:rPr>
          <w:b/>
          <w:bCs/>
        </w:rPr>
        <w:t>0</w:t>
      </w:r>
      <w:r>
        <w:t xml:space="preserve">), che ha definitivamente sancito la natura tributaria del CUP – con la conseguente applicabilità del contraddittorio preventivo di cui all’art. 6-bis della L. n. 212/2000, come novellato dal D.Lgs. n. 219/2023 – è </w:t>
      </w:r>
      <w:r w:rsidRPr="008B57B0">
        <w:rPr>
          <w:b/>
        </w:rPr>
        <w:t>successiva</w:t>
      </w:r>
      <w:r>
        <w:t xml:space="preserve"> sia all’avvio del procedimento precontenzioso (gennaio-febbraio 2026), sia all’emissione e </w:t>
      </w:r>
      <w:r w:rsidRPr="008B57B0">
        <w:rPr>
          <w:b/>
        </w:rPr>
        <w:t>alla notifica dell’avviso di accertamento n. 17</w:t>
      </w:r>
      <w:r>
        <w:t xml:space="preserve"> (notificato il 27 marzo 2026)</w:t>
      </w:r>
      <w:r w:rsidR="00A4202C">
        <w:t>.</w:t>
      </w:r>
    </w:p>
    <w:p w14:paraId="6BADDF4A" w14:textId="4FC00753" w:rsidR="00FE20EC" w:rsidRDefault="00A4202C">
      <w:pPr>
        <w:snapToGrid w:val="0"/>
      </w:pPr>
      <w:r>
        <w:t xml:space="preserve">Ed infatti, </w:t>
      </w:r>
      <w:r w:rsidR="00FE12A7">
        <w:t xml:space="preserve">al momento in cui il Comune ha operato, la natura tributaria del CUP era ancora oggetto di acceso dibattito </w:t>
      </w:r>
      <w:r>
        <w:t xml:space="preserve">e non sussisteva </w:t>
      </w:r>
      <w:r w:rsidR="00FE12A7">
        <w:t xml:space="preserve">l’obbligo del contraddittorio preventivo </w:t>
      </w:r>
      <w:r>
        <w:t xml:space="preserve">per </w:t>
      </w:r>
      <w:r w:rsidR="00FE12A7">
        <w:t>le entrate di natura patrimoniale.</w:t>
      </w:r>
    </w:p>
    <w:p w14:paraId="0E36ADE6" w14:textId="77777777" w:rsidR="00A4202C" w:rsidRDefault="00FE12A7">
      <w:pPr>
        <w:snapToGrid w:val="0"/>
      </w:pPr>
      <w:r>
        <w:t xml:space="preserve">A ciò si aggiunga che, </w:t>
      </w:r>
      <w:r w:rsidRPr="00A05475">
        <w:rPr>
          <w:b/>
          <w:bCs/>
          <w:u w:val="single"/>
        </w:rPr>
        <w:t>nel cas</w:t>
      </w:r>
      <w:r w:rsidR="00A4202C" w:rsidRPr="00A05475">
        <w:rPr>
          <w:b/>
          <w:bCs/>
          <w:u w:val="single"/>
        </w:rPr>
        <w:t>o di specie, il contraddittorio</w:t>
      </w:r>
      <w:r w:rsidRPr="00A05475">
        <w:rPr>
          <w:b/>
          <w:bCs/>
          <w:u w:val="single"/>
        </w:rPr>
        <w:t>, nella sua finalità sostanziale di concordabilità della pretesa, è stato comunque in concreto garantito</w:t>
      </w:r>
      <w:r>
        <w:t xml:space="preserve">. </w:t>
      </w:r>
    </w:p>
    <w:p w14:paraId="121245C1" w14:textId="77777777" w:rsidR="00A05475" w:rsidRDefault="00A4202C">
      <w:pPr>
        <w:snapToGrid w:val="0"/>
      </w:pPr>
      <w:r>
        <w:t>Come detto, infatti, p</w:t>
      </w:r>
      <w:r w:rsidR="00FE12A7">
        <w:t xml:space="preserve">rima dell’emissione dell’atto la Società è stata resa edotta della pretesa e delle anomalie riscontrate, mediante le note di Archivia Solution S.p.A. del 26 gennaio 2026 e del 5 febbraio 2026, ed ha avuto modo di interloquire compiutamente, presentando le proprie osservazioni con le comunicazioni del 30 gennaio 2026 e del 17 febbraio 2026. </w:t>
      </w:r>
    </w:p>
    <w:p w14:paraId="085C014A" w14:textId="653DE1F4" w:rsidR="00FE20EC" w:rsidRDefault="00FE12A7">
      <w:pPr>
        <w:snapToGrid w:val="0"/>
      </w:pPr>
      <w:r w:rsidRPr="00DB2967">
        <w:rPr>
          <w:b/>
          <w:bCs/>
          <w:u w:val="single"/>
        </w:rPr>
        <w:t>La finalità partecipativa sottesa all’art. 6-bis risulta pertanto soddisfatta</w:t>
      </w:r>
      <w:r>
        <w:t>.</w:t>
      </w:r>
    </w:p>
    <w:p w14:paraId="24BA0214" w14:textId="5E9C6F4B" w:rsidR="00D709F8" w:rsidRPr="00D709F8" w:rsidRDefault="00D709F8" w:rsidP="00D709F8">
      <w:pPr>
        <w:snapToGrid w:val="0"/>
      </w:pPr>
      <w:r w:rsidRPr="00DB2967">
        <w:rPr>
          <w:b/>
          <w:bCs/>
          <w:u w:val="single"/>
        </w:rPr>
        <w:t>In ogni caso, l’art. 6-bis, L. n. 212/2000 subordina l’annullabilità dell’atto alla dimostrazione, da parte del contribuente, delle ragioni che avrebbe potuto far valere se il contraddittorio fosse stato regolarmente attivato</w:t>
      </w:r>
      <w:r w:rsidRPr="00D709F8">
        <w:t xml:space="preserve">. </w:t>
      </w:r>
    </w:p>
    <w:p w14:paraId="0EEE8D0A" w14:textId="06CC43DD" w:rsidR="00D709F8" w:rsidRPr="00D709F8" w:rsidRDefault="00D709F8" w:rsidP="00D709F8">
      <w:pPr>
        <w:snapToGrid w:val="0"/>
      </w:pPr>
      <w:r w:rsidRPr="00DB2967">
        <w:rPr>
          <w:u w:val="single"/>
        </w:rPr>
        <w:lastRenderedPageBreak/>
        <w:t>La Ricorrente non ha fornito</w:t>
      </w:r>
      <w:r w:rsidR="00A4202C" w:rsidRPr="00DB2967">
        <w:rPr>
          <w:u w:val="single"/>
        </w:rPr>
        <w:t>, nemmeno in questa sede,</w:t>
      </w:r>
      <w:r w:rsidRPr="00DB2967">
        <w:rPr>
          <w:u w:val="single"/>
        </w:rPr>
        <w:t xml:space="preserve"> alcuna prova utile alla sua difesa</w:t>
      </w:r>
      <w:r w:rsidRPr="00D709F8">
        <w:t xml:space="preserve">, né ha indicato quali diverse argomentazioni avrebbe potuto addurre, idonee a mutare l’esito del procedimento. </w:t>
      </w:r>
      <w:r w:rsidR="00A05475">
        <w:t>D</w:t>
      </w:r>
      <w:r w:rsidR="00A05475" w:rsidRPr="00A05475">
        <w:t>ifetta, quindi, la dimostrazione di un concreto vulnus difensivo idoneo a riverberarsi sulla legittimità dell’atto</w:t>
      </w:r>
    </w:p>
    <w:p w14:paraId="70A56EF4" w14:textId="4E4C39AC" w:rsidR="00D709F8" w:rsidRPr="00D709F8" w:rsidRDefault="00D709F8" w:rsidP="00D709F8">
      <w:pPr>
        <w:snapToGrid w:val="0"/>
      </w:pPr>
      <w:r w:rsidRPr="00D709F8">
        <w:t>L’eccezione è</w:t>
      </w:r>
      <w:r w:rsidR="006C1ECA">
        <w:t>,</w:t>
      </w:r>
      <w:r w:rsidRPr="00D709F8">
        <w:t xml:space="preserve"> dunque</w:t>
      </w:r>
      <w:r w:rsidR="006C1ECA">
        <w:t>,</w:t>
      </w:r>
      <w:r w:rsidRPr="00D709F8">
        <w:t xml:space="preserve"> infondata anche sotto tale ulteriore profilo.</w:t>
      </w:r>
    </w:p>
    <w:p w14:paraId="38D13AEA" w14:textId="40C1457C" w:rsidR="00FE20EC" w:rsidRDefault="00FE12A7">
      <w:pPr>
        <w:snapToGrid w:val="0"/>
        <w:spacing w:line="276" w:lineRule="auto"/>
        <w:jc w:val="center"/>
      </w:pPr>
      <w:r>
        <w:t>* * *</w:t>
      </w:r>
    </w:p>
    <w:p w14:paraId="4DCDFD85" w14:textId="77777777" w:rsidR="00FE20EC" w:rsidRDefault="00FE12A7">
      <w:pPr>
        <w:snapToGrid w:val="0"/>
      </w:pPr>
      <w:r>
        <w:rPr>
          <w:b/>
          <w:bCs/>
        </w:rPr>
        <w:t>3. Sull’infondatezza del terzo motivo: la soggettività passiva di Unareti S.p.A. quale gestore occupante (art. 1, comma 831, della L. 160/2019).</w:t>
      </w:r>
    </w:p>
    <w:p w14:paraId="63556BA8" w14:textId="0A027EBB" w:rsidR="000B2F62" w:rsidRDefault="00FE12A7" w:rsidP="00C66BA1">
      <w:pPr>
        <w:snapToGrid w:val="0"/>
      </w:pPr>
      <w:r>
        <w:t>Con</w:t>
      </w:r>
      <w:r w:rsidR="00C66BA1">
        <w:t xml:space="preserve"> </w:t>
      </w:r>
      <w:r w:rsidR="00C66BA1" w:rsidRPr="00C66BA1">
        <w:t>il terzo motivo la ricorrente sostiene di essere tenuta al Canone limitatamente alla porzione di rete di propria proprietà e non sull'intera rete da essa condotta, invocando a tal fine l'art. 8, comma 5, del D.M. 226/2011 e l'art. 29 del Contratto di Servizio</w:t>
      </w:r>
      <w:r w:rsidR="007813B5">
        <w:t xml:space="preserve"> </w:t>
      </w:r>
      <w:r w:rsidR="007813B5" w:rsidRPr="008B57B0">
        <w:rPr>
          <w:b/>
        </w:rPr>
        <w:t>(</w:t>
      </w:r>
      <w:r w:rsidR="007813B5" w:rsidRPr="008B57B0">
        <w:rPr>
          <w:b/>
          <w:bCs/>
        </w:rPr>
        <w:t>doc</w:t>
      </w:r>
      <w:r w:rsidR="007813B5">
        <w:rPr>
          <w:b/>
          <w:bCs/>
        </w:rPr>
        <w:t>. 11</w:t>
      </w:r>
      <w:r w:rsidR="007813B5">
        <w:t>)</w:t>
      </w:r>
      <w:r w:rsidR="00C66BA1" w:rsidRPr="00C66BA1">
        <w:t>.</w:t>
      </w:r>
    </w:p>
    <w:p w14:paraId="114C39EA" w14:textId="32156AB3" w:rsidR="00C66BA1" w:rsidRPr="00C66BA1" w:rsidRDefault="00C66BA1" w:rsidP="00C66BA1">
      <w:pPr>
        <w:snapToGrid w:val="0"/>
      </w:pPr>
      <w:r w:rsidRPr="00C66BA1">
        <w:t>La tesi è infondata.</w:t>
      </w:r>
    </w:p>
    <w:p w14:paraId="6A2DC12E" w14:textId="77777777" w:rsidR="00A05475" w:rsidRDefault="00C66BA1" w:rsidP="00C66BA1">
      <w:pPr>
        <w:snapToGrid w:val="0"/>
      </w:pPr>
      <w:r w:rsidRPr="00C66BA1">
        <w:t xml:space="preserve">Il presupposto del Canone, ai sensi dell'art. 1, comma 819, lett. a), della L. 160/2019, è costituito dall'occupazione – anche abusiva – del suolo e del sottosuolo pubblico, e non già dalla proprietà della rete. </w:t>
      </w:r>
    </w:p>
    <w:p w14:paraId="34568672" w14:textId="655432CD" w:rsidR="00C66BA1" w:rsidRPr="00C66BA1" w:rsidRDefault="00C66BA1" w:rsidP="00C66BA1">
      <w:pPr>
        <w:snapToGrid w:val="0"/>
      </w:pPr>
      <w:r w:rsidRPr="000B2F62">
        <w:rPr>
          <w:b/>
          <w:u w:val="single"/>
        </w:rPr>
        <w:t>La titolarità dell'infrastruttura è dunque irrilevante ai fini dell'individuazione del soggetto passivo</w:t>
      </w:r>
      <w:r w:rsidRPr="00C66BA1">
        <w:t>.</w:t>
      </w:r>
    </w:p>
    <w:p w14:paraId="3AF35C52" w14:textId="77777777" w:rsidR="000B2F62" w:rsidRDefault="00C66BA1" w:rsidP="00C66BA1">
      <w:pPr>
        <w:snapToGrid w:val="0"/>
      </w:pPr>
      <w:r w:rsidRPr="00C66BA1">
        <w:t xml:space="preserve">In tal senso depone la disciplina del comma 831 e, soprattutto, la relativa norma di interpretazione autentica di cui all'art. 5, comma 14-quinquies, del D.L. 146/2021 (conv. L. 215/2021). </w:t>
      </w:r>
    </w:p>
    <w:p w14:paraId="7670A558" w14:textId="63329C30" w:rsidR="00C66BA1" w:rsidRPr="00C66BA1" w:rsidRDefault="00B14F86" w:rsidP="008D4BA4">
      <w:pPr>
        <w:snapToGrid w:val="0"/>
        <w:ind w:firstLine="0"/>
        <w:rPr>
          <w:b/>
          <w:bCs/>
        </w:rPr>
      </w:pPr>
      <w:r>
        <w:t xml:space="preserve">  </w:t>
      </w:r>
      <w:r w:rsidR="00C8150E">
        <w:t xml:space="preserve"> </w:t>
      </w:r>
      <w:r w:rsidR="008D4BA4">
        <w:t xml:space="preserve">  </w:t>
      </w:r>
      <w:r w:rsidR="00C66BA1" w:rsidRPr="00C66BA1">
        <w:t xml:space="preserve">Quest'ultima, proprio con riferimento ai settori – quale quello della distribuzione del gas – nei quali sussiste una separazione tra i soggetti titolari delle infrastrutture e i soggetti titolari del contratto di vendita del bene alla clientela finale, stabilisce che il canone </w:t>
      </w:r>
      <w:r w:rsidR="00C66BA1" w:rsidRPr="00C66BA1">
        <w:rPr>
          <w:b/>
          <w:bCs/>
        </w:rPr>
        <w:t>è dovuto esclusivamente dal soggetto titolare dell'atto di concessione delle infrastrutture, in base alle utenze delle predette società di vendita.</w:t>
      </w:r>
    </w:p>
    <w:p w14:paraId="5A840A51" w14:textId="267EE75B" w:rsidR="00C66BA1" w:rsidRPr="00C66BA1" w:rsidRDefault="00C66BA1" w:rsidP="00C66BA1">
      <w:pPr>
        <w:snapToGrid w:val="0"/>
      </w:pPr>
      <w:r w:rsidRPr="00C66BA1">
        <w:t xml:space="preserve">Ne discende che, nel settore del gas, soggetto passivo del Canone è il gestore titolare dell'affidamento del servizio di distribuzione – ossia il titolare dell'atto di concessione delle infrastrutture – ed il </w:t>
      </w:r>
      <w:r w:rsidRPr="006C1ECA">
        <w:rPr>
          <w:b/>
          <w:u w:val="single"/>
        </w:rPr>
        <w:t>canone è parametrato alla totalità delle utenze servite dalla rete, e non già alla sola quota di rete di sua proprietà</w:t>
      </w:r>
      <w:r w:rsidRPr="00C66BA1">
        <w:t xml:space="preserve">. </w:t>
      </w:r>
    </w:p>
    <w:p w14:paraId="2DFFEBC5" w14:textId="0F246930" w:rsidR="00C66BA1" w:rsidRPr="00FC5E70" w:rsidRDefault="00C66BA1" w:rsidP="00C66BA1">
      <w:pPr>
        <w:snapToGrid w:val="0"/>
        <w:rPr>
          <w:b/>
          <w:bCs/>
          <w:u w:val="single"/>
        </w:rPr>
      </w:pPr>
      <w:r w:rsidRPr="00C66BA1">
        <w:t>Unareti S.p.A., quale gestore del servizio di distribuzione del gas naturale dell'ATEM Milano 1</w:t>
      </w:r>
      <w:r w:rsidR="00A05475">
        <w:t>,</w:t>
      </w:r>
      <w:r w:rsidRPr="00C66BA1">
        <w:t xml:space="preserve"> in forza del Contratto di Servizio sottoscritto il 16 dicembre 2021 (doc. </w:t>
      </w:r>
      <w:r w:rsidR="00AA0C1D">
        <w:t>11</w:t>
      </w:r>
      <w:r w:rsidRPr="00C66BA1">
        <w:t>), è titolare dell'atto di concessione delle infrastrutture ed occupa permanentemente il sottosuolo del Comune di Cinisello Balsamo</w:t>
      </w:r>
      <w:r w:rsidR="006C1ECA">
        <w:t>,</w:t>
      </w:r>
      <w:r w:rsidRPr="00C66BA1">
        <w:t xml:space="preserve"> con la rete da essa condotta ed utilizzata per l'erogazione del </w:t>
      </w:r>
      <w:r w:rsidRPr="00C66BA1">
        <w:lastRenderedPageBreak/>
        <w:t>servizio per l'intero periodo accertato: essa è pertanto soggetta al Canone in relazione alla totalità delle utenze servite, a prescindere dalla titolarità della rete</w:t>
      </w:r>
      <w:r w:rsidR="006C1ECA">
        <w:t xml:space="preserve">, </w:t>
      </w:r>
      <w:r w:rsidR="006C1ECA" w:rsidRPr="00FC5E70">
        <w:rPr>
          <w:b/>
          <w:bCs/>
          <w:u w:val="single"/>
        </w:rPr>
        <w:t>per il vantaggio conseguito dall’occupazione del suolo</w:t>
      </w:r>
      <w:r w:rsidR="00FC5E70">
        <w:rPr>
          <w:b/>
          <w:bCs/>
          <w:u w:val="single"/>
        </w:rPr>
        <w:t xml:space="preserve"> (nel rispetto anche del concetto di capacità contributiva ex art. 53 Cost)</w:t>
      </w:r>
      <w:r w:rsidRPr="00FC5E70">
        <w:rPr>
          <w:b/>
          <w:bCs/>
          <w:u w:val="single"/>
        </w:rPr>
        <w:t>.</w:t>
      </w:r>
    </w:p>
    <w:p w14:paraId="56AF3867" w14:textId="77777777" w:rsidR="006C1ECA" w:rsidRDefault="00C66BA1" w:rsidP="00C66BA1">
      <w:pPr>
        <w:snapToGrid w:val="0"/>
      </w:pPr>
      <w:r w:rsidRPr="00C66BA1">
        <w:t xml:space="preserve">Né può giovare alla ricorrente il richiamo a Cass., Sez. Un., n. 8628 del 7 maggio 2020. </w:t>
      </w:r>
    </w:p>
    <w:p w14:paraId="4E04B39D" w14:textId="3E79834F" w:rsidR="00C66BA1" w:rsidRPr="00C66BA1" w:rsidRDefault="00C66BA1" w:rsidP="00C66BA1">
      <w:pPr>
        <w:snapToGrid w:val="0"/>
      </w:pPr>
      <w:r w:rsidRPr="00C66BA1">
        <w:t xml:space="preserve">Tale pronuncia è stata resa in materia di TOSAP e verte sull'interpretazione dell'art. 39 del d.lgs. n. 507/1993, disposizione che si limitava </w:t>
      </w:r>
      <w:r w:rsidRPr="00C15AF0">
        <w:t>ad individuare il soggetto passivo, secondo un ordine di graduazione, nel titolare dell'atto di concessione e, in sua mancanza, nell'occupante di fatto.</w:t>
      </w:r>
      <w:r w:rsidRPr="00C66BA1">
        <w:t xml:space="preserve"> </w:t>
      </w:r>
    </w:p>
    <w:p w14:paraId="65DFBCD5" w14:textId="77777777" w:rsidR="00B978E4" w:rsidRDefault="00C66BA1" w:rsidP="00C66BA1">
      <w:pPr>
        <w:snapToGrid w:val="0"/>
      </w:pPr>
      <w:r w:rsidRPr="00C66BA1">
        <w:t xml:space="preserve">In ogni caso, anche a voler applicare il principio invocato, esso non gioverebbe alla ricorrente. </w:t>
      </w:r>
    </w:p>
    <w:p w14:paraId="73D3A636" w14:textId="77777777" w:rsidR="00B978E4" w:rsidRDefault="00C66BA1" w:rsidP="00C66BA1">
      <w:pPr>
        <w:snapToGrid w:val="0"/>
      </w:pPr>
      <w:r w:rsidRPr="000C217A">
        <w:rPr>
          <w:b/>
          <w:bCs/>
          <w:u w:val="single"/>
        </w:rPr>
        <w:t xml:space="preserve">Le Sezioni Unite </w:t>
      </w:r>
      <w:r w:rsidR="00500EB3" w:rsidRPr="000C217A">
        <w:rPr>
          <w:b/>
          <w:bCs/>
          <w:u w:val="single"/>
        </w:rPr>
        <w:t>ancorano</w:t>
      </w:r>
      <w:r w:rsidR="00B978E4" w:rsidRPr="000C217A">
        <w:rPr>
          <w:b/>
          <w:bCs/>
          <w:u w:val="single"/>
        </w:rPr>
        <w:t>,</w:t>
      </w:r>
      <w:r w:rsidRPr="000C217A">
        <w:rPr>
          <w:b/>
          <w:bCs/>
          <w:u w:val="single"/>
        </w:rPr>
        <w:t xml:space="preserve"> infatti</w:t>
      </w:r>
      <w:r w:rsidR="00B978E4" w:rsidRPr="000C217A">
        <w:rPr>
          <w:b/>
          <w:bCs/>
          <w:u w:val="single"/>
        </w:rPr>
        <w:t>,</w:t>
      </w:r>
      <w:r w:rsidRPr="000C217A">
        <w:rPr>
          <w:b/>
          <w:bCs/>
          <w:u w:val="single"/>
        </w:rPr>
        <w:t xml:space="preserve"> la soggettività passiva non già alla proprietà del bene, bensì alla titolarità dell'atto di concessione o autorizzazione, statuendo che essa </w:t>
      </w:r>
      <w:r w:rsidR="00B978E4" w:rsidRPr="000C217A">
        <w:rPr>
          <w:b/>
          <w:bCs/>
          <w:u w:val="single"/>
        </w:rPr>
        <w:t xml:space="preserve">è in capo </w:t>
      </w:r>
      <w:r w:rsidRPr="000C217A">
        <w:rPr>
          <w:b/>
          <w:bCs/>
          <w:u w:val="single"/>
        </w:rPr>
        <w:t>esclusivamente al soggetto titolare di tale atto</w:t>
      </w:r>
      <w:r w:rsidRPr="00C66BA1">
        <w:t xml:space="preserve">. </w:t>
      </w:r>
    </w:p>
    <w:p w14:paraId="0F22FF89" w14:textId="77777777" w:rsidR="000C217A" w:rsidRDefault="00C66BA1" w:rsidP="00C66BA1">
      <w:pPr>
        <w:snapToGrid w:val="0"/>
        <w:rPr>
          <w:u w:val="single"/>
        </w:rPr>
      </w:pPr>
      <w:r w:rsidRPr="00C66BA1">
        <w:t xml:space="preserve">Orbene, nel caso di specie </w:t>
      </w:r>
      <w:r w:rsidR="00B978E4">
        <w:t xml:space="preserve">è </w:t>
      </w:r>
      <w:r w:rsidRPr="00C66BA1">
        <w:t xml:space="preserve">Unareti affidataria del servizio di distribuzione all'esito di gara pubblica e titolare del Contratto di Servizio che – per sua stessa ammissione – </w:t>
      </w:r>
      <w:r w:rsidRPr="000C217A">
        <w:rPr>
          <w:u w:val="single"/>
        </w:rPr>
        <w:t>la legittima all'occupazione del suolo pubblico</w:t>
      </w:r>
      <w:r w:rsidR="00B978E4" w:rsidRPr="000C217A">
        <w:rPr>
          <w:u w:val="single"/>
        </w:rPr>
        <w:t xml:space="preserve">, con conseguente soggettività passiva </w:t>
      </w:r>
      <w:r w:rsidRPr="000C217A">
        <w:rPr>
          <w:u w:val="single"/>
        </w:rPr>
        <w:t>all'intera occupazione e alla totalità delle utenze servite e non alla sola quota di rete di proprietà</w:t>
      </w:r>
      <w:r w:rsidR="000C217A">
        <w:rPr>
          <w:u w:val="single"/>
        </w:rPr>
        <w:t>.</w:t>
      </w:r>
    </w:p>
    <w:p w14:paraId="653692D0" w14:textId="77777777" w:rsidR="000C217A" w:rsidRDefault="000C217A" w:rsidP="000C217A">
      <w:pPr>
        <w:snapToGrid w:val="0"/>
      </w:pPr>
      <w:r w:rsidRPr="000C217A">
        <w:t>Invero,</w:t>
      </w:r>
      <w:r>
        <w:t xml:space="preserve"> l</w:t>
      </w:r>
      <w:r w:rsidRPr="000C217A">
        <w:t xml:space="preserve">a tesi di Unareti si fonda su una </w:t>
      </w:r>
      <w:r>
        <w:t xml:space="preserve">fuorviante </w:t>
      </w:r>
      <w:r w:rsidRPr="000C217A">
        <w:t>lettura d</w:t>
      </w:r>
      <w:r>
        <w:t>e</w:t>
      </w:r>
      <w:r w:rsidRPr="000C217A">
        <w:t>ll’art. 8, comma 5, del D.M. 226/2011 e d</w:t>
      </w:r>
      <w:r>
        <w:t>e</w:t>
      </w:r>
      <w:r w:rsidRPr="000C217A">
        <w:t xml:space="preserve">lla correlata clausola contrattuale. </w:t>
      </w:r>
    </w:p>
    <w:p w14:paraId="2D8F6535" w14:textId="77777777" w:rsidR="000C217A" w:rsidRDefault="000C217A" w:rsidP="000C217A">
      <w:pPr>
        <w:snapToGrid w:val="0"/>
      </w:pPr>
      <w:r w:rsidRPr="000C217A">
        <w:t xml:space="preserve">Tale norma regolamentare, </w:t>
      </w:r>
      <w:r>
        <w:t xml:space="preserve">infatti, </w:t>
      </w:r>
      <w:r w:rsidRPr="000C217A">
        <w:t xml:space="preserve">è stata concepita nel contesto previgente della TOSAP/COSAP, in cui il canone/tassa era parametrato alla proprietà delle infrastrutture insistenti sul suolo pubblico. </w:t>
      </w:r>
    </w:p>
    <w:p w14:paraId="3265521F" w14:textId="4C8A5545" w:rsidR="000C217A" w:rsidRPr="00AD1478" w:rsidRDefault="000C217A" w:rsidP="000C217A">
      <w:pPr>
        <w:snapToGrid w:val="0"/>
        <w:rPr>
          <w:b/>
          <w:bCs/>
          <w:u w:val="single"/>
        </w:rPr>
      </w:pPr>
      <w:r w:rsidRPr="000C217A">
        <w:t>Con l’introduzione del Canone Unico Patrimoniale</w:t>
      </w:r>
      <w:r>
        <w:t>,</w:t>
      </w:r>
      <w:r w:rsidRPr="000C217A">
        <w:t xml:space="preserve"> ad opera della L. 160/2019 (art. 1, commi 816</w:t>
      </w:r>
      <w:r w:rsidRPr="000C217A">
        <w:noBreakHyphen/>
        <w:t xml:space="preserve">847), e in particolare con la disciplina speciale per i servizi di rete dettata dal comma 831, l’assetto è profondamente mutato: </w:t>
      </w:r>
      <w:r w:rsidRPr="000C217A">
        <w:rPr>
          <w:b/>
          <w:bCs/>
          <w:u w:val="single"/>
        </w:rPr>
        <w:t xml:space="preserve">il presupposto del canone è l’occupazione permanente del territorio comunale con cavi e condutture dedicate alla fornitura di servizi di pubblica utilità; </w:t>
      </w:r>
      <w:r w:rsidRPr="000C217A">
        <w:t>la soggettività passiva è ancorata al titolo concessorio e all’utilizzo funzionale della rete</w:t>
      </w:r>
      <w:r>
        <w:t xml:space="preserve"> ed è </w:t>
      </w:r>
      <w:r w:rsidRPr="000C217A">
        <w:t>commisura</w:t>
      </w:r>
      <w:r>
        <w:t xml:space="preserve">ta </w:t>
      </w:r>
      <w:r w:rsidRPr="000C217A">
        <w:t>per utenz</w:t>
      </w:r>
      <w:r>
        <w:t>e</w:t>
      </w:r>
      <w:r w:rsidRPr="000C217A">
        <w:t xml:space="preserve"> attiv</w:t>
      </w:r>
      <w:r>
        <w:t xml:space="preserve">e, </w:t>
      </w:r>
      <w:r w:rsidRPr="00AD1478">
        <w:rPr>
          <w:b/>
          <w:bCs/>
          <w:u w:val="single"/>
        </w:rPr>
        <w:t>intendendo colpire il vantaggio economico che le aziende</w:t>
      </w:r>
      <w:r w:rsidR="00FC5E70">
        <w:rPr>
          <w:b/>
          <w:bCs/>
          <w:u w:val="single"/>
        </w:rPr>
        <w:t>,</w:t>
      </w:r>
      <w:r w:rsidRPr="00AD1478">
        <w:rPr>
          <w:b/>
          <w:bCs/>
          <w:u w:val="single"/>
        </w:rPr>
        <w:t xml:space="preserve"> che gestiscono servizi a rete</w:t>
      </w:r>
      <w:r w:rsidR="00FC5E70">
        <w:rPr>
          <w:b/>
          <w:bCs/>
          <w:u w:val="single"/>
        </w:rPr>
        <w:t>,</w:t>
      </w:r>
      <w:r w:rsidRPr="00AD1478">
        <w:rPr>
          <w:b/>
          <w:bCs/>
          <w:u w:val="single"/>
        </w:rPr>
        <w:t xml:space="preserve"> </w:t>
      </w:r>
      <w:r w:rsidR="00AD1478" w:rsidRPr="00AD1478">
        <w:rPr>
          <w:b/>
          <w:bCs/>
          <w:u w:val="single"/>
        </w:rPr>
        <w:t>traggono dall’occupazione del suolo pubblico.</w:t>
      </w:r>
    </w:p>
    <w:p w14:paraId="534728D4" w14:textId="5532035A" w:rsidR="00AD1478" w:rsidRDefault="000C217A" w:rsidP="000C217A">
      <w:pPr>
        <w:snapToGrid w:val="0"/>
      </w:pPr>
      <w:r w:rsidRPr="000C217A">
        <w:lastRenderedPageBreak/>
        <w:t>Ne discende che l’art. 8, comma 5, del D.M. 226/2011, pur non formalmente abrogato, è norma superata nel</w:t>
      </w:r>
      <w:r w:rsidR="00AD1478">
        <w:t>l parte in cui</w:t>
      </w:r>
      <w:r w:rsidRPr="000C217A">
        <w:t xml:space="preserve"> condiziona l’obbligo di pagamento alla proprietà dell’impianto. </w:t>
      </w:r>
    </w:p>
    <w:p w14:paraId="15352971" w14:textId="08619FB9" w:rsidR="000C217A" w:rsidRPr="000C217A" w:rsidRDefault="000C217A" w:rsidP="000C217A">
      <w:pPr>
        <w:snapToGrid w:val="0"/>
      </w:pPr>
      <w:r w:rsidRPr="000C217A">
        <w:t xml:space="preserve">La soggettività passiva limitata alle porzioni di impianto di proprietà del gestore non trova più alcun fondamento nel vigente regime CUP dei servizi di rete; l’interpretazione coerente con la L. 160/2019 impone di leggere il rapporto fra ente e gestore alla luce dell’effettiva occupazione e dell’utilizzo della rete, a qualunque titolo condotta, </w:t>
      </w:r>
      <w:r w:rsidR="00AD1478">
        <w:t>in base alle utenze attive.</w:t>
      </w:r>
    </w:p>
    <w:p w14:paraId="53431B75" w14:textId="77777777" w:rsidR="00AD1478" w:rsidRPr="00FC5E70" w:rsidRDefault="00AD1478" w:rsidP="000C217A">
      <w:pPr>
        <w:snapToGrid w:val="0"/>
        <w:rPr>
          <w:u w:val="single"/>
        </w:rPr>
      </w:pPr>
      <w:r w:rsidRPr="00FC5E70">
        <w:rPr>
          <w:u w:val="single"/>
        </w:rPr>
        <w:t>I</w:t>
      </w:r>
      <w:r w:rsidR="000C217A" w:rsidRPr="00FC5E70">
        <w:rPr>
          <w:u w:val="single"/>
        </w:rPr>
        <w:t xml:space="preserve">n tale prospettiva, l’art. 8, comma 5, del D.M. 226/2011 </w:t>
      </w:r>
      <w:r w:rsidRPr="00FC5E70">
        <w:rPr>
          <w:u w:val="single"/>
        </w:rPr>
        <w:t xml:space="preserve">non può incidere e/o modificare </w:t>
      </w:r>
      <w:r w:rsidR="000C217A" w:rsidRPr="00FC5E70">
        <w:rPr>
          <w:u w:val="single"/>
        </w:rPr>
        <w:t xml:space="preserve">il perimetro soggettivo </w:t>
      </w:r>
      <w:r w:rsidRPr="00FC5E70">
        <w:rPr>
          <w:u w:val="single"/>
        </w:rPr>
        <w:t xml:space="preserve">e oggettivo </w:t>
      </w:r>
      <w:r w:rsidR="000C217A" w:rsidRPr="00FC5E70">
        <w:rPr>
          <w:u w:val="single"/>
        </w:rPr>
        <w:t xml:space="preserve">del tributo </w:t>
      </w:r>
      <w:r w:rsidRPr="00FC5E70">
        <w:rPr>
          <w:u w:val="single"/>
        </w:rPr>
        <w:t xml:space="preserve">(CUP) </w:t>
      </w:r>
      <w:r w:rsidR="000C217A" w:rsidRPr="00FC5E70">
        <w:rPr>
          <w:u w:val="single"/>
        </w:rPr>
        <w:t xml:space="preserve">né </w:t>
      </w:r>
      <w:r w:rsidRPr="00FC5E70">
        <w:rPr>
          <w:u w:val="single"/>
        </w:rPr>
        <w:t xml:space="preserve">può </w:t>
      </w:r>
      <w:r w:rsidR="000C217A" w:rsidRPr="00FC5E70">
        <w:rPr>
          <w:u w:val="single"/>
        </w:rPr>
        <w:t xml:space="preserve">derogare alla riserva di legge in materia di obbligazioni tributarie sancita dall’art. 23 Cost.. </w:t>
      </w:r>
    </w:p>
    <w:p w14:paraId="338389A0" w14:textId="28EA5182" w:rsidR="000C217A" w:rsidRPr="000C217A" w:rsidRDefault="00AD1478" w:rsidP="000C217A">
      <w:pPr>
        <w:snapToGrid w:val="0"/>
      </w:pPr>
      <w:r>
        <w:t xml:space="preserve">Pertanto, </w:t>
      </w:r>
      <w:r w:rsidR="000C217A" w:rsidRPr="000C217A">
        <w:t>eventuali pattuizioni civilistiche (come l’art. 29 del Contratto di Servizio</w:t>
      </w:r>
      <w:r w:rsidR="00F53F82">
        <w:t>,</w:t>
      </w:r>
      <w:r w:rsidR="00F53F82" w:rsidRPr="00F53F82">
        <w:t xml:space="preserve"> </w:t>
      </w:r>
      <w:r w:rsidR="00FC5E70">
        <w:t>tr</w:t>
      </w:r>
      <w:r w:rsidR="00F53F82" w:rsidRPr="00C66BA1">
        <w:t>a Ente e Gestore, relativa agli oneri contrattuali di occupazione</w:t>
      </w:r>
      <w:r w:rsidR="000C217A" w:rsidRPr="000C217A">
        <w:t xml:space="preserve">) non </w:t>
      </w:r>
      <w:r>
        <w:t xml:space="preserve">possono </w:t>
      </w:r>
      <w:r w:rsidR="000C217A" w:rsidRPr="000C217A">
        <w:t>incid</w:t>
      </w:r>
      <w:r>
        <w:t>ere</w:t>
      </w:r>
      <w:r w:rsidR="000C217A" w:rsidRPr="000C217A">
        <w:t xml:space="preserve"> sulla soggettività passiva determinata dalla legge</w:t>
      </w:r>
      <w:r>
        <w:t>, che è materia indisponibile per lo stesso Ente Locale</w:t>
      </w:r>
      <w:r w:rsidR="000C217A" w:rsidRPr="000C217A">
        <w:t>.</w:t>
      </w:r>
    </w:p>
    <w:p w14:paraId="6887E5CE" w14:textId="77777777" w:rsidR="00AD1478" w:rsidRDefault="000C217A" w:rsidP="000C217A">
      <w:pPr>
        <w:snapToGrid w:val="0"/>
      </w:pPr>
      <w:r w:rsidRPr="000C217A">
        <w:t>Applicando questi principi al caso concreto, Unareti, quale gestore del servizio di distribuzione del gas naturale dell’ATEM Milano 1, titolare dell’atto di concessione delle infrastrutture e occupante in via funzionale dell’intera rete nel territorio comunale per l’erogazione del servizio, è soggetto passivo del CUP in relazione alla totalità delle utenze attive servite, indipendentemente dall’essere o meno proprietaria di singole tratt</w:t>
      </w:r>
      <w:r w:rsidR="00AD1478">
        <w:t>e</w:t>
      </w:r>
      <w:r w:rsidRPr="000C217A">
        <w:t xml:space="preserve"> di rete.</w:t>
      </w:r>
    </w:p>
    <w:p w14:paraId="58439418" w14:textId="77A143CF" w:rsidR="000C217A" w:rsidRPr="000C217A" w:rsidRDefault="000C217A" w:rsidP="000C217A">
      <w:pPr>
        <w:snapToGrid w:val="0"/>
      </w:pPr>
      <w:r w:rsidRPr="000C217A">
        <w:t xml:space="preserve">Una lettura diversa condurrebbe agli esiti paradossali </w:t>
      </w:r>
      <w:r w:rsidR="00AD1478">
        <w:t xml:space="preserve">di </w:t>
      </w:r>
      <w:r w:rsidRPr="000C217A">
        <w:t>escludere dal CUP intere categorie di reti pubbliche affidate in gestione, sottraendo al canone occupazioni permanenti del sottosuolo, in aperta contraddizione con la finalità del comma 831 di assoggettare in modo uniforme tutte le occupazioni con cavi e condutture destinate a servizi di pubblica utilità</w:t>
      </w:r>
    </w:p>
    <w:p w14:paraId="281D4447" w14:textId="36B3FE3D" w:rsidR="00C66BA1" w:rsidRPr="00F53F82" w:rsidRDefault="00C66BA1" w:rsidP="00C66BA1">
      <w:pPr>
        <w:snapToGrid w:val="0"/>
        <w:rPr>
          <w:b/>
          <w:bCs/>
          <w:u w:val="single"/>
        </w:rPr>
      </w:pPr>
      <w:r w:rsidRPr="00C66BA1">
        <w:t xml:space="preserve">Tali conclusioni trovano conferma proprio nella sentenza n. 8628/2020 invocata </w:t>
      </w:r>
      <w:r w:rsidRPr="00B978E4">
        <w:rPr>
          <w:i/>
        </w:rPr>
        <w:t>ex adverso</w:t>
      </w:r>
      <w:r w:rsidRPr="00C66BA1">
        <w:t>, l</w:t>
      </w:r>
      <w:r w:rsidR="00B978E4">
        <w:t>addove</w:t>
      </w:r>
      <w:r w:rsidRPr="00C66BA1">
        <w:t xml:space="preserve"> ribadisce che </w:t>
      </w:r>
      <w:r w:rsidRPr="00F53F82">
        <w:rPr>
          <w:b/>
          <w:bCs/>
          <w:u w:val="single"/>
        </w:rPr>
        <w:t>la soggettività passiva è fissata dalla legge, in ossequio al principio di tassatività e determinatezza di cui all'art. 23 Cost., e non è modificabile da atti di natura privatistica.</w:t>
      </w:r>
    </w:p>
    <w:p w14:paraId="7FEEE1B8" w14:textId="6713694B" w:rsidR="00B978E4" w:rsidRDefault="00C66BA1" w:rsidP="00C66BA1">
      <w:pPr>
        <w:snapToGrid w:val="0"/>
      </w:pPr>
      <w:r w:rsidRPr="00C66BA1">
        <w:t xml:space="preserve">Quanto, infine, alla determinazione del numero delle utenze, in difetto di dichiarazione fedele e di adeguata collaborazione da parte della Società, il Comune ha legittimamente quantificato il Canone sulla base dei dati rilevati dalla piattaforma Punto Fisco dell'Agenzia delle Entrate – fonte oggettiva ed autorevole – </w:t>
      </w:r>
      <w:r w:rsidR="00FC5E70" w:rsidRPr="0069652F">
        <w:rPr>
          <w:u w:val="single"/>
        </w:rPr>
        <w:t>abbattuta anche di una percentuale</w:t>
      </w:r>
      <w:r w:rsidR="0069652F" w:rsidRPr="0069652F">
        <w:rPr>
          <w:u w:val="single"/>
        </w:rPr>
        <w:t xml:space="preserve"> pari all’8,5%</w:t>
      </w:r>
      <w:r w:rsidR="00FC5E70" w:rsidRPr="0069652F">
        <w:rPr>
          <w:u w:val="single"/>
        </w:rPr>
        <w:t xml:space="preserve"> per tener conto di eventuali volture verificate nel corso dell’anno</w:t>
      </w:r>
      <w:r w:rsidR="0069652F" w:rsidRPr="0069652F">
        <w:t>,</w:t>
      </w:r>
      <w:r w:rsidR="00FC5E70">
        <w:t xml:space="preserve"> </w:t>
      </w:r>
      <w:r w:rsidR="0069652F">
        <w:t xml:space="preserve">computando anche </w:t>
      </w:r>
      <w:r w:rsidRPr="00C66BA1">
        <w:t xml:space="preserve">i versamenti già effettuati. </w:t>
      </w:r>
    </w:p>
    <w:p w14:paraId="05D11670" w14:textId="775B49CB" w:rsidR="00C66BA1" w:rsidRPr="00C66BA1" w:rsidRDefault="00C66BA1" w:rsidP="00116982">
      <w:pPr>
        <w:snapToGrid w:val="0"/>
      </w:pPr>
      <w:r w:rsidRPr="00C66BA1">
        <w:lastRenderedPageBreak/>
        <w:t>Grava sulla Società, che con la propria inadempienza ha reso necessario il ricorso a tale metodo, l'onere della prova contraria circa il numero esatto delle utenze servite per ciascuna annualità</w:t>
      </w:r>
      <w:r w:rsidR="006318D9">
        <w:t>, prova al momento non fornita</w:t>
      </w:r>
      <w:r w:rsidRPr="00C66BA1">
        <w:t>.</w:t>
      </w:r>
    </w:p>
    <w:p w14:paraId="611731A4" w14:textId="77777777" w:rsidR="00B978E4" w:rsidRDefault="00B978E4" w:rsidP="002A5B89">
      <w:pPr>
        <w:snapToGrid w:val="0"/>
      </w:pPr>
      <w:r>
        <w:rPr>
          <w:b/>
          <w:bCs/>
        </w:rPr>
        <w:t>In particolare s</w:t>
      </w:r>
      <w:r w:rsidR="002A5B89" w:rsidRPr="002A5B89">
        <w:rPr>
          <w:b/>
          <w:bCs/>
        </w:rPr>
        <w:t>ull'annualità 2022.</w:t>
      </w:r>
      <w:r w:rsidR="002A5B89" w:rsidRPr="002A5B89">
        <w:t xml:space="preserve"> </w:t>
      </w:r>
      <w:r>
        <w:t xml:space="preserve">Non merita seguito </w:t>
      </w:r>
      <w:r w:rsidR="002A5B89" w:rsidRPr="002A5B89">
        <w:t>l'assunto secondo cui, in difetto di rete di proprietà della Società in tale anno, non sarebbe sorto il presupposto del Canone: come esposto, il presupposto del tributo è l'occupazione permanente del suolo pubblico, realizzata da Unareti mediante la rete condotta per l'erogazione del servizio in forza del Contratto di Servizio dell'ATEM Milano 1, ed è del tutto indifferente che detta rete fosse, in tutto o in parte, di proprietà dell'Ente.</w:t>
      </w:r>
    </w:p>
    <w:p w14:paraId="401425F0" w14:textId="77777777" w:rsidR="00B978E4" w:rsidRDefault="002A5B89" w:rsidP="002A5B89">
      <w:pPr>
        <w:snapToGrid w:val="0"/>
      </w:pPr>
      <w:r w:rsidRPr="002A5B89">
        <w:t>Deve nondimeno darsi atto che la Società è subentrata nella effettiva conduzione della rete, e dunque nell'occupazione del suolo pubblico, a decorrere dal 1° marzo 2022, come da verbale di consegna degli impianti.</w:t>
      </w:r>
    </w:p>
    <w:p w14:paraId="0E303FCF" w14:textId="3FF06B77" w:rsidR="002A5B89" w:rsidRDefault="002A5B89" w:rsidP="002A5B89">
      <w:pPr>
        <w:snapToGrid w:val="0"/>
      </w:pPr>
      <w:r w:rsidRPr="002A5B89">
        <w:t xml:space="preserve">Tale circostanza non incide sulla soggettività passiva, ma può, in via meramente gradata e per la sola annualità 2022, condurre ad una rideterminazione </w:t>
      </w:r>
      <w:r w:rsidRPr="002A5B89">
        <w:rPr>
          <w:i/>
          <w:iCs/>
        </w:rPr>
        <w:t>pro rata temporis</w:t>
      </w:r>
      <w:r w:rsidRPr="002A5B89">
        <w:t xml:space="preserve"> del Canone in proporzione al periodo di effettiva gestione, restando per il resto integralmente</w:t>
      </w:r>
      <w:r w:rsidR="00896B4B">
        <w:t xml:space="preserve"> confermata la pretesa dell’Ente.</w:t>
      </w:r>
    </w:p>
    <w:p w14:paraId="64FF29B9" w14:textId="6BED4F05" w:rsidR="00C62C39" w:rsidRPr="00C62C39" w:rsidRDefault="00C62C39" w:rsidP="00C62C39">
      <w:pPr>
        <w:snapToGrid w:val="0"/>
      </w:pPr>
      <w:r w:rsidRPr="00C62C39">
        <w:rPr>
          <w:b/>
          <w:bCs/>
          <w:u w:val="single"/>
        </w:rPr>
        <w:t>Né merita seguito</w:t>
      </w:r>
      <w:r w:rsidR="00C7149A">
        <w:rPr>
          <w:b/>
          <w:bCs/>
          <w:u w:val="single"/>
        </w:rPr>
        <w:t>, poi,</w:t>
      </w:r>
      <w:r w:rsidRPr="00C62C39">
        <w:rPr>
          <w:b/>
          <w:bCs/>
          <w:u w:val="single"/>
        </w:rPr>
        <w:t xml:space="preserve"> quanto asserito da Unareti secondo cui, anche a voler ritenere dovuto il CUP sulla rete di proprietà comunale, il Comune sarebbe comunque tenuto a restituire quanto versato, in forza dell’art. 29 del Contratto di Servizio</w:t>
      </w:r>
      <w:r w:rsidRPr="00C62C39">
        <w:t>.</w:t>
      </w:r>
    </w:p>
    <w:p w14:paraId="2BF07D71" w14:textId="2F5B3175" w:rsidR="00C62C39" w:rsidRPr="00C62C39" w:rsidRDefault="00C62C39" w:rsidP="00C62C39">
      <w:pPr>
        <w:snapToGrid w:val="0"/>
      </w:pPr>
      <w:r w:rsidRPr="00C62C39">
        <w:t xml:space="preserve">Questa impostazione </w:t>
      </w:r>
      <w:r>
        <w:t xml:space="preserve">di UNARETI </w:t>
      </w:r>
      <w:r w:rsidRPr="00C62C39">
        <w:t>mescola consapevolmente due piani diversi: quello tributario, regolato dalla legge e dai regolamenti, e quello negoziale, disciplinato dal contratto fra Comune e Gestore.</w:t>
      </w:r>
    </w:p>
    <w:p w14:paraId="240EB974" w14:textId="13F865B4" w:rsidR="00C62C39" w:rsidRPr="00C62C39" w:rsidRDefault="00C62C39" w:rsidP="00C62C39">
      <w:pPr>
        <w:snapToGrid w:val="0"/>
        <w:ind w:left="720" w:firstLine="0"/>
      </w:pPr>
      <w:r>
        <w:t>Come visto l</w:t>
      </w:r>
      <w:r w:rsidRPr="00C62C39">
        <w:t>a soggettività passiva del CUP è fissata dalla legge</w:t>
      </w:r>
      <w:r>
        <w:t xml:space="preserve"> e</w:t>
      </w:r>
      <w:r w:rsidRPr="00C62C39">
        <w:t xml:space="preserve"> non </w:t>
      </w:r>
      <w:r>
        <w:t xml:space="preserve">può essere derogata </w:t>
      </w:r>
      <w:r w:rsidRPr="00C62C39">
        <w:t>dal contratto</w:t>
      </w:r>
      <w:r>
        <w:t>.</w:t>
      </w:r>
    </w:p>
    <w:p w14:paraId="63ED6C68" w14:textId="4930DA84" w:rsidR="00C62C39" w:rsidRPr="00C62C39" w:rsidRDefault="00C62C39" w:rsidP="00C62C39">
      <w:pPr>
        <w:snapToGrid w:val="0"/>
      </w:pPr>
      <w:r w:rsidRPr="00C62C39">
        <w:t>Si tratta di obblighi indisponibili, soggetti a riserva di legge (art. 23 Cost.), che non possono essere limitati o modificati da accordi privatistici</w:t>
      </w:r>
      <w:r w:rsidR="00DA4D02">
        <w:t xml:space="preserve"> (Cass. Civ. </w:t>
      </w:r>
      <w:r w:rsidRPr="00C62C39">
        <w:t>n. 8628/2020</w:t>
      </w:r>
      <w:r w:rsidR="00DA4D02">
        <w:t>)</w:t>
      </w:r>
      <w:r w:rsidRPr="00C62C39">
        <w:t>.</w:t>
      </w:r>
    </w:p>
    <w:p w14:paraId="42BBE7B1" w14:textId="18D906C4" w:rsidR="00C62C39" w:rsidRPr="00C62C39" w:rsidRDefault="00C62C39" w:rsidP="00C62C39">
      <w:pPr>
        <w:snapToGrid w:val="0"/>
      </w:pPr>
      <w:r w:rsidRPr="00C62C39">
        <w:t xml:space="preserve">L’art. 29 del Contratto di Servizio, richiamato da Unareti, disciplina i rapporti economici fra Comune e Gestore, </w:t>
      </w:r>
      <w:r w:rsidR="00DA4D02">
        <w:t>ma n</w:t>
      </w:r>
      <w:r w:rsidRPr="00C62C39">
        <w:t xml:space="preserve">on </w:t>
      </w:r>
      <w:r w:rsidR="00DA4D02">
        <w:t xml:space="preserve">può creare </w:t>
      </w:r>
      <w:r w:rsidRPr="00C62C39">
        <w:t xml:space="preserve">una esenzione </w:t>
      </w:r>
      <w:r w:rsidR="00DA4D02">
        <w:t xml:space="preserve">non contemplata dalla legge e non </w:t>
      </w:r>
      <w:r w:rsidRPr="00C62C39">
        <w:t>consente al Comune di rinunciare all’accertamento di un tributo dovuto per legge, né di trasformare una entrata tributaria in un fatto puramente contrattuale.</w:t>
      </w:r>
    </w:p>
    <w:p w14:paraId="720B358C" w14:textId="77777777" w:rsidR="00DA4D02" w:rsidRDefault="00C62C39" w:rsidP="00C62C39">
      <w:pPr>
        <w:snapToGrid w:val="0"/>
      </w:pPr>
      <w:r w:rsidRPr="00C62C39">
        <w:lastRenderedPageBreak/>
        <w:t xml:space="preserve">L’imposizione tributaria non è governata dalla “convenienza” o dalla “simmetria” dei flussi economici privati: è retta da norme generali e astratte che individuano presupposto e soggetti passivi. </w:t>
      </w:r>
    </w:p>
    <w:p w14:paraId="2B7B5D13" w14:textId="77777777" w:rsidR="00C62C39" w:rsidRPr="00C62C39" w:rsidRDefault="00C62C39" w:rsidP="00C62C39">
      <w:pPr>
        <w:snapToGrid w:val="0"/>
      </w:pPr>
      <w:r w:rsidRPr="00C62C39">
        <w:t>In questa prospettiva:</w:t>
      </w:r>
    </w:p>
    <w:p w14:paraId="36AE711A" w14:textId="77777777" w:rsidR="00C62C39" w:rsidRPr="00C62C39" w:rsidRDefault="00C62C39" w:rsidP="00C62C39">
      <w:pPr>
        <w:snapToGrid w:val="0"/>
      </w:pPr>
      <w:r w:rsidRPr="00C62C39">
        <w:t xml:space="preserve">il CUP è dovuto dal Gestore per l’intera rete che egli conduce e utilizza per la distribuzione del gas, indipendentemente dal fatto che parte di essa sia di proprietà dell’Ente; </w:t>
      </w:r>
    </w:p>
    <w:p w14:paraId="5D35CC0F" w14:textId="08620BE4" w:rsidR="00C62C39" w:rsidRDefault="00C62C39" w:rsidP="00C62C39">
      <w:pPr>
        <w:snapToGrid w:val="0"/>
      </w:pPr>
      <w:r w:rsidRPr="00C62C39">
        <w:t xml:space="preserve">l’art. 29 del Contratto </w:t>
      </w:r>
      <w:r w:rsidR="00DA4D02">
        <w:t xml:space="preserve">non </w:t>
      </w:r>
      <w:r w:rsidRPr="00C62C39">
        <w:t>può ridurre il perimetro dell’obbligazione tributaria.</w:t>
      </w:r>
    </w:p>
    <w:p w14:paraId="5A3B23AF" w14:textId="090A5074" w:rsidR="00C7149A" w:rsidRPr="00C62C39" w:rsidRDefault="00C7149A" w:rsidP="00C62C39">
      <w:pPr>
        <w:snapToGrid w:val="0"/>
      </w:pPr>
      <w:r>
        <w:t>Non vi potrà essere alcuna restituzione di tributi incassati.</w:t>
      </w:r>
    </w:p>
    <w:p w14:paraId="2CBEF8C3" w14:textId="77777777" w:rsidR="00C66BA1" w:rsidRPr="00C66BA1" w:rsidRDefault="00C66BA1" w:rsidP="00C66BA1">
      <w:pPr>
        <w:snapToGrid w:val="0"/>
      </w:pPr>
      <w:r w:rsidRPr="00C66BA1">
        <w:t>Il terzo motivo deve pertanto essere rigettato.</w:t>
      </w:r>
    </w:p>
    <w:p w14:paraId="6DC81BE5" w14:textId="77777777" w:rsidR="00FE20EC" w:rsidRDefault="00FE12A7">
      <w:pPr>
        <w:snapToGrid w:val="0"/>
        <w:spacing w:line="276" w:lineRule="auto"/>
        <w:jc w:val="center"/>
      </w:pPr>
      <w:r>
        <w:t>* * *</w:t>
      </w:r>
    </w:p>
    <w:p w14:paraId="30E30592" w14:textId="77777777" w:rsidR="00FE20EC" w:rsidRDefault="00FE12A7">
      <w:pPr>
        <w:snapToGrid w:val="0"/>
      </w:pPr>
      <w:r>
        <w:rPr>
          <w:b/>
          <w:bCs/>
        </w:rPr>
        <w:t>4. Sull’infondatezza del quarto motivo: insussistenza della violazione del diritto all’equo processo e della temerarietà.</w:t>
      </w:r>
    </w:p>
    <w:p w14:paraId="72DEFE68" w14:textId="77777777" w:rsidR="00B978E4" w:rsidRDefault="00FE12A7">
      <w:pPr>
        <w:snapToGrid w:val="0"/>
      </w:pPr>
      <w:r>
        <w:t xml:space="preserve">La ricorrente lamenta, infine, la violazione del diritto all’equo processo, invocando la condanna del Comune per responsabilità aggravata. </w:t>
      </w:r>
    </w:p>
    <w:p w14:paraId="105982BD" w14:textId="050EEC7D" w:rsidR="00FE20EC" w:rsidRDefault="00FE12A7">
      <w:pPr>
        <w:snapToGrid w:val="0"/>
      </w:pPr>
      <w:r>
        <w:t xml:space="preserve">La censura è </w:t>
      </w:r>
      <w:r w:rsidR="00B978E4">
        <w:t xml:space="preserve">totalmente </w:t>
      </w:r>
      <w:r>
        <w:t>destituita di fondamento.</w:t>
      </w:r>
    </w:p>
    <w:p w14:paraId="100C58DE" w14:textId="77777777" w:rsidR="00B978E4" w:rsidRDefault="00FE12A7">
      <w:pPr>
        <w:snapToGrid w:val="0"/>
      </w:pPr>
      <w:r>
        <w:t xml:space="preserve">L’Avviso è </w:t>
      </w:r>
      <w:r w:rsidR="00B978E4">
        <w:t xml:space="preserve">stato legittimamente emesso e </w:t>
      </w:r>
      <w:r>
        <w:t>adeguatamente motivato</w:t>
      </w:r>
      <w:r w:rsidR="00B978E4">
        <w:t xml:space="preserve">. Ed infatti, </w:t>
      </w:r>
      <w:r>
        <w:t>la Società ha potuto esercitare pienamente il proprio diritto di difesa</w:t>
      </w:r>
      <w:r w:rsidR="00B978E4">
        <w:t>.</w:t>
      </w:r>
    </w:p>
    <w:p w14:paraId="17469D1F" w14:textId="77777777" w:rsidR="00116982" w:rsidRDefault="00116982" w:rsidP="00116982">
      <w:pPr>
        <w:snapToGrid w:val="0"/>
      </w:pPr>
      <w:r w:rsidRPr="00116982">
        <w:t>Va</w:t>
      </w:r>
      <w:r>
        <w:t>,</w:t>
      </w:r>
      <w:r w:rsidRPr="00116982">
        <w:t xml:space="preserve"> inoltre</w:t>
      </w:r>
      <w:r>
        <w:t>,</w:t>
      </w:r>
      <w:r w:rsidRPr="00116982">
        <w:t xml:space="preserve"> evidenziato che il Comune ha instaurato e coltivato il contraddittorio pre</w:t>
      </w:r>
      <w:r>
        <w:t>- accertamento ed</w:t>
      </w:r>
      <w:r w:rsidRPr="00116982">
        <w:t xml:space="preserve"> ha fornito riscontro motivato all’istanza di autotutela.</w:t>
      </w:r>
    </w:p>
    <w:p w14:paraId="510C76C5" w14:textId="0B0673E0" w:rsidR="00116982" w:rsidRPr="00116982" w:rsidRDefault="00116982" w:rsidP="00116982">
      <w:pPr>
        <w:snapToGrid w:val="0"/>
      </w:pPr>
      <w:r w:rsidRPr="00116982">
        <w:t>Tali condotte sono incompatibili con la prospettata responsabilità aggravata ex art. 96 c.p.c. e confermano la correttezza dell’operato amministrativo e processuale dell’Ente.</w:t>
      </w:r>
    </w:p>
    <w:p w14:paraId="54F95830" w14:textId="0F27AEA2" w:rsidR="00FE20EC" w:rsidRDefault="00FE12A7">
      <w:pPr>
        <w:snapToGrid w:val="0"/>
      </w:pPr>
      <w:r>
        <w:t>È semmai la pretesa avversaria</w:t>
      </w:r>
      <w:r w:rsidR="00B978E4">
        <w:t xml:space="preserve">, volta ad evitare il versamento del CUP, </w:t>
      </w:r>
      <w:r>
        <w:t>a risultare infondata.</w:t>
      </w:r>
    </w:p>
    <w:p w14:paraId="61498641" w14:textId="77777777" w:rsidR="00FE20EC" w:rsidRDefault="00FE12A7">
      <w:pPr>
        <w:snapToGrid w:val="0"/>
      </w:pPr>
      <w:r>
        <w:t>Il quarto motivo deve pertanto essere rigettato.</w:t>
      </w:r>
    </w:p>
    <w:p w14:paraId="5CB0655F" w14:textId="77777777" w:rsidR="00FE20EC" w:rsidRDefault="00FE12A7">
      <w:pPr>
        <w:snapToGrid w:val="0"/>
        <w:spacing w:line="276" w:lineRule="auto"/>
        <w:jc w:val="center"/>
      </w:pPr>
      <w:r>
        <w:t>* * *</w:t>
      </w:r>
    </w:p>
    <w:p w14:paraId="762DCDB7" w14:textId="77777777" w:rsidR="00FE20EC" w:rsidRDefault="00FE12A7">
      <w:pPr>
        <w:snapToGrid w:val="0"/>
      </w:pPr>
      <w:r>
        <w:rPr>
          <w:b/>
          <w:bCs/>
        </w:rPr>
        <w:t>5. Sull’istanza di sospensione cautelare ex art. 47 del D.Lgs. n. 546/1992: insussistenza del fumus boni iuris e del periculum in mora.</w:t>
      </w:r>
    </w:p>
    <w:p w14:paraId="76BA1EAA" w14:textId="77777777" w:rsidR="00244779" w:rsidRDefault="00FE12A7" w:rsidP="00244779">
      <w:pPr>
        <w:snapToGrid w:val="0"/>
      </w:pPr>
      <w:r>
        <w:t xml:space="preserve">Per le ragioni già esposte, difetta nel caso di specie il </w:t>
      </w:r>
      <w:r w:rsidRPr="00244779">
        <w:rPr>
          <w:b/>
          <w:bCs/>
          <w:i/>
        </w:rPr>
        <w:t>fumus boni iuris</w:t>
      </w:r>
      <w:r>
        <w:t xml:space="preserve">, stante la piena legittimità e fondatezza dell’atto impugnato. </w:t>
      </w:r>
    </w:p>
    <w:p w14:paraId="24C7CFE8" w14:textId="35083610" w:rsidR="00244779" w:rsidRPr="00244779" w:rsidRDefault="00244779" w:rsidP="00244779">
      <w:pPr>
        <w:snapToGrid w:val="0"/>
      </w:pPr>
      <w:r>
        <w:t xml:space="preserve">Ed infatti, </w:t>
      </w:r>
      <w:r w:rsidRPr="00244779">
        <w:t>gli argomenti della ricorrente si fondano su una interpretazione dell’art. 8, comma 5, D.M. 226/2011 ormai superata nel vigente sistema CUP e in contrasto con la lettera e la ratio della L. 160/2019. La pretesa dell’Ente trova, invece, saldo fondamento nelle norme di legge e nell’interpretazione autentica del comma 831</w:t>
      </w:r>
    </w:p>
    <w:p w14:paraId="022A2A10" w14:textId="77777777" w:rsidR="00244779" w:rsidRDefault="00FE12A7">
      <w:pPr>
        <w:snapToGrid w:val="0"/>
      </w:pPr>
      <w:r>
        <w:lastRenderedPageBreak/>
        <w:t>Difetta, del pari, il</w:t>
      </w:r>
      <w:r w:rsidRPr="00244779">
        <w:rPr>
          <w:b/>
          <w:bCs/>
        </w:rPr>
        <w:t xml:space="preserve"> </w:t>
      </w:r>
      <w:r w:rsidRPr="00244779">
        <w:rPr>
          <w:b/>
          <w:bCs/>
          <w:i/>
        </w:rPr>
        <w:t>periculum in mora</w:t>
      </w:r>
      <w:r w:rsidR="00244779">
        <w:rPr>
          <w:b/>
          <w:bCs/>
          <w:i/>
        </w:rPr>
        <w:t>,</w:t>
      </w:r>
      <w:r w:rsidRPr="00244779">
        <w:rPr>
          <w:b/>
          <w:bCs/>
        </w:rPr>
        <w:t xml:space="preserve"> </w:t>
      </w:r>
      <w:r w:rsidR="00244779" w:rsidRPr="00244779">
        <w:rPr>
          <w:b/>
          <w:bCs/>
          <w:u w:val="single"/>
        </w:rPr>
        <w:t>la ricorrente non ha fornito elementi concreti circa l’esistenza di un danno grave ed irreparabile derivante dall’esecuzione dell’Avviso</w:t>
      </w:r>
      <w:r w:rsidR="00244779" w:rsidRPr="00244779">
        <w:t xml:space="preserve">; al contrario, la pretesa è rivolta nei confronti di una società di primarie </w:t>
      </w:r>
      <w:r>
        <w:t xml:space="preserve">dimensioni, </w:t>
      </w:r>
      <w:r w:rsidR="00074311">
        <w:t>che dall’occupazione del suolo e sottosuolo trae i propri vantaggi economici</w:t>
      </w:r>
      <w:r w:rsidR="00244779">
        <w:t>,</w:t>
      </w:r>
      <w:r w:rsidR="00074311">
        <w:t xml:space="preserve"> </w:t>
      </w:r>
      <w:r>
        <w:t xml:space="preserve">soggetta all’attività di direzione e coordinamento di A2A S.p.A., ampiamente capiente, sicché </w:t>
      </w:r>
      <w:r w:rsidR="00244779">
        <w:t xml:space="preserve">la </w:t>
      </w:r>
      <w:r>
        <w:t>richiesta non vale ad integrare il danno grave ed irreparabile richiesto dalla norma.</w:t>
      </w:r>
    </w:p>
    <w:p w14:paraId="5639EE60" w14:textId="269C6A93" w:rsidR="00FE20EC" w:rsidRDefault="00FE12A7">
      <w:pPr>
        <w:snapToGrid w:val="0"/>
      </w:pPr>
      <w:r>
        <w:t>L’istanza cautelare deve pertanto essere rigettata.</w:t>
      </w:r>
    </w:p>
    <w:p w14:paraId="077AAD53" w14:textId="77777777" w:rsidR="00FE20EC" w:rsidRDefault="00FE12A7">
      <w:pPr>
        <w:snapToGrid w:val="0"/>
        <w:spacing w:line="276" w:lineRule="auto"/>
        <w:jc w:val="center"/>
      </w:pPr>
      <w:r>
        <w:t>* * *</w:t>
      </w:r>
    </w:p>
    <w:p w14:paraId="0857F178" w14:textId="77777777" w:rsidR="00FE20EC" w:rsidRDefault="00FE12A7">
      <w:pPr>
        <w:snapToGrid w:val="0"/>
      </w:pPr>
      <w:r>
        <w:t>Tutto ciò premesso, il Comune di Cinisello Balsamo, come sopra rappresentato e difeso, con espressa riserva di ogni ulteriore deduzione, allegazione e produzione, anche istruttoria,</w:t>
      </w:r>
    </w:p>
    <w:p w14:paraId="30D7316E" w14:textId="77777777" w:rsidR="00FE20EC" w:rsidRDefault="00FE12A7">
      <w:pPr>
        <w:snapToGrid w:val="0"/>
        <w:spacing w:line="276" w:lineRule="auto"/>
        <w:jc w:val="center"/>
      </w:pPr>
      <w:r>
        <w:rPr>
          <w:b/>
          <w:bCs/>
        </w:rPr>
        <w:t>conclude</w:t>
      </w:r>
    </w:p>
    <w:p w14:paraId="4A902293" w14:textId="77777777" w:rsidR="00FE20EC" w:rsidRDefault="00FE12A7">
      <w:pPr>
        <w:snapToGrid w:val="0"/>
      </w:pPr>
      <w:r>
        <w:t>affinché l’Ill.ma Corte di Giustizia Tributaria di Primo Grado di Milano, disattesa ogni contraria istanza ed eccezione, voglia:</w:t>
      </w:r>
    </w:p>
    <w:p w14:paraId="168B4489" w14:textId="77777777" w:rsidR="00FE20EC" w:rsidRDefault="00FE12A7">
      <w:pPr>
        <w:snapToGrid w:val="0"/>
      </w:pPr>
      <w:r>
        <w:t>rigettare il ricorso proposto, confermando la legittimità della pretesa dell’Ente con ogni conseguenziale statuizione di legge.</w:t>
      </w:r>
    </w:p>
    <w:p w14:paraId="77D0FB28" w14:textId="77777777" w:rsidR="00FE20EC" w:rsidRDefault="00FE12A7">
      <w:pPr>
        <w:snapToGrid w:val="0"/>
      </w:pPr>
      <w:r>
        <w:t>In via gradata, rideterminare il Canone e la sanzione nella misura che risulterà a seguito dell’eventuale fase istruttoria sulla base delle prove offerte dal ricorrente.</w:t>
      </w:r>
    </w:p>
    <w:p w14:paraId="274020FF" w14:textId="77777777" w:rsidR="00FE20EC" w:rsidRDefault="00FE12A7">
      <w:pPr>
        <w:snapToGrid w:val="0"/>
      </w:pPr>
      <w:r>
        <w:t>Con vittoria di spese e competenze di giudizio.</w:t>
      </w:r>
    </w:p>
    <w:p w14:paraId="623EAD07" w14:textId="77777777" w:rsidR="00FE20EC" w:rsidRDefault="00FE12A7">
      <w:pPr>
        <w:snapToGrid w:val="0"/>
      </w:pPr>
      <w:r>
        <w:t>Si chiede di essere autorizzati alla trattazione della controversia con collegamento da remoto.</w:t>
      </w:r>
    </w:p>
    <w:p w14:paraId="1980CFF2" w14:textId="77777777" w:rsidR="00FE20EC" w:rsidRDefault="00FE12A7">
      <w:pPr>
        <w:snapToGrid w:val="0"/>
      </w:pPr>
      <w:r>
        <w:t>Con ogni riserva.</w:t>
      </w:r>
    </w:p>
    <w:p w14:paraId="7DB627B0" w14:textId="77777777" w:rsidR="00FE20EC" w:rsidRDefault="00FE12A7">
      <w:pPr>
        <w:snapToGrid w:val="0"/>
        <w:spacing w:line="276" w:lineRule="auto"/>
        <w:jc w:val="center"/>
      </w:pPr>
      <w:r>
        <w:t>* * *</w:t>
      </w:r>
    </w:p>
    <w:p w14:paraId="501D94A8" w14:textId="77777777" w:rsidR="00FE20EC" w:rsidRDefault="00FE12A7" w:rsidP="004C3A93">
      <w:pPr>
        <w:snapToGrid w:val="0"/>
        <w:jc w:val="center"/>
      </w:pPr>
      <w:r>
        <w:rPr>
          <w:b/>
          <w:bCs/>
        </w:rPr>
        <w:t>Attestazione di conformità degli atti depositati</w:t>
      </w:r>
    </w:p>
    <w:p w14:paraId="242ECC61" w14:textId="32635C9D" w:rsidR="0048239D" w:rsidRDefault="00FE12A7" w:rsidP="0048239D">
      <w:pPr>
        <w:snapToGrid w:val="0"/>
      </w:pPr>
      <w:r>
        <w:t xml:space="preserve">Io sottoscritto/a _______ (c.f. _______), in qualità di difensore nominato nel presente procedimento, attesto, ai sensi dell’art. 22, co. 2, d.lgs. 82/2005, la conformità con gli originali delle copie per immagine dei seguenti documenti depositati: </w:t>
      </w:r>
    </w:p>
    <w:p w14:paraId="0BB93AF4" w14:textId="77777777" w:rsidR="00FE20EC" w:rsidRDefault="00FE12A7">
      <w:pPr>
        <w:snapToGrid w:val="0"/>
      </w:pPr>
      <w:r>
        <w:rPr>
          <w:b/>
          <w:bCs/>
        </w:rPr>
        <w:t>A) Atto introduttivo (ricorso) di Unareti S.p.A.</w:t>
      </w:r>
    </w:p>
    <w:p w14:paraId="08C23262" w14:textId="77777777" w:rsidR="00FE20EC" w:rsidRDefault="00FE12A7">
      <w:pPr>
        <w:snapToGrid w:val="0"/>
      </w:pPr>
      <w:r>
        <w:t>1) Regolamento CUP del Comune di Cinisello Balsamo, approvato con deliberazione del Consiglio Comunale n. 18 del 15 aprile 2021 e modificato con deliberazione del Consiglio Comunale n. 24 del 23 maggio 2022;</w:t>
      </w:r>
    </w:p>
    <w:p w14:paraId="1D137C98" w14:textId="77777777" w:rsidR="00FE20EC" w:rsidRDefault="00FE12A7">
      <w:pPr>
        <w:snapToGrid w:val="0"/>
      </w:pPr>
      <w:r>
        <w:t>2) Determinazione n. 709 dell’11 giugno 2025 di affidamento ad Archivia Solution S.p.A. del supporto CUP;</w:t>
      </w:r>
    </w:p>
    <w:p w14:paraId="0F9FA664" w14:textId="77777777" w:rsidR="00FE20EC" w:rsidRDefault="00FE12A7">
      <w:pPr>
        <w:snapToGrid w:val="0"/>
      </w:pPr>
      <w:r>
        <w:t>3) Richiesta di dichiarazione utenze di Archivia Solution S.p.A. del 26 gennaio 2026;</w:t>
      </w:r>
    </w:p>
    <w:p w14:paraId="085B78C4" w14:textId="77777777" w:rsidR="007813B5" w:rsidRDefault="00FE12A7">
      <w:pPr>
        <w:snapToGrid w:val="0"/>
      </w:pPr>
      <w:r>
        <w:lastRenderedPageBreak/>
        <w:t xml:space="preserve">4) </w:t>
      </w:r>
      <w:r w:rsidR="007813B5">
        <w:t>N</w:t>
      </w:r>
      <w:r>
        <w:t>ota Unareti del 30 gennaio 2026;</w:t>
      </w:r>
    </w:p>
    <w:p w14:paraId="05842C6B" w14:textId="77777777" w:rsidR="007813B5" w:rsidRDefault="007813B5">
      <w:pPr>
        <w:snapToGrid w:val="0"/>
      </w:pPr>
      <w:r>
        <w:t>5) N</w:t>
      </w:r>
      <w:r w:rsidR="00FE12A7">
        <w:t>ota Archivia Solution S.p.A. del 5 febbraio 2026;</w:t>
      </w:r>
    </w:p>
    <w:p w14:paraId="7ABF15A1" w14:textId="7DB8CFC1" w:rsidR="00FE20EC" w:rsidRDefault="007813B5">
      <w:pPr>
        <w:snapToGrid w:val="0"/>
      </w:pPr>
      <w:r>
        <w:t>6) C</w:t>
      </w:r>
      <w:r w:rsidR="00FE12A7">
        <w:t>omunicazione Unareti del 17 febbraio 2026;</w:t>
      </w:r>
    </w:p>
    <w:p w14:paraId="0FADB063" w14:textId="4493611D" w:rsidR="00FE20EC" w:rsidRDefault="007813B5">
      <w:pPr>
        <w:snapToGrid w:val="0"/>
      </w:pPr>
      <w:r>
        <w:t>7</w:t>
      </w:r>
      <w:r w:rsidR="00FE12A7">
        <w:t>) Avviso di accertamento esecutivo n. 17 del 5 marzo 2026, notificato il 27 marzo 2026;</w:t>
      </w:r>
    </w:p>
    <w:p w14:paraId="155472DA" w14:textId="57EE809A" w:rsidR="00FE20EC" w:rsidRDefault="007813B5">
      <w:pPr>
        <w:snapToGrid w:val="0"/>
      </w:pPr>
      <w:r>
        <w:t>8</w:t>
      </w:r>
      <w:r w:rsidR="00FE12A7">
        <w:t>) Istanza di annullamento in autotutela di Unareti S.p.A. del 30 aprile 2026;</w:t>
      </w:r>
    </w:p>
    <w:p w14:paraId="63C6C11A" w14:textId="7002344A" w:rsidR="00FE20EC" w:rsidRDefault="007813B5">
      <w:pPr>
        <w:snapToGrid w:val="0"/>
      </w:pPr>
      <w:r>
        <w:t>9</w:t>
      </w:r>
      <w:r w:rsidR="00FE12A7">
        <w:t>) Provvedimento di rigetto dell’istanza di autotutela del 12 maggio 2026;</w:t>
      </w:r>
    </w:p>
    <w:p w14:paraId="68B43DA6" w14:textId="77777777" w:rsidR="008D4CA7" w:rsidRDefault="007813B5">
      <w:pPr>
        <w:snapToGrid w:val="0"/>
      </w:pPr>
      <w:r>
        <w:t>10</w:t>
      </w:r>
      <w:r w:rsidR="00FE12A7">
        <w:t xml:space="preserve">) </w:t>
      </w:r>
      <w:r w:rsidR="008D4CA7">
        <w:t>Corte di Cassazione, Sezioni Unite, sentenza n. 12225 del 1° maggio 2026.</w:t>
      </w:r>
    </w:p>
    <w:p w14:paraId="5AEAED38" w14:textId="748EB8C5" w:rsidR="00FE20EC" w:rsidRDefault="008D4CA7" w:rsidP="00FE12A7">
      <w:pPr>
        <w:snapToGrid w:val="0"/>
        <w:ind w:left="709" w:firstLine="0"/>
      </w:pPr>
      <w:r>
        <w:t xml:space="preserve">11) </w:t>
      </w:r>
      <w:r w:rsidR="00FE12A7">
        <w:t>Contratto di Servizio per la distribuzione del gas naturale nell’ATEM Milano 1, sottoscritto il 16 dicembre 2021 (estratto);</w:t>
      </w:r>
    </w:p>
    <w:p w14:paraId="2255AEA3" w14:textId="6D2108E8" w:rsidR="0069652F" w:rsidRDefault="0069652F" w:rsidP="00FE12A7">
      <w:pPr>
        <w:snapToGrid w:val="0"/>
        <w:ind w:left="709" w:firstLine="0"/>
      </w:pPr>
      <w:r>
        <w:t>12) Estratto Punto Fisco dell’Agenzia delle Entrate.</w:t>
      </w:r>
    </w:p>
    <w:p w14:paraId="7E665ED9" w14:textId="77777777" w:rsidR="00FE20EC" w:rsidRDefault="00FE12A7">
      <w:pPr>
        <w:snapToGrid w:val="0"/>
      </w:pPr>
      <w:r>
        <w:t>Cinisello Balsamo – Milano, lì _______</w:t>
      </w:r>
    </w:p>
    <w:p w14:paraId="312C5DA8" w14:textId="4ED7D239" w:rsidR="00FE20EC" w:rsidRDefault="00FE20EC">
      <w:pPr>
        <w:snapToGrid w:val="0"/>
        <w:spacing w:line="276" w:lineRule="auto"/>
        <w:jc w:val="center"/>
      </w:pPr>
    </w:p>
    <w:p w14:paraId="0E11C78E" w14:textId="77777777" w:rsidR="00FE20EC" w:rsidRDefault="00FE12A7" w:rsidP="005A479F">
      <w:pPr>
        <w:snapToGrid w:val="0"/>
        <w:ind w:left="3540"/>
        <w:jc w:val="center"/>
      </w:pPr>
      <w:r>
        <w:rPr>
          <w:b/>
          <w:bCs/>
        </w:rPr>
        <w:t>Il difensore</w:t>
      </w:r>
    </w:p>
    <w:p w14:paraId="5B215E0A" w14:textId="77777777" w:rsidR="00FE20EC" w:rsidRDefault="00FE12A7" w:rsidP="005A479F">
      <w:pPr>
        <w:snapToGrid w:val="0"/>
        <w:ind w:left="2832"/>
        <w:jc w:val="center"/>
      </w:pPr>
      <w:r>
        <w:rPr>
          <w:b/>
          <w:bCs/>
        </w:rPr>
        <w:t>Avv. _______</w:t>
      </w:r>
    </w:p>
    <w:sectPr w:rsidR="00FE20EC">
      <w:footerReference w:type="default" r:id="rId7"/>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70305" w14:textId="77777777" w:rsidR="00F25D6B" w:rsidRDefault="00F25D6B" w:rsidP="000D5B3B">
      <w:pPr>
        <w:spacing w:line="240" w:lineRule="auto"/>
      </w:pPr>
      <w:r>
        <w:separator/>
      </w:r>
    </w:p>
  </w:endnote>
  <w:endnote w:type="continuationSeparator" w:id="0">
    <w:p w14:paraId="08B0EEE5" w14:textId="77777777" w:rsidR="00F25D6B" w:rsidRDefault="00F25D6B" w:rsidP="000D5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619129"/>
      <w:docPartObj>
        <w:docPartGallery w:val="Page Numbers (Bottom of Page)"/>
        <w:docPartUnique/>
      </w:docPartObj>
    </w:sdtPr>
    <w:sdtEndPr/>
    <w:sdtContent>
      <w:p w14:paraId="5C79795D" w14:textId="47EFD6A0" w:rsidR="000D5B3B" w:rsidRDefault="000D5B3B">
        <w:pPr>
          <w:pStyle w:val="Pidipagina"/>
          <w:jc w:val="center"/>
        </w:pPr>
        <w:r>
          <w:fldChar w:fldCharType="begin"/>
        </w:r>
        <w:r>
          <w:instrText>PAGE   \* MERGEFORMAT</w:instrText>
        </w:r>
        <w:r>
          <w:fldChar w:fldCharType="separate"/>
        </w:r>
        <w:r w:rsidR="00FE12A7">
          <w:rPr>
            <w:noProof/>
          </w:rPr>
          <w:t>8</w:t>
        </w:r>
        <w:r>
          <w:fldChar w:fldCharType="end"/>
        </w:r>
      </w:p>
    </w:sdtContent>
  </w:sdt>
  <w:p w14:paraId="3B31C931" w14:textId="77777777" w:rsidR="000D5B3B" w:rsidRDefault="000D5B3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CCE69" w14:textId="77777777" w:rsidR="00F25D6B" w:rsidRDefault="00F25D6B" w:rsidP="000D5B3B">
      <w:pPr>
        <w:spacing w:line="240" w:lineRule="auto"/>
      </w:pPr>
      <w:r>
        <w:separator/>
      </w:r>
    </w:p>
  </w:footnote>
  <w:footnote w:type="continuationSeparator" w:id="0">
    <w:p w14:paraId="3B87943C" w14:textId="77777777" w:rsidR="00F25D6B" w:rsidRDefault="00F25D6B" w:rsidP="000D5B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2EC9"/>
    <w:multiLevelType w:val="hybridMultilevel"/>
    <w:tmpl w:val="11B0139A"/>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 w15:restartNumberingAfterBreak="0">
    <w:nsid w:val="180C4413"/>
    <w:multiLevelType w:val="hybridMultilevel"/>
    <w:tmpl w:val="33C458E8"/>
    <w:lvl w:ilvl="0" w:tplc="58F2CBF6">
      <w:start w:val="2"/>
      <w:numFmt w:val="bullet"/>
      <w:lvlText w:val="-"/>
      <w:lvlJc w:val="left"/>
      <w:pPr>
        <w:ind w:left="1128" w:hanging="360"/>
      </w:pPr>
      <w:rPr>
        <w:rFonts w:ascii="Arial" w:eastAsia="Arial" w:hAnsi="Arial" w:cs="Arial" w:hint="default"/>
      </w:rPr>
    </w:lvl>
    <w:lvl w:ilvl="1" w:tplc="04100003" w:tentative="1">
      <w:start w:val="1"/>
      <w:numFmt w:val="bullet"/>
      <w:lvlText w:val="o"/>
      <w:lvlJc w:val="left"/>
      <w:pPr>
        <w:ind w:left="1848" w:hanging="360"/>
      </w:pPr>
      <w:rPr>
        <w:rFonts w:ascii="Courier New" w:hAnsi="Courier New" w:hint="default"/>
      </w:rPr>
    </w:lvl>
    <w:lvl w:ilvl="2" w:tplc="04100005" w:tentative="1">
      <w:start w:val="1"/>
      <w:numFmt w:val="bullet"/>
      <w:lvlText w:val=""/>
      <w:lvlJc w:val="left"/>
      <w:pPr>
        <w:ind w:left="2568" w:hanging="360"/>
      </w:pPr>
      <w:rPr>
        <w:rFonts w:ascii="Wingdings" w:hAnsi="Wingdings" w:hint="default"/>
      </w:rPr>
    </w:lvl>
    <w:lvl w:ilvl="3" w:tplc="04100001" w:tentative="1">
      <w:start w:val="1"/>
      <w:numFmt w:val="bullet"/>
      <w:lvlText w:val=""/>
      <w:lvlJc w:val="left"/>
      <w:pPr>
        <w:ind w:left="3288" w:hanging="360"/>
      </w:pPr>
      <w:rPr>
        <w:rFonts w:ascii="Symbol" w:hAnsi="Symbol" w:hint="default"/>
      </w:rPr>
    </w:lvl>
    <w:lvl w:ilvl="4" w:tplc="04100003" w:tentative="1">
      <w:start w:val="1"/>
      <w:numFmt w:val="bullet"/>
      <w:lvlText w:val="o"/>
      <w:lvlJc w:val="left"/>
      <w:pPr>
        <w:ind w:left="4008" w:hanging="360"/>
      </w:pPr>
      <w:rPr>
        <w:rFonts w:ascii="Courier New" w:hAnsi="Courier New" w:hint="default"/>
      </w:rPr>
    </w:lvl>
    <w:lvl w:ilvl="5" w:tplc="04100005" w:tentative="1">
      <w:start w:val="1"/>
      <w:numFmt w:val="bullet"/>
      <w:lvlText w:val=""/>
      <w:lvlJc w:val="left"/>
      <w:pPr>
        <w:ind w:left="4728" w:hanging="360"/>
      </w:pPr>
      <w:rPr>
        <w:rFonts w:ascii="Wingdings" w:hAnsi="Wingdings" w:hint="default"/>
      </w:rPr>
    </w:lvl>
    <w:lvl w:ilvl="6" w:tplc="04100001" w:tentative="1">
      <w:start w:val="1"/>
      <w:numFmt w:val="bullet"/>
      <w:lvlText w:val=""/>
      <w:lvlJc w:val="left"/>
      <w:pPr>
        <w:ind w:left="5448" w:hanging="360"/>
      </w:pPr>
      <w:rPr>
        <w:rFonts w:ascii="Symbol" w:hAnsi="Symbol" w:hint="default"/>
      </w:rPr>
    </w:lvl>
    <w:lvl w:ilvl="7" w:tplc="04100003" w:tentative="1">
      <w:start w:val="1"/>
      <w:numFmt w:val="bullet"/>
      <w:lvlText w:val="o"/>
      <w:lvlJc w:val="left"/>
      <w:pPr>
        <w:ind w:left="6168" w:hanging="360"/>
      </w:pPr>
      <w:rPr>
        <w:rFonts w:ascii="Courier New" w:hAnsi="Courier New" w:hint="default"/>
      </w:rPr>
    </w:lvl>
    <w:lvl w:ilvl="8" w:tplc="04100005" w:tentative="1">
      <w:start w:val="1"/>
      <w:numFmt w:val="bullet"/>
      <w:lvlText w:val=""/>
      <w:lvlJc w:val="left"/>
      <w:pPr>
        <w:ind w:left="6888" w:hanging="360"/>
      </w:pPr>
      <w:rPr>
        <w:rFonts w:ascii="Wingdings" w:hAnsi="Wingdings" w:hint="default"/>
      </w:rPr>
    </w:lvl>
  </w:abstractNum>
  <w:abstractNum w:abstractNumId="2" w15:restartNumberingAfterBreak="0">
    <w:nsid w:val="438502B8"/>
    <w:multiLevelType w:val="multilevel"/>
    <w:tmpl w:val="EB84D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C81E3A"/>
    <w:multiLevelType w:val="hybridMultilevel"/>
    <w:tmpl w:val="A4469F62"/>
    <w:lvl w:ilvl="0" w:tplc="D8F26BA0">
      <w:start w:val="1"/>
      <w:numFmt w:val="bullet"/>
      <w:lvlText w:val="●"/>
      <w:lvlJc w:val="left"/>
      <w:pPr>
        <w:ind w:left="720" w:hanging="360"/>
      </w:pPr>
    </w:lvl>
    <w:lvl w:ilvl="1" w:tplc="50E6040A">
      <w:start w:val="1"/>
      <w:numFmt w:val="bullet"/>
      <w:lvlText w:val="○"/>
      <w:lvlJc w:val="left"/>
      <w:pPr>
        <w:ind w:left="1440" w:hanging="360"/>
      </w:pPr>
    </w:lvl>
    <w:lvl w:ilvl="2" w:tplc="2E909E22">
      <w:start w:val="1"/>
      <w:numFmt w:val="bullet"/>
      <w:lvlText w:val="■"/>
      <w:lvlJc w:val="left"/>
      <w:pPr>
        <w:ind w:left="2160" w:hanging="360"/>
      </w:pPr>
    </w:lvl>
    <w:lvl w:ilvl="3" w:tplc="F038544E">
      <w:start w:val="1"/>
      <w:numFmt w:val="bullet"/>
      <w:lvlText w:val="●"/>
      <w:lvlJc w:val="left"/>
      <w:pPr>
        <w:ind w:left="2880" w:hanging="360"/>
      </w:pPr>
    </w:lvl>
    <w:lvl w:ilvl="4" w:tplc="9284454A">
      <w:start w:val="1"/>
      <w:numFmt w:val="bullet"/>
      <w:lvlText w:val="○"/>
      <w:lvlJc w:val="left"/>
      <w:pPr>
        <w:ind w:left="3600" w:hanging="360"/>
      </w:pPr>
    </w:lvl>
    <w:lvl w:ilvl="5" w:tplc="7B16693C">
      <w:start w:val="1"/>
      <w:numFmt w:val="bullet"/>
      <w:lvlText w:val="■"/>
      <w:lvlJc w:val="left"/>
      <w:pPr>
        <w:ind w:left="4320" w:hanging="360"/>
      </w:pPr>
    </w:lvl>
    <w:lvl w:ilvl="6" w:tplc="BA1EAA9C">
      <w:start w:val="1"/>
      <w:numFmt w:val="bullet"/>
      <w:lvlText w:val="●"/>
      <w:lvlJc w:val="left"/>
      <w:pPr>
        <w:ind w:left="5040" w:hanging="360"/>
      </w:pPr>
    </w:lvl>
    <w:lvl w:ilvl="7" w:tplc="AC1C2B12">
      <w:start w:val="1"/>
      <w:numFmt w:val="bullet"/>
      <w:lvlText w:val="●"/>
      <w:lvlJc w:val="left"/>
      <w:pPr>
        <w:ind w:left="5760" w:hanging="360"/>
      </w:pPr>
    </w:lvl>
    <w:lvl w:ilvl="8" w:tplc="B3FE9BAA">
      <w:start w:val="1"/>
      <w:numFmt w:val="bullet"/>
      <w:lvlText w:val="●"/>
      <w:lvlJc w:val="left"/>
      <w:pPr>
        <w:ind w:left="6480" w:hanging="360"/>
      </w:pPr>
    </w:lvl>
  </w:abstractNum>
  <w:abstractNum w:abstractNumId="4" w15:restartNumberingAfterBreak="0">
    <w:nsid w:val="47B53512"/>
    <w:multiLevelType w:val="multilevel"/>
    <w:tmpl w:val="49EC3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5663AB"/>
    <w:multiLevelType w:val="multilevel"/>
    <w:tmpl w:val="ABC41A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43757"/>
    <w:multiLevelType w:val="hybridMultilevel"/>
    <w:tmpl w:val="93DA8FB6"/>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7" w15:restartNumberingAfterBreak="0">
    <w:nsid w:val="6B4E6ED7"/>
    <w:multiLevelType w:val="multilevel"/>
    <w:tmpl w:val="FE0243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9" w15:restartNumberingAfterBreak="0">
    <w:nsid w:val="7C645352"/>
    <w:multiLevelType w:val="multilevel"/>
    <w:tmpl w:val="537E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591230">
    <w:abstractNumId w:val="3"/>
    <w:lvlOverride w:ilvl="0">
      <w:startOverride w:val="1"/>
    </w:lvlOverride>
  </w:num>
  <w:num w:numId="2" w16cid:durableId="1538664972">
    <w:abstractNumId w:val="8"/>
  </w:num>
  <w:num w:numId="3" w16cid:durableId="478301310">
    <w:abstractNumId w:val="0"/>
  </w:num>
  <w:num w:numId="4" w16cid:durableId="1311397713">
    <w:abstractNumId w:val="9"/>
  </w:num>
  <w:num w:numId="5" w16cid:durableId="321008408">
    <w:abstractNumId w:val="6"/>
  </w:num>
  <w:num w:numId="6" w16cid:durableId="2033459042">
    <w:abstractNumId w:val="1"/>
  </w:num>
  <w:num w:numId="7" w16cid:durableId="1522275597">
    <w:abstractNumId w:val="2"/>
  </w:num>
  <w:num w:numId="8" w16cid:durableId="792940447">
    <w:abstractNumId w:val="4"/>
  </w:num>
  <w:num w:numId="9" w16cid:durableId="576209329">
    <w:abstractNumId w:val="5"/>
  </w:num>
  <w:num w:numId="10" w16cid:durableId="6697212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635"/>
    <w:rsid w:val="0000746C"/>
    <w:rsid w:val="000147DF"/>
    <w:rsid w:val="00055402"/>
    <w:rsid w:val="000569AA"/>
    <w:rsid w:val="00064285"/>
    <w:rsid w:val="00074311"/>
    <w:rsid w:val="000822DA"/>
    <w:rsid w:val="000B2F62"/>
    <w:rsid w:val="000C217A"/>
    <w:rsid w:val="000D3B70"/>
    <w:rsid w:val="000D5B3B"/>
    <w:rsid w:val="000F1536"/>
    <w:rsid w:val="000F24CB"/>
    <w:rsid w:val="00116982"/>
    <w:rsid w:val="00126DAC"/>
    <w:rsid w:val="00132635"/>
    <w:rsid w:val="00140608"/>
    <w:rsid w:val="00151E80"/>
    <w:rsid w:val="001868C0"/>
    <w:rsid w:val="00195A65"/>
    <w:rsid w:val="001D22F0"/>
    <w:rsid w:val="00201613"/>
    <w:rsid w:val="002117B6"/>
    <w:rsid w:val="0022611F"/>
    <w:rsid w:val="00244779"/>
    <w:rsid w:val="002A5B89"/>
    <w:rsid w:val="002C4670"/>
    <w:rsid w:val="002E4C7A"/>
    <w:rsid w:val="003471FD"/>
    <w:rsid w:val="00347886"/>
    <w:rsid w:val="00374946"/>
    <w:rsid w:val="003C3F15"/>
    <w:rsid w:val="004170C5"/>
    <w:rsid w:val="004602A8"/>
    <w:rsid w:val="0047695E"/>
    <w:rsid w:val="0048239D"/>
    <w:rsid w:val="004A1625"/>
    <w:rsid w:val="004A3CAF"/>
    <w:rsid w:val="004B08F6"/>
    <w:rsid w:val="004C3A93"/>
    <w:rsid w:val="004C6305"/>
    <w:rsid w:val="004F302D"/>
    <w:rsid w:val="00500EB3"/>
    <w:rsid w:val="00550650"/>
    <w:rsid w:val="00557A7B"/>
    <w:rsid w:val="005654AB"/>
    <w:rsid w:val="005A479F"/>
    <w:rsid w:val="005A6878"/>
    <w:rsid w:val="005E1B89"/>
    <w:rsid w:val="005F1284"/>
    <w:rsid w:val="006117B0"/>
    <w:rsid w:val="006318D9"/>
    <w:rsid w:val="00652820"/>
    <w:rsid w:val="00662F43"/>
    <w:rsid w:val="0069652F"/>
    <w:rsid w:val="006A69C4"/>
    <w:rsid w:val="006B1782"/>
    <w:rsid w:val="006B5060"/>
    <w:rsid w:val="006C1ECA"/>
    <w:rsid w:val="006E75B3"/>
    <w:rsid w:val="006F5BBD"/>
    <w:rsid w:val="00705AF0"/>
    <w:rsid w:val="00733192"/>
    <w:rsid w:val="0075000E"/>
    <w:rsid w:val="00764451"/>
    <w:rsid w:val="00765B04"/>
    <w:rsid w:val="007813B5"/>
    <w:rsid w:val="007A67A6"/>
    <w:rsid w:val="007B1089"/>
    <w:rsid w:val="007E5DE1"/>
    <w:rsid w:val="008175E9"/>
    <w:rsid w:val="008440B9"/>
    <w:rsid w:val="00867F83"/>
    <w:rsid w:val="00896B4B"/>
    <w:rsid w:val="008A00B3"/>
    <w:rsid w:val="008A5711"/>
    <w:rsid w:val="008B57B0"/>
    <w:rsid w:val="008D4BA4"/>
    <w:rsid w:val="008D4CA7"/>
    <w:rsid w:val="008E7659"/>
    <w:rsid w:val="008F7787"/>
    <w:rsid w:val="009440A5"/>
    <w:rsid w:val="00945F8B"/>
    <w:rsid w:val="009839B3"/>
    <w:rsid w:val="009910B9"/>
    <w:rsid w:val="009B78EB"/>
    <w:rsid w:val="00A05475"/>
    <w:rsid w:val="00A4202C"/>
    <w:rsid w:val="00A5507E"/>
    <w:rsid w:val="00AA0C1D"/>
    <w:rsid w:val="00AD1478"/>
    <w:rsid w:val="00AE189E"/>
    <w:rsid w:val="00B07151"/>
    <w:rsid w:val="00B14F86"/>
    <w:rsid w:val="00B2049A"/>
    <w:rsid w:val="00B36640"/>
    <w:rsid w:val="00B978E4"/>
    <w:rsid w:val="00BA6DEF"/>
    <w:rsid w:val="00BE2EBD"/>
    <w:rsid w:val="00C103EE"/>
    <w:rsid w:val="00C106C0"/>
    <w:rsid w:val="00C15AF0"/>
    <w:rsid w:val="00C45918"/>
    <w:rsid w:val="00C6085A"/>
    <w:rsid w:val="00C620A8"/>
    <w:rsid w:val="00C62C39"/>
    <w:rsid w:val="00C66BA1"/>
    <w:rsid w:val="00C7149A"/>
    <w:rsid w:val="00C8150E"/>
    <w:rsid w:val="00C94BBD"/>
    <w:rsid w:val="00CE1216"/>
    <w:rsid w:val="00CF1776"/>
    <w:rsid w:val="00D26237"/>
    <w:rsid w:val="00D44B87"/>
    <w:rsid w:val="00D709F8"/>
    <w:rsid w:val="00DA4D02"/>
    <w:rsid w:val="00DB2967"/>
    <w:rsid w:val="00DC4C7E"/>
    <w:rsid w:val="00DC6D7D"/>
    <w:rsid w:val="00DE278D"/>
    <w:rsid w:val="00E03264"/>
    <w:rsid w:val="00E319D6"/>
    <w:rsid w:val="00E56CED"/>
    <w:rsid w:val="00E93F3F"/>
    <w:rsid w:val="00EC2954"/>
    <w:rsid w:val="00EF7688"/>
    <w:rsid w:val="00F22D97"/>
    <w:rsid w:val="00F25D6B"/>
    <w:rsid w:val="00F36C1B"/>
    <w:rsid w:val="00F53F82"/>
    <w:rsid w:val="00F97105"/>
    <w:rsid w:val="00FB4D24"/>
    <w:rsid w:val="00FC2540"/>
    <w:rsid w:val="00FC5E70"/>
    <w:rsid w:val="00FE06E5"/>
    <w:rsid w:val="00FE12A7"/>
    <w:rsid w:val="00FE20EC"/>
    <w:rsid w:val="00FE4266"/>
    <w:rsid w:val="00FF12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FC23"/>
  <w15:docId w15:val="{341CB773-F85C-AA42-B61E-641B2D2E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360" w:lineRule="auto"/>
      <w:ind w:firstLine="708"/>
      <w:jc w:val="both"/>
    </w:pPr>
  </w:style>
  <w:style w:type="paragraph" w:styleId="Titolo1">
    <w:name w:val="heading 1"/>
    <w:basedOn w:val="Normale"/>
    <w:next w:val="Normale"/>
    <w:uiPriority w:val="9"/>
    <w:qFormat/>
    <w:pPr>
      <w:outlineLvl w:val="0"/>
    </w:pPr>
    <w:rPr>
      <w:color w:val="2E74B5"/>
      <w:sz w:val="32"/>
      <w:szCs w:val="32"/>
    </w:rPr>
  </w:style>
  <w:style w:type="paragraph" w:styleId="Titolo2">
    <w:name w:val="heading 2"/>
    <w:basedOn w:val="Normale"/>
    <w:next w:val="Normale"/>
    <w:uiPriority w:val="9"/>
    <w:semiHidden/>
    <w:unhideWhenUsed/>
    <w:qFormat/>
    <w:pPr>
      <w:outlineLvl w:val="1"/>
    </w:pPr>
    <w:rPr>
      <w:color w:val="2E74B5"/>
      <w:sz w:val="26"/>
      <w:szCs w:val="26"/>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pPr>
      <w:spacing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Enfasigrassetto">
    <w:name w:val="Strong"/>
    <w:basedOn w:val="Carpredefinitoparagrafo"/>
    <w:uiPriority w:val="22"/>
    <w:qFormat/>
    <w:rsid w:val="00F36C1B"/>
    <w:rPr>
      <w:b/>
      <w:bCs/>
    </w:rPr>
  </w:style>
  <w:style w:type="character" w:customStyle="1" w:styleId="Menzionenonrisolta1">
    <w:name w:val="Menzione non risolta1"/>
    <w:basedOn w:val="Carpredefinitoparagrafo"/>
    <w:uiPriority w:val="99"/>
    <w:semiHidden/>
    <w:unhideWhenUsed/>
    <w:rsid w:val="004B08F6"/>
    <w:rPr>
      <w:color w:val="605E5C"/>
      <w:shd w:val="clear" w:color="auto" w:fill="E1DFDD"/>
    </w:rPr>
  </w:style>
  <w:style w:type="paragraph" w:styleId="Intestazione">
    <w:name w:val="header"/>
    <w:basedOn w:val="Normale"/>
    <w:link w:val="IntestazioneCarattere"/>
    <w:uiPriority w:val="99"/>
    <w:unhideWhenUsed/>
    <w:rsid w:val="000D5B3B"/>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0D5B3B"/>
  </w:style>
  <w:style w:type="paragraph" w:styleId="Pidipagina">
    <w:name w:val="footer"/>
    <w:basedOn w:val="Normale"/>
    <w:link w:val="PidipaginaCarattere"/>
    <w:uiPriority w:val="99"/>
    <w:unhideWhenUsed/>
    <w:rsid w:val="000D5B3B"/>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0D5B3B"/>
  </w:style>
  <w:style w:type="paragraph" w:styleId="NormaleWeb">
    <w:name w:val="Normal (Web)"/>
    <w:basedOn w:val="Normale"/>
    <w:uiPriority w:val="99"/>
    <w:semiHidden/>
    <w:unhideWhenUsed/>
    <w:rsid w:val="000C21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TotalTime>
  <Pages>11</Pages>
  <Words>3603</Words>
  <Characters>20538</Characters>
  <Application>Microsoft Office Word</Application>
  <DocSecurity>0</DocSecurity>
  <Lines>171</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33</cp:revision>
  <cp:lastPrinted>2026-07-14T10:17:00Z</cp:lastPrinted>
  <dcterms:created xsi:type="dcterms:W3CDTF">2026-06-26T13:20:00Z</dcterms:created>
  <dcterms:modified xsi:type="dcterms:W3CDTF">2026-07-14T10:34:00Z</dcterms:modified>
</cp:coreProperties>
</file>