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52B721" w14:textId="77777777" w:rsidR="00035995" w:rsidRDefault="004E57D2">
      <w:pPr>
        <w:spacing w:line="360" w:lineRule="auto"/>
        <w:jc w:val="center"/>
      </w:pPr>
      <w:r>
        <w:rPr>
          <w:b/>
          <w:bCs/>
        </w:rPr>
        <w:t>TRIBUNALE ORDINARIO DI SANTA MARIA CAPUA VETERE</w:t>
      </w:r>
    </w:p>
    <w:p w14:paraId="6400B0A8" w14:textId="77777777" w:rsidR="00035995" w:rsidRDefault="004E57D2">
      <w:pPr>
        <w:spacing w:line="360" w:lineRule="auto"/>
        <w:jc w:val="center"/>
      </w:pPr>
      <w:r>
        <w:rPr>
          <w:b/>
          <w:bCs/>
        </w:rPr>
        <w:t>R.G. n. ___ / 2026</w:t>
      </w:r>
    </w:p>
    <w:p w14:paraId="09860A81" w14:textId="77777777" w:rsidR="00035995" w:rsidRDefault="00035995">
      <w:pPr>
        <w:spacing w:line="360" w:lineRule="auto"/>
      </w:pPr>
    </w:p>
    <w:p w14:paraId="764DB8CC" w14:textId="77777777" w:rsidR="00035995" w:rsidRDefault="004E57D2">
      <w:pPr>
        <w:spacing w:line="360" w:lineRule="auto"/>
        <w:jc w:val="center"/>
      </w:pPr>
      <w:r>
        <w:rPr>
          <w:b/>
          <w:bCs/>
        </w:rPr>
        <w:t>Ud. del 15 luglio 2026</w:t>
      </w:r>
    </w:p>
    <w:p w14:paraId="1EB76452" w14:textId="77777777" w:rsidR="00035995" w:rsidRDefault="00035995">
      <w:pPr>
        <w:spacing w:line="360" w:lineRule="auto"/>
      </w:pPr>
    </w:p>
    <w:p w14:paraId="7C905B27" w14:textId="77777777" w:rsidR="00035995" w:rsidRDefault="004E57D2">
      <w:pPr>
        <w:spacing w:line="360" w:lineRule="auto"/>
        <w:jc w:val="center"/>
      </w:pPr>
      <w:r>
        <w:rPr>
          <w:b/>
          <w:bCs/>
        </w:rPr>
        <w:t>COMPARSA DI COSTITUZIONE E RISPOSTA</w:t>
      </w:r>
    </w:p>
    <w:p w14:paraId="4905DE4E" w14:textId="77777777" w:rsidR="00035995" w:rsidRDefault="00035995">
      <w:pPr>
        <w:spacing w:line="360" w:lineRule="auto"/>
      </w:pPr>
    </w:p>
    <w:p w14:paraId="012E28D6" w14:textId="77777777" w:rsidR="00035995" w:rsidRDefault="004E57D2">
      <w:pPr>
        <w:spacing w:line="360" w:lineRule="auto"/>
        <w:jc w:val="both"/>
      </w:pPr>
      <w:r>
        <w:t xml:space="preserve">per il </w:t>
      </w:r>
      <w:r>
        <w:rPr>
          <w:b/>
          <w:bCs/>
        </w:rPr>
        <w:t>COMUNE DI SESSA AURUNCA</w:t>
      </w:r>
      <w:r>
        <w:t xml:space="preserve">, C.F. 00160250619, con sede in Via XXI Luglio n. 1 – 81037 Sessa Aurunca (CE), in persona del Sindaco </w:t>
      </w:r>
      <w:r>
        <w:rPr>
          <w:i/>
          <w:iCs/>
        </w:rPr>
        <w:t>pro tempore</w:t>
      </w:r>
      <w:r>
        <w:t>, rappresentato e difeso, in virtù di mandato in calce al presente atto, dall'avv. …………………………… (C.F. ……………………………) presso il cui studio elettiv</w:t>
      </w:r>
      <w:r>
        <w:t>amente domicilia in ……………………</w:t>
      </w:r>
      <w:proofErr w:type="gramStart"/>
      <w:r>
        <w:t>…….</w:t>
      </w:r>
      <w:proofErr w:type="gramEnd"/>
      <w:r>
        <w:t xml:space="preserve">., il suddetto procuratore dichiara di voler ricevere le notifiche di legge a mezzo </w:t>
      </w:r>
      <w:proofErr w:type="spellStart"/>
      <w:r>
        <w:t>pec</w:t>
      </w:r>
      <w:proofErr w:type="spellEnd"/>
      <w:r>
        <w:t xml:space="preserve"> all'indirizzo ……………………………;</w:t>
      </w:r>
    </w:p>
    <w:p w14:paraId="62E14CB1" w14:textId="77777777" w:rsidR="00035995" w:rsidRDefault="00035995">
      <w:pPr>
        <w:spacing w:line="360" w:lineRule="auto"/>
      </w:pPr>
    </w:p>
    <w:p w14:paraId="78480FEB" w14:textId="77777777" w:rsidR="00035995" w:rsidRDefault="004E57D2">
      <w:pPr>
        <w:spacing w:line="360" w:lineRule="auto"/>
        <w:jc w:val="center"/>
      </w:pPr>
      <w:r>
        <w:rPr>
          <w:b/>
          <w:bCs/>
        </w:rPr>
        <w:t>contro</w:t>
      </w:r>
    </w:p>
    <w:p w14:paraId="7F97AC12" w14:textId="77777777" w:rsidR="00035995" w:rsidRDefault="00035995">
      <w:pPr>
        <w:spacing w:line="360" w:lineRule="auto"/>
      </w:pPr>
    </w:p>
    <w:p w14:paraId="78B1188F" w14:textId="77777777" w:rsidR="00035995" w:rsidRDefault="004E57D2">
      <w:pPr>
        <w:spacing w:line="360" w:lineRule="auto"/>
        <w:jc w:val="both"/>
      </w:pPr>
      <w:r>
        <w:tab/>
      </w:r>
      <w:r>
        <w:rPr>
          <w:b/>
          <w:bCs/>
        </w:rPr>
        <w:t>ITALGAS RETI S.p.A.</w:t>
      </w:r>
      <w:r>
        <w:t>, soggetta all'attività di direzione e coordinamento di Italgas S.p.A., Società c</w:t>
      </w:r>
      <w:r>
        <w:t xml:space="preserve">on Unico Socio, con sede legale in Torino, Largo Regio Parco n. 11, C.F. e numero di iscrizione nel Registro delle Imprese di Torino 00489490011, in persona del suo procuratore speciale, Avv. Paolo De Martino, </w:t>
      </w:r>
      <w:r>
        <w:rPr>
          <w:b/>
          <w:bCs/>
        </w:rPr>
        <w:t xml:space="preserve">rappresentata e difesa dagli </w:t>
      </w:r>
      <w:proofErr w:type="gramStart"/>
      <w:r>
        <w:rPr>
          <w:b/>
          <w:bCs/>
        </w:rPr>
        <w:t>avv.ti</w:t>
      </w:r>
      <w:proofErr w:type="gramEnd"/>
      <w:r>
        <w:rPr>
          <w:b/>
          <w:bCs/>
        </w:rPr>
        <w:t xml:space="preserve"> Cesare Cat</w:t>
      </w:r>
      <w:r>
        <w:rPr>
          <w:b/>
          <w:bCs/>
        </w:rPr>
        <w:t>urani e Maria Laura Tripodi</w:t>
      </w:r>
      <w:r>
        <w:t>.</w:t>
      </w:r>
    </w:p>
    <w:p w14:paraId="3D08270D" w14:textId="77777777" w:rsidR="00035995" w:rsidRDefault="00035995">
      <w:pPr>
        <w:spacing w:line="360" w:lineRule="auto"/>
      </w:pPr>
    </w:p>
    <w:p w14:paraId="7CCEF65C" w14:textId="77777777" w:rsidR="00035995" w:rsidRDefault="004E57D2">
      <w:pPr>
        <w:spacing w:line="360" w:lineRule="auto"/>
        <w:jc w:val="center"/>
      </w:pPr>
      <w:r>
        <w:t>*   *   *</w:t>
      </w:r>
    </w:p>
    <w:p w14:paraId="41239EB0" w14:textId="3F0BE760" w:rsidR="00035995" w:rsidRDefault="004E57D2">
      <w:pPr>
        <w:spacing w:line="360" w:lineRule="auto"/>
        <w:jc w:val="both"/>
      </w:pPr>
      <w:r>
        <w:tab/>
        <w:t xml:space="preserve">Il Comune di Sessa Aurunca ha notificato ad Italgas Reti S.p.A. (di seguito anche </w:t>
      </w:r>
      <w:r>
        <w:rPr>
          <w:b/>
          <w:bCs/>
        </w:rPr>
        <w:t>ITGR</w:t>
      </w:r>
      <w:r>
        <w:t>)</w:t>
      </w:r>
      <w:r w:rsidR="00D30AD6">
        <w:t>,</w:t>
      </w:r>
      <w:r>
        <w:t xml:space="preserve"> in data 22 gennaio 2026, l'</w:t>
      </w:r>
      <w:r>
        <w:rPr>
          <w:b/>
          <w:bCs/>
        </w:rPr>
        <w:t>Avviso di Accertamento Esecutivo n. 1 del 16 gennaio 2026</w:t>
      </w:r>
      <w:r>
        <w:t xml:space="preserve"> (di seguito anche l'"</w:t>
      </w:r>
      <w:r>
        <w:rPr>
          <w:b/>
          <w:bCs/>
        </w:rPr>
        <w:t>Avviso</w:t>
      </w:r>
      <w:r>
        <w:t>"), emesso ai s</w:t>
      </w:r>
      <w:r>
        <w:t xml:space="preserve">ensi dell'art. 1, commi da 816 a 836, L. 160/2019, con il quale è stato ingiunto il pagamento </w:t>
      </w:r>
      <w:r w:rsidR="00482C1B">
        <w:t xml:space="preserve">del </w:t>
      </w:r>
      <w:r>
        <w:t>Canone Unico Patrimoniale (</w:t>
      </w:r>
      <w:r>
        <w:rPr>
          <w:b/>
          <w:bCs/>
        </w:rPr>
        <w:t>CUP</w:t>
      </w:r>
      <w:r>
        <w:t>) per le annualità 2021</w:t>
      </w:r>
      <w:r>
        <w:t xml:space="preserve">-2022-2023-2024, </w:t>
      </w:r>
      <w:r w:rsidR="00482C1B">
        <w:t>oltre interessi e sanzioni</w:t>
      </w:r>
      <w:r>
        <w:t xml:space="preserve">, </w:t>
      </w:r>
      <w:r w:rsidR="00482C1B">
        <w:t xml:space="preserve">contestando alla società </w:t>
      </w:r>
      <w:r>
        <w:t xml:space="preserve">l'infedele dichiarazione e </w:t>
      </w:r>
      <w:r w:rsidR="00482C1B">
        <w:t>i</w:t>
      </w:r>
      <w:r>
        <w:t>l parziale versamento del canone dovuto per le occupazioni permanenti del suolo pubblico del Comune di Sessa Au</w:t>
      </w:r>
      <w:r>
        <w:t>runca</w:t>
      </w:r>
      <w:r w:rsidR="00482C1B">
        <w:t>,</w:t>
      </w:r>
      <w:r>
        <w:t xml:space="preserve"> con cavi e condutture funzionali alla fornitura del servizio di distribuzione del gas, gestito dalla ricorrente (cfr. </w:t>
      </w:r>
      <w:r>
        <w:rPr>
          <w:i/>
          <w:iCs/>
        </w:rPr>
        <w:t>doc. 1</w:t>
      </w:r>
      <w:r>
        <w:t>).</w:t>
      </w:r>
    </w:p>
    <w:p w14:paraId="1AD9E55C" w14:textId="77777777" w:rsidR="00035995" w:rsidRDefault="004E57D2">
      <w:pPr>
        <w:spacing w:line="360" w:lineRule="auto"/>
        <w:jc w:val="both"/>
      </w:pPr>
      <w:r>
        <w:lastRenderedPageBreak/>
        <w:tab/>
        <w:t>Più specificamente, come dettagliato nella tabella "DETTAGLIO CANONE" dell'Avviso, il canone complessivo dovuto per le ann</w:t>
      </w:r>
      <w:r>
        <w:t>ualità 2021-2024 ammontava ad Euro 13.337,89, di cui Euro 3.850,85 già versati dalla società, con una differenza residua non versata pari ad Euro 9.487,04 così ripartita: Euro 2.065,28 per il 2021 (n. 3.224 utenze x tariffa Euro 1,00); Euro 2.240,86 per il</w:t>
      </w:r>
      <w:r>
        <w:t xml:space="preserve"> 2022 (n. 3.336 utenze x tariffa Euro 1,04); Euro 2.549,61 per il 2023 (n. 3.391 utenze x tariffa Euro 1,16); Euro 2.631,29 per il 2024 (n. 3.376 utenze x tariffa Euro 1,17). Il numero di utenze è stato determinato sulla base dei dati rilevati dal portale </w:t>
      </w:r>
      <w:r>
        <w:t>"Punto Fisco" dell'Agenzia delle Entrate, stante la mancanza di una dichiarazione congrua da parte della società.</w:t>
      </w:r>
    </w:p>
    <w:p w14:paraId="70CA51A7" w14:textId="77777777" w:rsidR="00482C1B" w:rsidRDefault="004E57D2">
      <w:pPr>
        <w:spacing w:line="360" w:lineRule="auto"/>
        <w:jc w:val="both"/>
      </w:pPr>
      <w:r>
        <w:tab/>
      </w:r>
      <w:r w:rsidR="00482C1B">
        <w:t>A tal proposito è opportuno premettere che, i</w:t>
      </w:r>
      <w:r>
        <w:t xml:space="preserve">l Comune, già in data 16 ottobre 2025, tramite la </w:t>
      </w:r>
      <w:r w:rsidR="00A36581">
        <w:t xml:space="preserve">società incaricata </w:t>
      </w:r>
      <w:r>
        <w:t>Archivia Solution S.p.A. (</w:t>
      </w:r>
      <w:r w:rsidR="00482C1B">
        <w:t xml:space="preserve">incaricata dell’attività di supporto alla verifica del CUP, </w:t>
      </w:r>
      <w:r>
        <w:t xml:space="preserve">giusta Determinazione n. 241/2025 </w:t>
      </w:r>
      <w:r w:rsidR="00482C1B">
        <w:t>–</w:t>
      </w:r>
      <w:r>
        <w:t xml:space="preserve"> R</w:t>
      </w:r>
      <w:r w:rsidR="00482C1B">
        <w:t xml:space="preserve">eg. </w:t>
      </w:r>
      <w:proofErr w:type="gramStart"/>
      <w:r w:rsidR="00482C1B">
        <w:t>Gen.</w:t>
      </w:r>
      <w:proofErr w:type="gramEnd"/>
      <w:r w:rsidR="00482C1B">
        <w:t xml:space="preserve"> </w:t>
      </w:r>
      <w:r>
        <w:t>1442</w:t>
      </w:r>
      <w:r>
        <w:t xml:space="preserve"> del 17/06/2025</w:t>
      </w:r>
      <w:r w:rsidR="00482C1B">
        <w:t xml:space="preserve"> cfr. doc. 2</w:t>
      </w:r>
      <w:r>
        <w:t xml:space="preserve">), aveva formalmente richiesto ad ITGR copia della dichiarazione delle utenze attive e dei versamenti relativi agli anni 2021-2024 (cfr. </w:t>
      </w:r>
      <w:r>
        <w:rPr>
          <w:i/>
          <w:iCs/>
        </w:rPr>
        <w:t xml:space="preserve">doc. </w:t>
      </w:r>
      <w:r w:rsidR="00482C1B">
        <w:rPr>
          <w:i/>
          <w:iCs/>
        </w:rPr>
        <w:t>3</w:t>
      </w:r>
      <w:r>
        <w:t xml:space="preserve">). </w:t>
      </w:r>
    </w:p>
    <w:p w14:paraId="1E4AB1A4" w14:textId="77777777" w:rsidR="00482C1B" w:rsidRDefault="00482C1B" w:rsidP="00482C1B">
      <w:pPr>
        <w:spacing w:line="360" w:lineRule="auto"/>
        <w:ind w:firstLine="708"/>
        <w:jc w:val="both"/>
      </w:pPr>
      <w:r>
        <w:t xml:space="preserve">Tale richiesta è stata riscontrata dalla </w:t>
      </w:r>
      <w:r w:rsidR="004E57D2">
        <w:t>ITGR</w:t>
      </w:r>
      <w:r>
        <w:t>,</w:t>
      </w:r>
      <w:r w:rsidR="004E57D2">
        <w:t xml:space="preserve"> in data 21 ottobre 2025, trasmettendo le denunce e le contabili di pagament</w:t>
      </w:r>
      <w:r w:rsidR="004E57D2">
        <w:t xml:space="preserve">o (cfr. </w:t>
      </w:r>
      <w:r w:rsidR="004E57D2">
        <w:rPr>
          <w:i/>
          <w:iCs/>
        </w:rPr>
        <w:t xml:space="preserve">doc. </w:t>
      </w:r>
      <w:r>
        <w:rPr>
          <w:i/>
          <w:iCs/>
        </w:rPr>
        <w:t>4</w:t>
      </w:r>
      <w:r w:rsidR="004E57D2">
        <w:t>)</w:t>
      </w:r>
      <w:r>
        <w:t>.</w:t>
      </w:r>
    </w:p>
    <w:p w14:paraId="385B0478" w14:textId="77777777" w:rsidR="00482C1B" w:rsidRDefault="00482C1B" w:rsidP="00482C1B">
      <w:pPr>
        <w:spacing w:line="360" w:lineRule="auto"/>
        <w:ind w:firstLine="708"/>
        <w:jc w:val="both"/>
      </w:pPr>
      <w:r>
        <w:t xml:space="preserve">Tuttavia, </w:t>
      </w:r>
      <w:r w:rsidR="004E57D2">
        <w:t xml:space="preserve">la dichiarazione </w:t>
      </w:r>
      <w:r>
        <w:t xml:space="preserve">della società </w:t>
      </w:r>
      <w:r w:rsidR="004E57D2">
        <w:t>risultava incongrua rispetto ai dati attesi</w:t>
      </w:r>
      <w:r>
        <w:t xml:space="preserve"> dal Comune</w:t>
      </w:r>
      <w:r w:rsidR="004E57D2">
        <w:t xml:space="preserve">, </w:t>
      </w:r>
      <w:r w:rsidR="004E57D2" w:rsidRPr="00482C1B">
        <w:rPr>
          <w:u w:val="single"/>
        </w:rPr>
        <w:t xml:space="preserve">essendo stata autonomamente </w:t>
      </w:r>
      <w:r w:rsidR="004E57D2" w:rsidRPr="00482C1B">
        <w:rPr>
          <w:u w:val="single"/>
        </w:rPr>
        <w:t>ridotta</w:t>
      </w:r>
      <w:r>
        <w:rPr>
          <w:u w:val="single"/>
        </w:rPr>
        <w:t xml:space="preserve"> nel numero di utenze,</w:t>
      </w:r>
      <w:r w:rsidR="004E57D2">
        <w:t xml:space="preserve"> senza alcuna trasparente indicazione del metodo di calcolo</w:t>
      </w:r>
      <w:r>
        <w:t xml:space="preserve"> utilizzato</w:t>
      </w:r>
      <w:r w:rsidR="004E57D2">
        <w:t xml:space="preserve">, con </w:t>
      </w:r>
      <w:r>
        <w:t>solo un semplice e</w:t>
      </w:r>
      <w:r w:rsidR="004E57D2">
        <w:t xml:space="preserve"> generico rinvio, a piè di pagina della dichiarazione, a non meglio spec</w:t>
      </w:r>
      <w:r w:rsidR="004E57D2">
        <w:t xml:space="preserve">ificate </w:t>
      </w:r>
      <w:r w:rsidR="004E57D2" w:rsidRPr="00482C1B">
        <w:rPr>
          <w:i/>
        </w:rPr>
        <w:t>"fattispecie di esenzione (es. devoluzione gratuita) o di mancanza del presupposto"</w:t>
      </w:r>
      <w:r w:rsidR="004E57D2">
        <w:t xml:space="preserve">. </w:t>
      </w:r>
    </w:p>
    <w:p w14:paraId="4D7A0490" w14:textId="77777777" w:rsidR="00482C1B" w:rsidRDefault="004E57D2" w:rsidP="00482C1B">
      <w:pPr>
        <w:spacing w:line="360" w:lineRule="auto"/>
        <w:ind w:firstLine="708"/>
        <w:jc w:val="both"/>
      </w:pPr>
      <w:r>
        <w:t xml:space="preserve">A seguito di tale </w:t>
      </w:r>
      <w:r w:rsidR="00482C1B" w:rsidRPr="00482C1B">
        <w:rPr>
          <w:u w:val="single"/>
        </w:rPr>
        <w:t>ambiguo riscontro</w:t>
      </w:r>
      <w:r>
        <w:t>, in data 4 dicembre 2025, Archivia Solution S.p.A. ha inviato un ulteriore r</w:t>
      </w:r>
      <w:r w:rsidR="00482C1B">
        <w:t>eplica</w:t>
      </w:r>
      <w:r>
        <w:t xml:space="preserve"> (cfr. </w:t>
      </w:r>
      <w:r>
        <w:rPr>
          <w:i/>
          <w:iCs/>
        </w:rPr>
        <w:t>doc. 5</w:t>
      </w:r>
      <w:r>
        <w:t xml:space="preserve">) </w:t>
      </w:r>
      <w:r w:rsidR="00482C1B">
        <w:t xml:space="preserve">invitando e </w:t>
      </w:r>
      <w:r>
        <w:t>diffidando ITGR a d</w:t>
      </w:r>
      <w:r>
        <w:t xml:space="preserve">ocumentare il criterio di calcolo adottato, </w:t>
      </w:r>
      <w:r w:rsidRPr="00482C1B">
        <w:rPr>
          <w:u w:val="single"/>
        </w:rPr>
        <w:t>avvertendo che in mancanza di riscontro l'Ente avrebbe proceduto all'emissione di un avviso di accertamento su stima</w:t>
      </w:r>
      <w:r>
        <w:t xml:space="preserve">. </w:t>
      </w:r>
    </w:p>
    <w:p w14:paraId="31B232D7" w14:textId="146DA5B0" w:rsidR="00035995" w:rsidRDefault="004E57D2" w:rsidP="00482C1B">
      <w:pPr>
        <w:spacing w:line="360" w:lineRule="auto"/>
        <w:ind w:firstLine="708"/>
        <w:jc w:val="both"/>
      </w:pPr>
      <w:r>
        <w:t>Non avendo la società adempiuto, il Comune ha emesso l'avviso oggetto di opposizione.</w:t>
      </w:r>
    </w:p>
    <w:p w14:paraId="0857993A" w14:textId="5059883E" w:rsidR="00035995" w:rsidRDefault="004E57D2">
      <w:pPr>
        <w:spacing w:line="360" w:lineRule="auto"/>
        <w:jc w:val="both"/>
      </w:pPr>
      <w:r>
        <w:tab/>
        <w:t>Avverso</w:t>
      </w:r>
      <w:r>
        <w:t xml:space="preserve"> tale provvedimento è</w:t>
      </w:r>
      <w:r w:rsidR="00482C1B">
        <w:t>, ora,</w:t>
      </w:r>
      <w:r>
        <w:t xml:space="preserve"> insorta </w:t>
      </w:r>
      <w:r>
        <w:rPr>
          <w:b/>
          <w:bCs/>
        </w:rPr>
        <w:t>Italgas Reti S.p.A.</w:t>
      </w:r>
      <w:r>
        <w:t xml:space="preserve"> con atto di citazione notificato in data 24 marzo 2026 (cfr. doc. 2), chiedendo al Tribunale adito di: </w:t>
      </w:r>
      <w:r w:rsidRPr="00E21F5F">
        <w:rPr>
          <w:iCs/>
        </w:rPr>
        <w:t xml:space="preserve">1) </w:t>
      </w:r>
      <w:r w:rsidR="00E21F5F">
        <w:rPr>
          <w:iCs/>
        </w:rPr>
        <w:t>“</w:t>
      </w:r>
      <w:r w:rsidRPr="00E21F5F">
        <w:rPr>
          <w:i/>
        </w:rPr>
        <w:t xml:space="preserve">accertare e dichiarare l'illegittimità dell'avviso di accertamento n. 1/2026, in </w:t>
      </w:r>
      <w:r w:rsidRPr="00E21F5F">
        <w:rPr>
          <w:i/>
        </w:rPr>
        <w:lastRenderedPageBreak/>
        <w:t>ragione dell'infondatezza della pretesa creditoria vantata dal Comune di Sessa Aurunca e dei vizi del predetto atto, con conseguente annullamento o declaratoria di nullità ed inefficacia del medesimo;</w:t>
      </w:r>
      <w:r w:rsidR="00E21F5F">
        <w:rPr>
          <w:i/>
        </w:rPr>
        <w:t>”</w:t>
      </w:r>
      <w:r>
        <w:t xml:space="preserve"> </w:t>
      </w:r>
      <w:r>
        <w:rPr>
          <w:i/>
          <w:iCs/>
        </w:rPr>
        <w:t xml:space="preserve">2) </w:t>
      </w:r>
      <w:r w:rsidR="00E21F5F">
        <w:rPr>
          <w:i/>
          <w:iCs/>
        </w:rPr>
        <w:t>“</w:t>
      </w:r>
      <w:r w:rsidRPr="00E21F5F">
        <w:rPr>
          <w:i/>
          <w:iCs/>
        </w:rPr>
        <w:t>per le stesse ragioni</w:t>
      </w:r>
      <w:r w:rsidRPr="00E21F5F">
        <w:rPr>
          <w:i/>
        </w:rPr>
        <w:t>, accertare e dichiarare che It</w:t>
      </w:r>
      <w:r w:rsidRPr="00E21F5F">
        <w:rPr>
          <w:i/>
        </w:rPr>
        <w:t>algas Reti S.p.A. non è tenuta a versare alcuna somma aggiuntiva al Comune di Sessa Aurunca a titolo di Canone Unico Patrimoniale per le annualità oggetto dell'avviso di accertamento;</w:t>
      </w:r>
      <w:r w:rsidR="00E21F5F">
        <w:rPr>
          <w:i/>
        </w:rPr>
        <w:t>”</w:t>
      </w:r>
      <w:r>
        <w:t xml:space="preserve"> con vittoria di spese</w:t>
      </w:r>
      <w:r>
        <w:t>.</w:t>
      </w:r>
    </w:p>
    <w:p w14:paraId="7CCEF4CC" w14:textId="15F11ABF" w:rsidR="00035995" w:rsidRDefault="004E57D2">
      <w:pPr>
        <w:spacing w:line="360" w:lineRule="auto"/>
        <w:jc w:val="both"/>
      </w:pPr>
      <w:r>
        <w:tab/>
        <w:t>A sostegno di tali domand</w:t>
      </w:r>
      <w:r>
        <w:t xml:space="preserve">e, la </w:t>
      </w:r>
      <w:r>
        <w:rPr>
          <w:b/>
          <w:bCs/>
        </w:rPr>
        <w:t>Italgas Reti spa</w:t>
      </w:r>
      <w:r>
        <w:t xml:space="preserve"> articola tre motivi di opposizione</w:t>
      </w:r>
      <w:r w:rsidR="00E21F5F">
        <w:t xml:space="preserve"> così riassumibili</w:t>
      </w:r>
      <w:r>
        <w:t xml:space="preserve">: </w:t>
      </w:r>
      <w:r>
        <w:rPr>
          <w:b/>
          <w:bCs/>
        </w:rPr>
        <w:t>(1)</w:t>
      </w:r>
      <w:r>
        <w:t xml:space="preserve"> </w:t>
      </w:r>
      <w:r w:rsidRPr="00E21F5F">
        <w:rPr>
          <w:b/>
        </w:rPr>
        <w:t xml:space="preserve">infondatezza della pretesa per violazione e/o falsa applicazione dell'art. 1, comma 833, lett. d), L. 160/2019, dell'art. 53 del Regolamento comunale CUP e dell'art. 3 dell'atto aggiuntivo del </w:t>
      </w:r>
      <w:r w:rsidRPr="00E21F5F">
        <w:rPr>
          <w:b/>
        </w:rPr>
        <w:t>6 novembre 1983</w:t>
      </w:r>
      <w:r>
        <w:t>, deducendo che parte della rete (circa 24.000 ml su 34.000 ml complessivi) sarebbe soggetta a devoluzione gratuita al Comune</w:t>
      </w:r>
      <w:r w:rsidR="00E21F5F">
        <w:t>,</w:t>
      </w:r>
      <w:r>
        <w:t xml:space="preserve"> ai sensi del contratto di concessione e dell'atto aggiuntivo del 1983, sicché il canone avrebbe dovuto essere calco</w:t>
      </w:r>
      <w:r>
        <w:t xml:space="preserve">lato esclusivamente sulla porzione residua a devoluzione onerosa, </w:t>
      </w:r>
      <w:r w:rsidR="00E21F5F">
        <w:t xml:space="preserve">pertanto, </w:t>
      </w:r>
      <w:r>
        <w:t>i versamenti effettuati (Euro 884,</w:t>
      </w:r>
      <w:r w:rsidR="004E7574">
        <w:t>68</w:t>
      </w:r>
      <w:r>
        <w:t xml:space="preserve"> per il 2021; Euro 933,68 per il 2022; Euro 1.049,</w:t>
      </w:r>
      <w:r w:rsidR="004E7574">
        <w:t>60</w:t>
      </w:r>
      <w:r>
        <w:t xml:space="preserve"> per il 2023; Euro 982,8</w:t>
      </w:r>
      <w:r w:rsidR="004E7574">
        <w:t>9</w:t>
      </w:r>
      <w:r>
        <w:t xml:space="preserve"> per il 2024) </w:t>
      </w:r>
      <w:r>
        <w:t xml:space="preserve">sarebbero </w:t>
      </w:r>
      <w:r>
        <w:t xml:space="preserve">corretti; </w:t>
      </w:r>
      <w:r>
        <w:rPr>
          <w:b/>
          <w:bCs/>
        </w:rPr>
        <w:t>(2)</w:t>
      </w:r>
      <w:r>
        <w:t xml:space="preserve"> </w:t>
      </w:r>
      <w:r w:rsidRPr="00E21F5F">
        <w:rPr>
          <w:b/>
        </w:rPr>
        <w:t>illegittimità dell'avv</w:t>
      </w:r>
      <w:r w:rsidRPr="00E21F5F">
        <w:rPr>
          <w:b/>
        </w:rPr>
        <w:t xml:space="preserve">iso per vizi propri dell'atto e grave difetto di istruttoria, </w:t>
      </w:r>
      <w:r>
        <w:t>sostenendo che i dati estrapolati dal portale "Punto Fisco" dell'Agenzia delle Entrate non sarebbero attendibili in quanto la Società non avrebbe alcun obbligo di aggiornamento di detta piattafo</w:t>
      </w:r>
      <w:r>
        <w:t xml:space="preserve">rma e che il numero di utenze ivi indicato </w:t>
      </w:r>
      <w:proofErr w:type="spellStart"/>
      <w:r>
        <w:t>ec</w:t>
      </w:r>
      <w:proofErr w:type="spellEnd"/>
      <w:r w:rsidR="00D3276F">
        <w:t xml:space="preserve">  </w:t>
      </w:r>
      <w:r>
        <w:t xml:space="preserve">cederebbe le utenze effettivamente servite nel territorio comunale; </w:t>
      </w:r>
      <w:r>
        <w:rPr>
          <w:b/>
          <w:bCs/>
        </w:rPr>
        <w:t>(3)</w:t>
      </w:r>
      <w:r>
        <w:t xml:space="preserve"> </w:t>
      </w:r>
      <w:r w:rsidRPr="00E21F5F">
        <w:rPr>
          <w:b/>
        </w:rPr>
        <w:t>infondatezza della sanzione per insussistenza dei requisiti del dolo e/o della colpa</w:t>
      </w:r>
      <w:r>
        <w:t>, stante il pieno affidamento della Società nella legit</w:t>
      </w:r>
      <w:r>
        <w:t>timità della propria condotta.</w:t>
      </w:r>
    </w:p>
    <w:p w14:paraId="4631CD1F" w14:textId="77777777" w:rsidR="00035995" w:rsidRDefault="004E57D2">
      <w:pPr>
        <w:spacing w:line="360" w:lineRule="auto"/>
        <w:jc w:val="both"/>
      </w:pPr>
      <w:r>
        <w:tab/>
        <w:t>L'opposizione promossa da ITGR è manifestamente infondata in fatto e in diritto e, pertanto, deve essere integralmente rigettata per le ragioni che di seguito si espongono.</w:t>
      </w:r>
    </w:p>
    <w:p w14:paraId="5F81DA8E" w14:textId="77777777" w:rsidR="00035995" w:rsidRDefault="004E57D2">
      <w:pPr>
        <w:spacing w:line="360" w:lineRule="auto"/>
        <w:jc w:val="center"/>
      </w:pPr>
      <w:r>
        <w:t>*   *   *</w:t>
      </w:r>
    </w:p>
    <w:p w14:paraId="07CB1439" w14:textId="36004075" w:rsidR="00035995" w:rsidRDefault="004E57D2" w:rsidP="002C67ED">
      <w:pPr>
        <w:spacing w:line="360" w:lineRule="auto"/>
        <w:ind w:firstLine="708"/>
        <w:jc w:val="both"/>
      </w:pPr>
      <w:r>
        <w:t>Con il presente atto si costituisce in gi</w:t>
      </w:r>
      <w:r>
        <w:t xml:space="preserve">udizio il </w:t>
      </w:r>
      <w:r>
        <w:rPr>
          <w:b/>
          <w:bCs/>
        </w:rPr>
        <w:t>Comune di Sessa Aurunca</w:t>
      </w:r>
      <w:r>
        <w:t>, come sopra rappresentato e difeso, contestando le domande, eccezioni e deduzioni avversarie delle quali chiede il rigetto per i seguenti</w:t>
      </w:r>
    </w:p>
    <w:p w14:paraId="14D37F7D" w14:textId="77777777" w:rsidR="00035995" w:rsidRDefault="00035995">
      <w:pPr>
        <w:spacing w:line="360" w:lineRule="auto"/>
      </w:pPr>
    </w:p>
    <w:p w14:paraId="10CE9B68" w14:textId="77777777" w:rsidR="00035995" w:rsidRDefault="004E57D2">
      <w:pPr>
        <w:spacing w:line="360" w:lineRule="auto"/>
        <w:jc w:val="center"/>
      </w:pPr>
      <w:r>
        <w:rPr>
          <w:b/>
          <w:bCs/>
        </w:rPr>
        <w:t>MOTIVI</w:t>
      </w:r>
    </w:p>
    <w:p w14:paraId="612C92B6" w14:textId="77777777" w:rsidR="00035995" w:rsidRDefault="00035995">
      <w:pPr>
        <w:spacing w:line="360" w:lineRule="auto"/>
      </w:pPr>
    </w:p>
    <w:p w14:paraId="06053739" w14:textId="575CE34F" w:rsidR="00035995" w:rsidRDefault="004E57D2">
      <w:pPr>
        <w:spacing w:line="360" w:lineRule="auto"/>
        <w:jc w:val="both"/>
      </w:pPr>
      <w:r>
        <w:rPr>
          <w:b/>
          <w:bCs/>
        </w:rPr>
        <w:lastRenderedPageBreak/>
        <w:t>1.</w:t>
      </w:r>
      <w:r>
        <w:tab/>
      </w:r>
      <w:r>
        <w:rPr>
          <w:b/>
          <w:bCs/>
        </w:rPr>
        <w:t xml:space="preserve">Sulla pretesa esenzione ex art. 1, comma 833, lett. d), L. 160/2019: la </w:t>
      </w:r>
      <w:r>
        <w:rPr>
          <w:b/>
          <w:bCs/>
        </w:rPr>
        <w:t>cd. "devoluzione gratuita" non ricorre nel caso di specie.</w:t>
      </w:r>
    </w:p>
    <w:p w14:paraId="112436CA" w14:textId="77777777" w:rsidR="00035995" w:rsidRDefault="00035995">
      <w:pPr>
        <w:spacing w:line="360" w:lineRule="auto"/>
      </w:pPr>
    </w:p>
    <w:p w14:paraId="355695E3" w14:textId="631CCE4D" w:rsidR="00035995" w:rsidRDefault="004E57D2">
      <w:pPr>
        <w:spacing w:line="360" w:lineRule="auto"/>
        <w:jc w:val="both"/>
      </w:pPr>
      <w:r>
        <w:tab/>
        <w:t xml:space="preserve">ITGR, a sostegno dell'opposizione, eccepisce di aver correttamente calcolato e versato il canone dovuto per le annualità 2021-2024, </w:t>
      </w:r>
      <w:r w:rsidR="004D29C3">
        <w:t xml:space="preserve">essendosi </w:t>
      </w:r>
      <w:r>
        <w:t>auto-applicat</w:t>
      </w:r>
      <w:r w:rsidR="004D29C3">
        <w:t>a</w:t>
      </w:r>
      <w:r>
        <w:t xml:space="preserve"> una riduzione del dovuto</w:t>
      </w:r>
      <w:r w:rsidR="004D29C3">
        <w:t>,</w:t>
      </w:r>
      <w:r>
        <w:t xml:space="preserve"> in ragione della</w:t>
      </w:r>
      <w:r>
        <w:t xml:space="preserve"> presunta esenzione di</w:t>
      </w:r>
      <w:r w:rsidR="004D29C3">
        <w:t>sciplinata d</w:t>
      </w:r>
      <w:r>
        <w:t xml:space="preserve">all'art. 1, comma 833, lett. d), L. 160/2019, secondo cui sono esenti dal canone </w:t>
      </w:r>
      <w:r w:rsidRPr="004D29C3">
        <w:rPr>
          <w:i/>
        </w:rPr>
        <w:t xml:space="preserve">"le occupazioni con impianti adibiti ai servizi pubblici nei casi in cui ne sia prevista, all'atto della concessione o successivamente, la </w:t>
      </w:r>
      <w:r w:rsidRPr="004D29C3">
        <w:rPr>
          <w:b/>
          <w:i/>
          <w:u w:val="single"/>
        </w:rPr>
        <w:t>devoluzio</w:t>
      </w:r>
      <w:r w:rsidRPr="004D29C3">
        <w:rPr>
          <w:b/>
          <w:i/>
          <w:u w:val="single"/>
        </w:rPr>
        <w:t>ne gratuita al Comune al termine della concessione medesima</w:t>
      </w:r>
      <w:r w:rsidRPr="004D29C3">
        <w:rPr>
          <w:i/>
        </w:rPr>
        <w:t>"</w:t>
      </w:r>
      <w:r>
        <w:t xml:space="preserve">. In particolare, la società sostiene che </w:t>
      </w:r>
      <w:r w:rsidR="004D29C3">
        <w:t xml:space="preserve">ben </w:t>
      </w:r>
      <w:r>
        <w:t xml:space="preserve">24.000 ml della rete complessiva </w:t>
      </w:r>
      <w:r w:rsidR="004D29C3">
        <w:t xml:space="preserve">su un totale di </w:t>
      </w:r>
      <w:r>
        <w:t>34.000 ml sarebbero soggetti a devoluzione gratuita</w:t>
      </w:r>
      <w:r w:rsidR="004D29C3">
        <w:t xml:space="preserve">, come previsto </w:t>
      </w:r>
      <w:r>
        <w:t>d</w:t>
      </w:r>
      <w:r w:rsidR="004D29C3">
        <w:t>a</w:t>
      </w:r>
      <w:r>
        <w:t>ll'atto aggiuntivo del 1983, sicché il cano</w:t>
      </w:r>
      <w:r>
        <w:t>ne sarebbe dovuto solo per la restante porzione (</w:t>
      </w:r>
      <w:r w:rsidR="004D29C3">
        <w:t xml:space="preserve">e cioè solo </w:t>
      </w:r>
      <w:r>
        <w:t>circa il 9% dell'intera rete)</w:t>
      </w:r>
      <w:r w:rsidR="004D29C3">
        <w:t xml:space="preserve">, pertanto, </w:t>
      </w:r>
      <w:r>
        <w:t xml:space="preserve">i versamenti già effettuati sarebbero </w:t>
      </w:r>
      <w:r w:rsidR="004D29C3">
        <w:t>congrui</w:t>
      </w:r>
      <w:r>
        <w:t>.</w:t>
      </w:r>
    </w:p>
    <w:p w14:paraId="64C20B07" w14:textId="77777777" w:rsidR="00035995" w:rsidRDefault="004E57D2">
      <w:pPr>
        <w:spacing w:line="360" w:lineRule="auto"/>
        <w:jc w:val="both"/>
      </w:pPr>
      <w:r>
        <w:tab/>
        <w:t>L'eccezione è palesemente infondata.</w:t>
      </w:r>
    </w:p>
    <w:p w14:paraId="160D0C83" w14:textId="7E93EAD4" w:rsidR="00035995" w:rsidRPr="004D29C3" w:rsidRDefault="004E57D2">
      <w:pPr>
        <w:spacing w:line="360" w:lineRule="auto"/>
        <w:jc w:val="both"/>
        <w:rPr>
          <w:u w:val="single"/>
        </w:rPr>
      </w:pPr>
      <w:r>
        <w:tab/>
      </w:r>
      <w:r w:rsidR="004D29C3">
        <w:t>Ed infatti, l</w:t>
      </w:r>
      <w:r>
        <w:t xml:space="preserve">'esenzione </w:t>
      </w:r>
      <w:r w:rsidR="004D29C3">
        <w:t xml:space="preserve">pretesa da ITGR </w:t>
      </w:r>
      <w:r>
        <w:t>trova applicazione al realizzarsi di una precisa e inderogabil</w:t>
      </w:r>
      <w:r>
        <w:t xml:space="preserve">e condizione: </w:t>
      </w:r>
      <w:r w:rsidRPr="004D29C3">
        <w:rPr>
          <w:u w:val="single"/>
        </w:rPr>
        <w:t xml:space="preserve">che, al termine della concessione del pubblico servizio di rete, l'infrastruttura - </w:t>
      </w:r>
      <w:r w:rsidRPr="004D29C3">
        <w:rPr>
          <w:b/>
          <w:bCs/>
          <w:u w:val="single"/>
        </w:rPr>
        <w:t>realizzata dalla concessionaria a proprie spese, con capitali privati</w:t>
      </w:r>
      <w:r w:rsidRPr="004D29C3">
        <w:rPr>
          <w:u w:val="single"/>
        </w:rPr>
        <w:t xml:space="preserve"> - entri </w:t>
      </w:r>
      <w:r w:rsidRPr="004D29C3">
        <w:rPr>
          <w:b/>
          <w:bCs/>
          <w:u w:val="single"/>
        </w:rPr>
        <w:t>gratuitamente</w:t>
      </w:r>
      <w:r w:rsidRPr="004D29C3">
        <w:rPr>
          <w:u w:val="single"/>
        </w:rPr>
        <w:t xml:space="preserve"> nel patrimonio dell'ente locale, determinando per quest'ultimo un vantaggio patrimoniale diretto.</w:t>
      </w:r>
    </w:p>
    <w:p w14:paraId="2C18D8BA" w14:textId="77777777" w:rsidR="00035995" w:rsidRDefault="004E57D2">
      <w:pPr>
        <w:spacing w:line="360" w:lineRule="auto"/>
        <w:jc w:val="both"/>
      </w:pPr>
      <w:r>
        <w:tab/>
        <w:t>Nel caso di specie, tale condizione non sussiste per le seguenti ragioni.</w:t>
      </w:r>
    </w:p>
    <w:p w14:paraId="503F21C0" w14:textId="77777777" w:rsidR="00035995" w:rsidRDefault="00035995">
      <w:pPr>
        <w:spacing w:line="360" w:lineRule="auto"/>
      </w:pPr>
    </w:p>
    <w:p w14:paraId="20FE95D9" w14:textId="77777777" w:rsidR="00035995" w:rsidRDefault="004E57D2">
      <w:pPr>
        <w:spacing w:line="360" w:lineRule="auto"/>
        <w:jc w:val="both"/>
      </w:pPr>
      <w:r>
        <w:rPr>
          <w:b/>
          <w:bCs/>
        </w:rPr>
        <w:t>1.a</w:t>
      </w:r>
      <w:r>
        <w:tab/>
      </w:r>
      <w:r>
        <w:rPr>
          <w:b/>
          <w:bCs/>
        </w:rPr>
        <w:t>La rete è stata realizzata in parte con finanziamenti pubblici: non si tratta</w:t>
      </w:r>
      <w:r>
        <w:rPr>
          <w:b/>
          <w:bCs/>
        </w:rPr>
        <w:t xml:space="preserve"> di "devoluzione gratuita" ma di restituzione.</w:t>
      </w:r>
    </w:p>
    <w:p w14:paraId="3A40C046" w14:textId="77777777" w:rsidR="00035995" w:rsidRDefault="004E57D2">
      <w:pPr>
        <w:spacing w:line="360" w:lineRule="auto"/>
        <w:jc w:val="both"/>
      </w:pPr>
      <w:r>
        <w:tab/>
        <w:t xml:space="preserve">Dall'esame del contratto di concessione del 21 dicembre 1981 (Rep. n. 5163 - cfr. </w:t>
      </w:r>
      <w:r>
        <w:rPr>
          <w:i/>
          <w:iCs/>
        </w:rPr>
        <w:t>doc. 6</w:t>
      </w:r>
      <w:r>
        <w:t xml:space="preserve">) e dell'atto aggiuntivo del 6 novembre 1983 (Rep. n. 5937 - cfr. </w:t>
      </w:r>
      <w:r>
        <w:rPr>
          <w:i/>
          <w:iCs/>
        </w:rPr>
        <w:t>doc. 7</w:t>
      </w:r>
      <w:r>
        <w:t xml:space="preserve">) emerge inequivocabilmente che la </w:t>
      </w:r>
      <w:r w:rsidRPr="004D29C3">
        <w:rPr>
          <w:b/>
          <w:u w:val="single"/>
        </w:rPr>
        <w:t>rete di distr</w:t>
      </w:r>
      <w:r w:rsidRPr="004D29C3">
        <w:rPr>
          <w:b/>
          <w:u w:val="single"/>
        </w:rPr>
        <w:t>ibuzione del gas nel territorio comunale di Sessa Aurunca è stata realizzata anche mediante finanziamenti pubblici</w:t>
      </w:r>
      <w:r>
        <w:t>, segnatamente nell'ambito del programma generale di metanizzazione del Mezzogiorno previsto dalla Legge 28 novembre 1980, n. 784 e dalle rela</w:t>
      </w:r>
      <w:r>
        <w:t>tive delibere CIPE.</w:t>
      </w:r>
    </w:p>
    <w:p w14:paraId="33072FC4" w14:textId="77777777" w:rsidR="00035995" w:rsidRDefault="004E57D2">
      <w:pPr>
        <w:spacing w:line="360" w:lineRule="auto"/>
        <w:jc w:val="both"/>
      </w:pPr>
      <w:r>
        <w:tab/>
        <w:t>Lo stesso atto aggiuntivo del 1983, all'art. II, prevede espressamente che "</w:t>
      </w:r>
      <w:r>
        <w:rPr>
          <w:i/>
          <w:iCs/>
        </w:rPr>
        <w:t>Tutti gli impianti realizzati nel quadro e alle condizioni di fattibilità tecnico-economiche, previste dall'art. 11 della Legge 28 novembre 1980, n. 784 e dall</w:t>
      </w:r>
      <w:r>
        <w:rPr>
          <w:i/>
          <w:iCs/>
        </w:rPr>
        <w:t xml:space="preserve">e </w:t>
      </w:r>
      <w:r>
        <w:rPr>
          <w:i/>
          <w:iCs/>
        </w:rPr>
        <w:lastRenderedPageBreak/>
        <w:t>conseguenti delibere e provvedimenti governativi per la metanizzazione del Mezzogiorno saranno elencati in un apposito registro..., in cui risulteranno suddivise le parti costruite a carico della Società da quelle costruite mediante gli importi di cui la</w:t>
      </w:r>
      <w:r>
        <w:rPr>
          <w:i/>
          <w:iCs/>
        </w:rPr>
        <w:t xml:space="preserve"> Società si è potuta realmente avvalere e derivanti da contributi in conto capitale o da effetti di mutui agevolati ottenuti dalla Società stessa dal Comune od ottenuti in base a Leggi dello Stato o di altri Enti Pubblici Nazionali od Extranazionali</w:t>
      </w:r>
      <w:r>
        <w:t>".</w:t>
      </w:r>
    </w:p>
    <w:p w14:paraId="2D127518" w14:textId="0F6025FD" w:rsidR="00035995" w:rsidRDefault="004E57D2">
      <w:pPr>
        <w:spacing w:line="360" w:lineRule="auto"/>
        <w:jc w:val="both"/>
      </w:pPr>
      <w:r>
        <w:tab/>
        <w:t xml:space="preserve">La </w:t>
      </w:r>
      <w:r>
        <w:t xml:space="preserve">stessa convenzione originaria del 1981 (art. 3 - Condizioni alla scadenza) prevede esplicitamente che alla scadenza della concessione o in caso di riscatto </w:t>
      </w:r>
      <w:r w:rsidRPr="004D29C3">
        <w:rPr>
          <w:u w:val="single"/>
        </w:rPr>
        <w:t>il Comune "</w:t>
      </w:r>
      <w:r w:rsidRPr="004D29C3">
        <w:rPr>
          <w:b/>
          <w:i/>
          <w:iCs/>
          <w:u w:val="single"/>
        </w:rPr>
        <w:t xml:space="preserve">entrerà gratuitamente in possesso degli impianti ancora esistenti che dal registro sopra </w:t>
      </w:r>
      <w:r w:rsidRPr="004D29C3">
        <w:rPr>
          <w:b/>
          <w:i/>
          <w:iCs/>
          <w:u w:val="single"/>
        </w:rPr>
        <w:t>citato risultino costruiti con gli importi derivanti dai contributi e dalle agevolazioni di cui al secondo comma</w:t>
      </w:r>
      <w:r w:rsidRPr="004D29C3">
        <w:rPr>
          <w:b/>
        </w:rPr>
        <w:t>"</w:t>
      </w:r>
      <w:r>
        <w:t xml:space="preserve">, </w:t>
      </w:r>
      <w:r w:rsidRPr="004D29C3">
        <w:rPr>
          <w:b/>
          <w:u w:val="single"/>
        </w:rPr>
        <w:t>mentre i rimanenti beni</w:t>
      </w:r>
      <w:r w:rsidR="004D29C3" w:rsidRPr="004D29C3">
        <w:rPr>
          <w:b/>
          <w:u w:val="single"/>
        </w:rPr>
        <w:t xml:space="preserve">  (e cioè quelli realizzati a spese della ITGR)</w:t>
      </w:r>
      <w:r w:rsidRPr="004D29C3">
        <w:rPr>
          <w:b/>
          <w:u w:val="single"/>
        </w:rPr>
        <w:t xml:space="preserve"> </w:t>
      </w:r>
      <w:r w:rsidRPr="004D29C3">
        <w:rPr>
          <w:b/>
          <w:i/>
          <w:u w:val="single"/>
        </w:rPr>
        <w:t>"passeranno al Comune, a fronte di un corrispettivo determinato secondo il criterio di stima industriale".</w:t>
      </w:r>
    </w:p>
    <w:p w14:paraId="2A162C91" w14:textId="77777777" w:rsidR="004D29C3" w:rsidRDefault="004E57D2">
      <w:pPr>
        <w:spacing w:line="360" w:lineRule="auto"/>
        <w:jc w:val="both"/>
      </w:pPr>
      <w:r>
        <w:tab/>
        <w:t xml:space="preserve">È dunque </w:t>
      </w:r>
      <w:r>
        <w:t xml:space="preserve">evidente che </w:t>
      </w:r>
      <w:r w:rsidRPr="004D29C3">
        <w:rPr>
          <w:b/>
          <w:u w:val="single"/>
        </w:rPr>
        <w:t>la cessione al Comune alla scadenza non è una "devoluzione gratuita"</w:t>
      </w:r>
      <w:r>
        <w:t xml:space="preserve"> di una rete realizzata con capitali privati, bensì - per la quota coperta da finanziamenti pubblici - una mera </w:t>
      </w:r>
      <w:r>
        <w:rPr>
          <w:b/>
          <w:bCs/>
        </w:rPr>
        <w:t>restituzione</w:t>
      </w:r>
      <w:r>
        <w:t xml:space="preserve"> di quanto già realizzato con risorse della collett</w:t>
      </w:r>
      <w:r>
        <w:t xml:space="preserve">ività; e per la restante quota, una cessione </w:t>
      </w:r>
      <w:r>
        <w:rPr>
          <w:b/>
          <w:bCs/>
        </w:rPr>
        <w:t>a titolo oneroso</w:t>
      </w:r>
      <w:r>
        <w:t xml:space="preserve"> (sulla base della stima industriale). </w:t>
      </w:r>
    </w:p>
    <w:p w14:paraId="2B20DD96" w14:textId="31B06563" w:rsidR="00035995" w:rsidRDefault="004D29C3" w:rsidP="004D29C3">
      <w:pPr>
        <w:spacing w:line="360" w:lineRule="auto"/>
        <w:ind w:firstLine="708"/>
        <w:jc w:val="both"/>
        <w:rPr>
          <w:u w:val="single"/>
        </w:rPr>
      </w:pPr>
      <w:r>
        <w:t>Nel caso di specie, non ricorono dunque i presupposti per l’esenzione pretesa da controparte: l</w:t>
      </w:r>
      <w:r w:rsidR="004E57D2">
        <w:t>a locuzione "</w:t>
      </w:r>
      <w:r w:rsidR="004E57D2">
        <w:rPr>
          <w:i/>
          <w:iCs/>
        </w:rPr>
        <w:t>devoluzione gratuita</w:t>
      </w:r>
      <w:r w:rsidR="004E57D2">
        <w:t xml:space="preserve">" di cui al comma 833, lett. d), </w:t>
      </w:r>
      <w:r w:rsidR="004E57D2">
        <w:t xml:space="preserve">è </w:t>
      </w:r>
      <w:r>
        <w:t xml:space="preserve">estranea </w:t>
      </w:r>
      <w:r w:rsidR="004E57D2">
        <w:t>ai concetti di restituzione o di cessione onerosa</w:t>
      </w:r>
      <w:r>
        <w:t xml:space="preserve">, </w:t>
      </w:r>
      <w:r w:rsidR="004E57D2" w:rsidRPr="004D29C3">
        <w:rPr>
          <w:b/>
          <w:u w:val="single"/>
        </w:rPr>
        <w:t>devolvere gratuit</w:t>
      </w:r>
      <w:r w:rsidR="004E57D2" w:rsidRPr="004D29C3">
        <w:rPr>
          <w:b/>
          <w:u w:val="single"/>
        </w:rPr>
        <w:t>amente</w:t>
      </w:r>
      <w:r w:rsidR="004E57D2" w:rsidRPr="004D29C3">
        <w:rPr>
          <w:u w:val="single"/>
        </w:rPr>
        <w:t xml:space="preserve"> implica il trasferimento della proprietà di un </w:t>
      </w:r>
      <w:r w:rsidR="004E57D2" w:rsidRPr="005B79A9">
        <w:rPr>
          <w:b/>
          <w:u w:val="single"/>
        </w:rPr>
        <w:t>bene</w:t>
      </w:r>
      <w:r w:rsidR="005B79A9">
        <w:rPr>
          <w:b/>
          <w:bCs/>
          <w:u w:val="single"/>
        </w:rPr>
        <w:t xml:space="preserve"> realizzato</w:t>
      </w:r>
      <w:r w:rsidR="004E57D2" w:rsidRPr="005B79A9">
        <w:rPr>
          <w:b/>
          <w:bCs/>
          <w:u w:val="single"/>
        </w:rPr>
        <w:t xml:space="preserve"> </w:t>
      </w:r>
      <w:r w:rsidR="004E57D2" w:rsidRPr="004D29C3">
        <w:rPr>
          <w:b/>
          <w:bCs/>
          <w:u w:val="single"/>
        </w:rPr>
        <w:t>a spese del concessionario</w:t>
      </w:r>
      <w:r w:rsidR="004E57D2" w:rsidRPr="004D29C3">
        <w:rPr>
          <w:u w:val="single"/>
        </w:rPr>
        <w:t xml:space="preserve"> senza corrispettivo; </w:t>
      </w:r>
      <w:r w:rsidR="005B79A9">
        <w:rPr>
          <w:u w:val="single"/>
        </w:rPr>
        <w:t xml:space="preserve">nel caso in esame ci </w:t>
      </w:r>
      <w:proofErr w:type="spellStart"/>
      <w:r w:rsidR="005B79A9">
        <w:rPr>
          <w:u w:val="single"/>
        </w:rPr>
        <w:t>trviamo</w:t>
      </w:r>
      <w:proofErr w:type="spellEnd"/>
      <w:r w:rsidR="005B79A9">
        <w:rPr>
          <w:u w:val="single"/>
        </w:rPr>
        <w:t xml:space="preserve"> in presenza di una </w:t>
      </w:r>
      <w:r w:rsidR="004E57D2" w:rsidRPr="005B79A9">
        <w:rPr>
          <w:b/>
          <w:u w:val="single"/>
        </w:rPr>
        <w:t>restitu</w:t>
      </w:r>
      <w:r w:rsidR="005B79A9">
        <w:rPr>
          <w:b/>
          <w:u w:val="single"/>
        </w:rPr>
        <w:t>zione</w:t>
      </w:r>
      <w:r w:rsidR="005B79A9">
        <w:rPr>
          <w:u w:val="single"/>
        </w:rPr>
        <w:t xml:space="preserve">, cioè la </w:t>
      </w:r>
      <w:r w:rsidR="004E57D2" w:rsidRPr="004D29C3">
        <w:rPr>
          <w:u w:val="single"/>
        </w:rPr>
        <w:t>riconsegna</w:t>
      </w:r>
      <w:r w:rsidR="005B79A9">
        <w:rPr>
          <w:u w:val="single"/>
        </w:rPr>
        <w:t xml:space="preserve"> di</w:t>
      </w:r>
      <w:r w:rsidR="004E57D2" w:rsidRPr="004D29C3">
        <w:rPr>
          <w:u w:val="single"/>
        </w:rPr>
        <w:t xml:space="preserve"> un bene già appartenente (o realizzato con risorse) del soggetto ricevente</w:t>
      </w:r>
      <w:r w:rsidR="005B79A9">
        <w:rPr>
          <w:u w:val="single"/>
        </w:rPr>
        <w:t xml:space="preserve"> la restituzione (con ciò intendendo anche i capitali pubblici utilizzati per la realizzazione della rete</w:t>
      </w:r>
      <w:r w:rsidR="004E57D2" w:rsidRPr="004D29C3">
        <w:rPr>
          <w:u w:val="single"/>
        </w:rPr>
        <w:t>.</w:t>
      </w:r>
    </w:p>
    <w:p w14:paraId="572E67C5" w14:textId="7FE9B87D" w:rsidR="005B79A9" w:rsidRPr="005B79A9" w:rsidRDefault="005B79A9" w:rsidP="004D29C3">
      <w:pPr>
        <w:spacing w:line="360" w:lineRule="auto"/>
        <w:ind w:firstLine="708"/>
        <w:jc w:val="both"/>
        <w:rPr>
          <w:b/>
          <w:u w:val="single"/>
        </w:rPr>
      </w:pPr>
      <w:r w:rsidRPr="005B79A9">
        <w:rPr>
          <w:b/>
          <w:u w:val="single"/>
        </w:rPr>
        <w:t xml:space="preserve">A riprova di quanto rilevato vi è anche la circostanza che per la parte di struttura realizzata con capitali della ITGR è prevista la cessione a titolo oneroso. </w:t>
      </w:r>
    </w:p>
    <w:p w14:paraId="2536239F" w14:textId="77777777" w:rsidR="00035995" w:rsidRDefault="00035995">
      <w:pPr>
        <w:spacing w:line="360" w:lineRule="auto"/>
      </w:pPr>
    </w:p>
    <w:p w14:paraId="29016128" w14:textId="77777777" w:rsidR="00035995" w:rsidRDefault="004E57D2">
      <w:pPr>
        <w:spacing w:line="360" w:lineRule="auto"/>
        <w:jc w:val="both"/>
      </w:pPr>
      <w:r>
        <w:rPr>
          <w:b/>
          <w:bCs/>
        </w:rPr>
        <w:t>1.b</w:t>
      </w:r>
      <w:r>
        <w:tab/>
      </w:r>
      <w:r>
        <w:rPr>
          <w:b/>
          <w:bCs/>
        </w:rPr>
        <w:t>Le norme di esenzion</w:t>
      </w:r>
      <w:r>
        <w:rPr>
          <w:b/>
          <w:bCs/>
        </w:rPr>
        <w:t>e tributaria sono di stretta interpretazione: l'esenzione non può operare in assenza dei suoi presupposti.</w:t>
      </w:r>
    </w:p>
    <w:p w14:paraId="4F7134D1" w14:textId="22F6BFC3" w:rsidR="00035995" w:rsidRDefault="004E57D2">
      <w:pPr>
        <w:spacing w:line="360" w:lineRule="auto"/>
        <w:jc w:val="both"/>
      </w:pPr>
      <w:r>
        <w:lastRenderedPageBreak/>
        <w:tab/>
        <w:t>S</w:t>
      </w:r>
      <w:r w:rsidR="00E31F7D">
        <w:t>ul punto, si</w:t>
      </w:r>
      <w:r>
        <w:t xml:space="preserve"> deve richiamare il costante </w:t>
      </w:r>
      <w:r w:rsidR="00E31F7D">
        <w:t xml:space="preserve">insegnamento </w:t>
      </w:r>
      <w:r>
        <w:t xml:space="preserve">della </w:t>
      </w:r>
      <w:r w:rsidR="00E31F7D">
        <w:t xml:space="preserve">Suprema </w:t>
      </w:r>
      <w:r>
        <w:t>Corte di Cassazione</w:t>
      </w:r>
      <w:r>
        <w:t xml:space="preserve"> secondo cui le norme fisca</w:t>
      </w:r>
      <w:r>
        <w:t xml:space="preserve">li di esenzione devono sempre essere interpretate in senso strettamente letterale, senza possibilità di applicazione analogica o estensiva (tra le tante: </w:t>
      </w:r>
      <w:r>
        <w:rPr>
          <w:b/>
          <w:bCs/>
        </w:rPr>
        <w:t>Cass. n. 25982/2022; Cass. n. 28055/2021; Cass. n. 17976/2021; Cass. n. 5638/2020; Cass. n. 31333/2019</w:t>
      </w:r>
      <w:r>
        <w:t>).</w:t>
      </w:r>
    </w:p>
    <w:p w14:paraId="2A7CA7A3" w14:textId="77777777" w:rsidR="00E31F7D" w:rsidRDefault="004E57D2">
      <w:pPr>
        <w:spacing w:line="360" w:lineRule="auto"/>
        <w:jc w:val="both"/>
      </w:pPr>
      <w:r>
        <w:tab/>
        <w:t>Il presupposto dell'esenzione di cui alla lett. d) del comma 833 è chiaro e letteralmente inequivoco: occorre che</w:t>
      </w:r>
      <w:r w:rsidR="00E31F7D">
        <w:t>, al termine della concessione,</w:t>
      </w:r>
      <w:r>
        <w:t xml:space="preserve"> </w:t>
      </w:r>
      <w:r>
        <w:rPr>
          <w:b/>
          <w:bCs/>
        </w:rPr>
        <w:t xml:space="preserve">sia prevista la devoluzione gratuita al Comune di tutti gli impianti </w:t>
      </w:r>
      <w:r w:rsidR="00E31F7D">
        <w:rPr>
          <w:b/>
          <w:bCs/>
        </w:rPr>
        <w:t>realizzato a spese del concessionario</w:t>
      </w:r>
      <w:r>
        <w:t>.</w:t>
      </w:r>
    </w:p>
    <w:p w14:paraId="494AB373" w14:textId="4817B215" w:rsidR="00035995" w:rsidRDefault="004E57D2" w:rsidP="00E31F7D">
      <w:pPr>
        <w:spacing w:line="360" w:lineRule="auto"/>
        <w:ind w:firstLine="708"/>
        <w:jc w:val="both"/>
      </w:pPr>
      <w:r>
        <w:t>Tale condizione non ricorre nel caso in esame, in quanto: (a) la restituzione gratuita è prevista solo per la quota di impianti realizzata con finanziamenti pubblici; (b) la quota realizzata a spese della Società è destinata al Comune solo a titolo o</w:t>
      </w:r>
      <w:r>
        <w:t>neroso</w:t>
      </w:r>
      <w:r>
        <w:t>.</w:t>
      </w:r>
    </w:p>
    <w:p w14:paraId="1131582E" w14:textId="77777777" w:rsidR="00E31F7D" w:rsidRDefault="004E57D2">
      <w:pPr>
        <w:spacing w:line="360" w:lineRule="auto"/>
        <w:jc w:val="both"/>
      </w:pPr>
      <w:r>
        <w:tab/>
      </w:r>
      <w:r>
        <w:t xml:space="preserve">A tal proposito, giova richiamare la </w:t>
      </w:r>
      <w:r>
        <w:rPr>
          <w:b/>
          <w:bCs/>
        </w:rPr>
        <w:t>sentenza n. 526/2024 resa dai giudici della XIII sezione della Corte Tributaria Reg</w:t>
      </w:r>
      <w:r>
        <w:rPr>
          <w:b/>
          <w:bCs/>
        </w:rPr>
        <w:t>ionale dell'Emilia Romagna</w:t>
      </w:r>
      <w:r>
        <w:t xml:space="preserve"> (cfr. doc. 8), sulla controversia afferente a un diverso servizio pubblico a rete nella quale la società che lo gestiva invocava proprio l'esenzione prevista per la devoluzione gratuita della rete. </w:t>
      </w:r>
    </w:p>
    <w:p w14:paraId="23A5AE94" w14:textId="1AC4F680" w:rsidR="00035995" w:rsidRDefault="004E57D2" w:rsidP="00E31F7D">
      <w:pPr>
        <w:spacing w:line="360" w:lineRule="auto"/>
        <w:ind w:firstLine="708"/>
        <w:jc w:val="both"/>
      </w:pPr>
      <w:r>
        <w:t xml:space="preserve">Ebbene, il giudice </w:t>
      </w:r>
      <w:r w:rsidR="00E31F7D">
        <w:t xml:space="preserve">in sentenza </w:t>
      </w:r>
      <w:r>
        <w:t>evidenzia co</w:t>
      </w:r>
      <w:r>
        <w:t>me l'ipotesi di esenzione debba essere di stretta interpretazione senza ipotesi fantasiose per garantirsi una riduzione illegittima. Ed infatti, si legge: "</w:t>
      </w:r>
      <w:r>
        <w:rPr>
          <w:i/>
          <w:iCs/>
        </w:rPr>
        <w:t>Il punto è che, nella convenzione di cui si è detto (in particolare articolo 34 e 35, convenzione co</w:t>
      </w:r>
      <w:r>
        <w:rPr>
          <w:i/>
          <w:iCs/>
        </w:rPr>
        <w:t>me a documento 1 di parte ricorrente in primo grado) non è prevista alcuna devoluzione gratuita al Comune. La devoluzione gratuita non è prevista. Anche in questo caso, la devoluzione gratuita va intesa in senso letterale: gratuito vuol dire gratuito; al c</w:t>
      </w:r>
      <w:r>
        <w:rPr>
          <w:i/>
          <w:iCs/>
        </w:rPr>
        <w:t>omune vuol dire al comune, non ad altri soggetti. Il tutto, appunto, per la natura tassativa delle ipotesi di esenzione.</w:t>
      </w:r>
      <w:r>
        <w:t>"</w:t>
      </w:r>
    </w:p>
    <w:p w14:paraId="46E9BDB8" w14:textId="7218F4D8" w:rsidR="00035995" w:rsidRDefault="004E57D2">
      <w:pPr>
        <w:spacing w:line="360" w:lineRule="auto"/>
        <w:jc w:val="both"/>
      </w:pPr>
      <w:r>
        <w:tab/>
        <w:t xml:space="preserve">Nello stesso senso si e pronunciato il </w:t>
      </w:r>
      <w:r>
        <w:rPr>
          <w:b/>
          <w:bCs/>
        </w:rPr>
        <w:t>Tribunale Ordinario di Sassari con sentenza n. 193/2024</w:t>
      </w:r>
      <w:r>
        <w:t xml:space="preserve"> (cfr. doc. </w:t>
      </w:r>
      <w:r w:rsidR="00E31F7D">
        <w:t>9</w:t>
      </w:r>
      <w:r>
        <w:t xml:space="preserve">), in controversia avente </w:t>
      </w:r>
      <w:r>
        <w:t>ad oggetto il CUP dovuto da un gestore del servizio di distribuzione del gas, nel quale i giudici hanno respinto l'opposizione del concessionario rilevando come "</w:t>
      </w:r>
      <w:r>
        <w:rPr>
          <w:i/>
          <w:iCs/>
        </w:rPr>
        <w:t>emerge dalle condizioni che regolano la concessione che le parti non hanno convenuto la retroc</w:t>
      </w:r>
      <w:r>
        <w:rPr>
          <w:i/>
          <w:iCs/>
        </w:rPr>
        <w:t xml:space="preserve">essione gratuita al comune di tutti gli impianti adibiti al pubblico servizio ma esclusivamente la porzione di impianto coperti da finanziamento pubblico per la loro costituzione </w:t>
      </w:r>
      <w:r>
        <w:rPr>
          <w:i/>
          <w:iCs/>
        </w:rPr>
        <w:lastRenderedPageBreak/>
        <w:t>prevedendo a riguardo sia la valutazione effettiva degli stessi come risultan</w:t>
      </w:r>
      <w:r>
        <w:rPr>
          <w:i/>
          <w:iCs/>
        </w:rPr>
        <w:t>ti dal registro indicato in contratto sia la determinazione del valore degli impianti finanziati direttamente applicando i valori di stima industriale</w:t>
      </w:r>
      <w:r>
        <w:t>". I giudici sardi proseguono specificando che: "</w:t>
      </w:r>
      <w:r>
        <w:rPr>
          <w:i/>
          <w:iCs/>
        </w:rPr>
        <w:t>La riportata convenzione comporta quindi che non sia stat</w:t>
      </w:r>
      <w:r>
        <w:rPr>
          <w:i/>
          <w:iCs/>
        </w:rPr>
        <w:t>a prevista la retrocessione automatica degli impianti dal concessionario del pubblico servizio al Comune ma che la stessa avvenga a seguito di accertamento delle opere effettuate con finanziamenti pubblici scisse dalle opere eseguite con altro finanziament</w:t>
      </w:r>
      <w:r>
        <w:rPr>
          <w:i/>
          <w:iCs/>
        </w:rPr>
        <w:t>o che si può definire privato</w:t>
      </w:r>
      <w:r>
        <w:t>". Il Tribunale sardo, nel respingere il ricorso, conclude: "</w:t>
      </w:r>
      <w:r>
        <w:rPr>
          <w:i/>
          <w:iCs/>
        </w:rPr>
        <w:t>Viene in tal modo meno il presupposto semplice e chiaro previsto dall'art. 1 comma 833 L.160/2019 della retrocessione a favore del Comune degli impianti, retrocession</w:t>
      </w:r>
      <w:r>
        <w:rPr>
          <w:i/>
          <w:iCs/>
        </w:rPr>
        <w:t>e che deve comprendere tutti gli impianti e non soltanto parti degli stessi in quanto non esplicitamente indicati</w:t>
      </w:r>
      <w:r>
        <w:t>". Ribadisce, infine, che "</w:t>
      </w:r>
      <w:r>
        <w:rPr>
          <w:i/>
          <w:iCs/>
        </w:rPr>
        <w:t>l'esenzione fiscale alla quale deve essere assimilato il Canone Unico Patrimoniale è di stretta interpretazione nell</w:t>
      </w:r>
      <w:r>
        <w:rPr>
          <w:i/>
          <w:iCs/>
        </w:rPr>
        <w:t>a sussistenza dei presupposti e non consente in alcun modo né l'interpretazione analogica né la interpretazione estensiva come quella che si avrebbe con riferimento alle opere parzialmente eseguite con finanziamenti pubblici (Cass.25982/2022; Cass.28055/20</w:t>
      </w:r>
      <w:r>
        <w:rPr>
          <w:i/>
          <w:iCs/>
        </w:rPr>
        <w:t>21; Cass.17976/2021; Cass.5638/2020; Cass. 31333/2019)</w:t>
      </w:r>
      <w:r>
        <w:t>".</w:t>
      </w:r>
    </w:p>
    <w:p w14:paraId="186BAB5C" w14:textId="77777777" w:rsidR="00E31F7D" w:rsidRDefault="004E57D2">
      <w:pPr>
        <w:spacing w:line="360" w:lineRule="auto"/>
        <w:jc w:val="both"/>
      </w:pPr>
      <w:r>
        <w:tab/>
        <w:t xml:space="preserve">Le medesime considerazioni valgono a </w:t>
      </w:r>
      <w:r w:rsidR="00E31F7D">
        <w:t>maggior ragione</w:t>
      </w:r>
      <w:r>
        <w:t xml:space="preserve"> nel caso del Comune di Sessa Aurunca, ove il contratto di concessione del 1981 e l'atto aggiuntivo del 1983 dimostrano chiaramente che la "devoluzione g</w:t>
      </w:r>
      <w:r>
        <w:t xml:space="preserve">ratuita" non e mai stata prevista in termini generali e assoluti, </w:t>
      </w:r>
      <w:r w:rsidRPr="00E31F7D">
        <w:rPr>
          <w:u w:val="single"/>
        </w:rPr>
        <w:t>ma solo per la quota coperta da contributi pubblici</w:t>
      </w:r>
      <w:r>
        <w:t xml:space="preserve">, mentre per la restante quota è previsto un corrispettivo. </w:t>
      </w:r>
    </w:p>
    <w:p w14:paraId="38ECD7C2" w14:textId="39631F8E" w:rsidR="00035995" w:rsidRDefault="004E57D2" w:rsidP="00E31F7D">
      <w:pPr>
        <w:spacing w:line="360" w:lineRule="auto"/>
        <w:ind w:firstLine="708"/>
        <w:jc w:val="both"/>
      </w:pPr>
      <w:r>
        <w:t xml:space="preserve">Contrariamente a quanto sostenuto da ITGR, </w:t>
      </w:r>
      <w:r>
        <w:t>la giurisprudenza invocata d</w:t>
      </w:r>
      <w:r>
        <w:t xml:space="preserve">alla stessa (Corte d'Appello di Torino, </w:t>
      </w:r>
      <w:proofErr w:type="spellStart"/>
      <w:r>
        <w:t>sent</w:t>
      </w:r>
      <w:proofErr w:type="spellEnd"/>
      <w:r>
        <w:t xml:space="preserve">. n. 230/2023 e Tribunale Ordinario di Venezia, </w:t>
      </w:r>
      <w:proofErr w:type="spellStart"/>
      <w:r>
        <w:t>sent</w:t>
      </w:r>
      <w:proofErr w:type="spellEnd"/>
      <w:r>
        <w:t xml:space="preserve">. n. 5748/2025) non sorregge le </w:t>
      </w:r>
      <w:r>
        <w:t>tesi</w:t>
      </w:r>
      <w:r w:rsidR="00E31F7D">
        <w:t xml:space="preserve"> dell’opponente</w:t>
      </w:r>
      <w:r>
        <w:t>: anche in quei casi il riconoscimento dell'esenzione era legato a una netta distinzione tra impianti a devoluzione grat</w:t>
      </w:r>
      <w:r>
        <w:t xml:space="preserve">uita </w:t>
      </w:r>
      <w:r w:rsidR="000F51E1">
        <w:t xml:space="preserve">realizzati ad effettive spese del Concessionario </w:t>
      </w:r>
      <w:r>
        <w:t>e impianti a devoluzione onerosa</w:t>
      </w:r>
      <w:r w:rsidR="000F51E1">
        <w:t>.</w:t>
      </w:r>
    </w:p>
    <w:p w14:paraId="64AC8071" w14:textId="77777777" w:rsidR="000F51E1" w:rsidRDefault="000F51E1">
      <w:pPr>
        <w:spacing w:line="360" w:lineRule="auto"/>
        <w:jc w:val="both"/>
        <w:rPr>
          <w:b/>
          <w:bCs/>
        </w:rPr>
      </w:pPr>
    </w:p>
    <w:p w14:paraId="25737DF9" w14:textId="2ABE616E" w:rsidR="00035995" w:rsidRDefault="004E57D2">
      <w:pPr>
        <w:spacing w:line="360" w:lineRule="auto"/>
        <w:jc w:val="both"/>
      </w:pPr>
      <w:r>
        <w:rPr>
          <w:b/>
          <w:bCs/>
        </w:rPr>
        <w:t>2.</w:t>
      </w:r>
      <w:r>
        <w:tab/>
      </w:r>
      <w:r>
        <w:rPr>
          <w:b/>
          <w:bCs/>
        </w:rPr>
        <w:t>Sul preteso difetto di istruttoria e sul metodo di calcolo unilateralmente adottato da ITGR: radicale erroneità e ass</w:t>
      </w:r>
      <w:r>
        <w:rPr>
          <w:b/>
          <w:bCs/>
        </w:rPr>
        <w:t>enza di trasparenza.</w:t>
      </w:r>
    </w:p>
    <w:p w14:paraId="5AB48BCD" w14:textId="77777777" w:rsidR="00035995" w:rsidRDefault="00035995">
      <w:pPr>
        <w:spacing w:line="360" w:lineRule="auto"/>
      </w:pPr>
    </w:p>
    <w:p w14:paraId="5C9C27CE" w14:textId="4A52F90D" w:rsidR="00035995" w:rsidRDefault="004E57D2" w:rsidP="000F51E1">
      <w:pPr>
        <w:spacing w:line="360" w:lineRule="auto"/>
        <w:jc w:val="both"/>
      </w:pPr>
      <w:r>
        <w:lastRenderedPageBreak/>
        <w:tab/>
        <w:t>Del tutto singolare risulta</w:t>
      </w:r>
      <w:r w:rsidR="000F51E1">
        <w:t>, inoltre,</w:t>
      </w:r>
      <w:r>
        <w:t xml:space="preserve"> il criterio adottato dalla controparte per il calcolo del CUP, illustrato solo in sede di ricorso: esso è </w:t>
      </w:r>
      <w:r>
        <w:rPr>
          <w:b/>
          <w:bCs/>
        </w:rPr>
        <w:t>radicalmente errato e privo di fondamento normativo</w:t>
      </w:r>
      <w:r w:rsidR="000F51E1">
        <w:t>.</w:t>
      </w:r>
    </w:p>
    <w:p w14:paraId="3D6A8994" w14:textId="77777777" w:rsidR="000F51E1" w:rsidRDefault="000F51E1">
      <w:pPr>
        <w:spacing w:line="360" w:lineRule="auto"/>
        <w:jc w:val="both"/>
      </w:pPr>
      <w:r>
        <w:tab/>
      </w:r>
      <w:r w:rsidR="004E57D2">
        <w:t>Ed infa</w:t>
      </w:r>
      <w:r w:rsidR="004E57D2">
        <w:t xml:space="preserve">tti, </w:t>
      </w:r>
      <w:r w:rsidR="004E57D2">
        <w:rPr>
          <w:b/>
          <w:bCs/>
        </w:rPr>
        <w:t>la normativa non prevede che il CUP possa essere calcolato mediante una proiezione percentuale astratta</w:t>
      </w:r>
      <w:r w:rsidR="004E57D2">
        <w:t>; al contrario, esso deve essere determinato, per l'occupazione del suolo pubblico, sulla base del numero reale di utenze o servizi attivi sul terri</w:t>
      </w:r>
      <w:r w:rsidR="004E57D2">
        <w:t xml:space="preserve">torio comunale, come chiaramente disposto dal comma 831 dell'art. 1 della L. 160/2019. </w:t>
      </w:r>
    </w:p>
    <w:p w14:paraId="04152A55" w14:textId="2929A34D" w:rsidR="00035995" w:rsidRDefault="004E57D2" w:rsidP="000F51E1">
      <w:pPr>
        <w:spacing w:line="360" w:lineRule="auto"/>
        <w:ind w:firstLine="708"/>
        <w:jc w:val="both"/>
      </w:pPr>
      <w:r>
        <w:t>Il canone è determinato sulla base del numero di utenze attive al 31 dicembre dell'anno precedente moltiplicato per la tariffa forfetaria di legge, e il soggetto passivo</w:t>
      </w:r>
      <w:r>
        <w:t xml:space="preserve"> è tenuto a dichiarare il numero complessivo di utenze servite nel Comune, comprensivo di tutte le utenze delle diverse società esercenti l'attività di vendita al cliente finale (cfr. art. 1, comma 4, L. 17 dicembre 2021, n. 215, di conversione del D.L. 21</w:t>
      </w:r>
      <w:r>
        <w:t xml:space="preserve"> ottobre 2021, n. 146).</w:t>
      </w:r>
    </w:p>
    <w:p w14:paraId="758F3EF6" w14:textId="77777777" w:rsidR="000F51E1" w:rsidRDefault="004E57D2">
      <w:pPr>
        <w:spacing w:line="360" w:lineRule="auto"/>
        <w:jc w:val="both"/>
      </w:pPr>
      <w:r>
        <w:tab/>
      </w:r>
      <w:r w:rsidR="000F51E1">
        <w:t xml:space="preserve">Anche </w:t>
      </w:r>
      <w:r>
        <w:t xml:space="preserve">la seconda eccezione di ITGR </w:t>
      </w:r>
      <w:r w:rsidR="000F51E1">
        <w:t>sul</w:t>
      </w:r>
      <w:r>
        <w:t xml:space="preserve">la presunta inattendibilità dei dati di "Punto Fisco" </w:t>
      </w:r>
      <w:r>
        <w:t xml:space="preserve">è del pari infondata. </w:t>
      </w:r>
    </w:p>
    <w:p w14:paraId="6F447367" w14:textId="77777777" w:rsidR="00686663" w:rsidRDefault="004E57D2" w:rsidP="000F51E1">
      <w:pPr>
        <w:spacing w:line="360" w:lineRule="auto"/>
        <w:ind w:firstLine="708"/>
        <w:jc w:val="both"/>
      </w:pPr>
      <w:r>
        <w:t xml:space="preserve">La Società ha dichiarato in modo </w:t>
      </w:r>
      <w:r w:rsidR="00686663">
        <w:t xml:space="preserve">non chiaro </w:t>
      </w:r>
      <w:r>
        <w:t>le utenze, limitandosi a una nota ciclostilata</w:t>
      </w:r>
      <w:r w:rsidR="00686663">
        <w:t>,</w:t>
      </w:r>
      <w:r>
        <w:t xml:space="preserve"> </w:t>
      </w:r>
      <w:r w:rsidR="00686663">
        <w:t xml:space="preserve">dove </w:t>
      </w:r>
      <w:r>
        <w:t>a piè di pagina</w:t>
      </w:r>
      <w:r w:rsidR="00686663">
        <w:t xml:space="preserve"> si indicano fumosi criteri di autoriduzione</w:t>
      </w:r>
      <w:r>
        <w:t>, senza</w:t>
      </w:r>
      <w:r>
        <w:t xml:space="preserve"> indicare il numero di utenze detratto, la percentuale applicata, né le basi di calcolo. </w:t>
      </w:r>
    </w:p>
    <w:p w14:paraId="699B6A3F" w14:textId="631EFFAC" w:rsidR="00CF36FD" w:rsidRDefault="004E57D2" w:rsidP="000F51E1">
      <w:pPr>
        <w:spacing w:line="360" w:lineRule="auto"/>
        <w:ind w:firstLine="708"/>
        <w:jc w:val="both"/>
      </w:pPr>
      <w:r>
        <w:t xml:space="preserve">Il Comune, </w:t>
      </w:r>
      <w:r w:rsidR="00686663">
        <w:t xml:space="preserve">pertanto, </w:t>
      </w:r>
      <w:r>
        <w:t>ha legittimamente proceduto a stimare il ca</w:t>
      </w:r>
      <w:r>
        <w:t xml:space="preserve">none dovuto sulla base dei dati ufficiali disponibili sul portale "Punto Fisco" dell'Agenzia delle Entrate, che riportano </w:t>
      </w:r>
      <w:r>
        <w:t>i contratti di erogazione del gas nel territorio comunale, confermando la regolarità e legittimità dell'accertame</w:t>
      </w:r>
      <w:r>
        <w:t>nto</w:t>
      </w:r>
      <w:r w:rsidR="00CF36FD">
        <w:t xml:space="preserve">. </w:t>
      </w:r>
      <w:r w:rsidR="00CF36FD" w:rsidRPr="00CF36FD">
        <w:rPr>
          <w:i/>
        </w:rPr>
        <w:t>“I</w:t>
      </w:r>
      <w:r w:rsidR="00CF36FD" w:rsidRPr="00CF36FD">
        <w:rPr>
          <w:i/>
        </w:rPr>
        <w:t>l ricorso a criteri presuntivi costituisce una legittima modalità ricostruttiva del presupposto impositivo, conforme ai principi generali in materia di entrate patrimoniali e in ogni caso giustificata dalla mancata collaborazione del contribuente</w:t>
      </w:r>
      <w:r w:rsidR="00CF36FD" w:rsidRPr="00CF36FD">
        <w:rPr>
          <w:i/>
        </w:rPr>
        <w:t xml:space="preserve">. </w:t>
      </w:r>
      <w:r w:rsidR="00CF36FD" w:rsidRPr="00CF36FD">
        <w:rPr>
          <w:i/>
        </w:rPr>
        <w:t>Non può, pertanto, invocarsi a proprio vantaggio una situazione di incertezza determinata dalla stessa condotta dell'operatore</w:t>
      </w:r>
      <w:r w:rsidR="00CF36FD" w:rsidRPr="00CF36FD">
        <w:rPr>
          <w:i/>
        </w:rPr>
        <w:t xml:space="preserve">” </w:t>
      </w:r>
      <w:r w:rsidR="00CF36FD">
        <w:t>(</w:t>
      </w:r>
      <w:proofErr w:type="spellStart"/>
      <w:r w:rsidR="00CF36FD">
        <w:t>ctr</w:t>
      </w:r>
      <w:proofErr w:type="spellEnd"/>
      <w:r w:rsidR="00CF36FD">
        <w:t>. Tribunale Napoli 5498 del 13.04.206)</w:t>
      </w:r>
      <w:r w:rsidR="00CF36FD">
        <w:t>.</w:t>
      </w:r>
    </w:p>
    <w:p w14:paraId="72968233" w14:textId="2C496401" w:rsidR="00EB5D02" w:rsidRDefault="004E57D2" w:rsidP="00686663">
      <w:pPr>
        <w:spacing w:line="360" w:lineRule="auto"/>
        <w:ind w:firstLine="708"/>
        <w:jc w:val="both"/>
      </w:pPr>
      <w:r>
        <w:t xml:space="preserve"> </w:t>
      </w:r>
      <w:r w:rsidR="00EB5D02">
        <w:t>A riprova dell'inattendibilità delle dichiarazioni rese da ITGR, è sufficiente confrontare le utenze autodichiarate dalla Società</w:t>
      </w:r>
      <w:r w:rsidR="00CF36FD">
        <w:t>,</w:t>
      </w:r>
      <w:r w:rsidR="00EB5D02">
        <w:t xml:space="preserve"> nelle proprie comunicazioni annuali</w:t>
      </w:r>
      <w:r w:rsidR="00CF36FD">
        <w:t>,</w:t>
      </w:r>
      <w:r w:rsidR="00EB5D02">
        <w:t xml:space="preserve"> con il numero di utenze risultante dal portale "Punto Fisco" dell'Agenzia delle Entrate, posto a base dell'accertamento:</w:t>
      </w:r>
    </w:p>
    <w:p w14:paraId="6B24F39D" w14:textId="6F81C5E0" w:rsidR="00EB5D02" w:rsidRDefault="00EB5D02" w:rsidP="00EB5D02">
      <w:pPr>
        <w:spacing w:line="360" w:lineRule="auto"/>
        <w:jc w:val="both"/>
      </w:pPr>
      <w:r w:rsidRPr="00EB5D02">
        <w:rPr>
          <w:noProof/>
        </w:rPr>
        <w:lastRenderedPageBreak/>
        <w:drawing>
          <wp:inline distT="0" distB="0" distL="0" distR="0" wp14:anchorId="6091073A" wp14:editId="4129F1E8">
            <wp:extent cx="5502910" cy="1730375"/>
            <wp:effectExtent l="0" t="0" r="2540" b="3175"/>
            <wp:docPr id="89764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16" name=""/>
                    <pic:cNvPicPr/>
                  </pic:nvPicPr>
                  <pic:blipFill>
                    <a:blip r:embed="rId5"/>
                    <a:stretch>
                      <a:fillRect/>
                    </a:stretch>
                  </pic:blipFill>
                  <pic:spPr>
                    <a:xfrm>
                      <a:off x="0" y="0"/>
                      <a:ext cx="5502910" cy="1730375"/>
                    </a:xfrm>
                    <a:prstGeom prst="rect">
                      <a:avLst/>
                    </a:prstGeom>
                  </pic:spPr>
                </pic:pic>
              </a:graphicData>
            </a:graphic>
          </wp:inline>
        </w:drawing>
      </w:r>
    </w:p>
    <w:p w14:paraId="6B7DD4DD" w14:textId="77777777" w:rsidR="00CF36FD" w:rsidRDefault="00CF36FD" w:rsidP="00EB5D02">
      <w:pPr>
        <w:spacing w:line="360" w:lineRule="auto"/>
        <w:jc w:val="both"/>
      </w:pPr>
    </w:p>
    <w:p w14:paraId="5C715497" w14:textId="77777777" w:rsidR="00CF36FD" w:rsidRDefault="00EB5D02" w:rsidP="00CF36FD">
      <w:pPr>
        <w:spacing w:line="360" w:lineRule="auto"/>
        <w:ind w:firstLine="708"/>
        <w:jc w:val="both"/>
      </w:pPr>
      <w:r>
        <w:t>Il divario è macroscopico e</w:t>
      </w:r>
      <w:r w:rsidR="00CF36FD">
        <w:t>d evidenzia la poca affidabilità dei dati trasmessi dal Concessionario che h</w:t>
      </w:r>
      <w:r>
        <w:t>a dichiarato, per ciascuna annualità, un numero di utenze pari a circa un quarto di quelle effettivamente risultanti dalla banca dati ufficiale dell'Agenzia delle Entrate.</w:t>
      </w:r>
    </w:p>
    <w:p w14:paraId="6727813E" w14:textId="73DF9211" w:rsidR="00035995" w:rsidRDefault="004E57D2" w:rsidP="00CF36FD">
      <w:pPr>
        <w:spacing w:line="360" w:lineRule="auto"/>
        <w:ind w:firstLine="708"/>
        <w:jc w:val="both"/>
      </w:pPr>
      <w:r>
        <w:t>I conteggi, peraltro, sono stati effettuati in piena trasparenza e riportati nella tabella "DETTAGLIO CANONE" dell'Avviso, e a fronte di essi ITGR non ha offerto alcuna documentazione contraria di rilievo che possa s</w:t>
      </w:r>
      <w:r>
        <w:t>mentire le utenze ivi riportate.</w:t>
      </w:r>
    </w:p>
    <w:p w14:paraId="41FE0296" w14:textId="299CE2C4" w:rsidR="00DF2A50" w:rsidRDefault="006B7266">
      <w:pPr>
        <w:spacing w:line="360" w:lineRule="auto"/>
        <w:jc w:val="both"/>
      </w:pPr>
      <w:r w:rsidRPr="006B7266">
        <w:rPr>
          <w:noProof/>
        </w:rPr>
        <w:drawing>
          <wp:inline distT="0" distB="0" distL="0" distR="0" wp14:anchorId="02B45525" wp14:editId="6DEA15A8">
            <wp:extent cx="5617210" cy="1806504"/>
            <wp:effectExtent l="0" t="0" r="2540" b="3810"/>
            <wp:docPr id="15824265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6510" name=""/>
                    <pic:cNvPicPr/>
                  </pic:nvPicPr>
                  <pic:blipFill>
                    <a:blip r:embed="rId6"/>
                    <a:stretch>
                      <a:fillRect/>
                    </a:stretch>
                  </pic:blipFill>
                  <pic:spPr>
                    <a:xfrm>
                      <a:off x="0" y="0"/>
                      <a:ext cx="5619767" cy="1807326"/>
                    </a:xfrm>
                    <a:prstGeom prst="rect">
                      <a:avLst/>
                    </a:prstGeom>
                  </pic:spPr>
                </pic:pic>
              </a:graphicData>
            </a:graphic>
          </wp:inline>
        </w:drawing>
      </w:r>
    </w:p>
    <w:p w14:paraId="388BCF21" w14:textId="527305AA" w:rsidR="00035995" w:rsidRDefault="004E57D2">
      <w:pPr>
        <w:spacing w:line="360" w:lineRule="auto"/>
        <w:jc w:val="both"/>
      </w:pPr>
      <w:r>
        <w:tab/>
      </w:r>
      <w:r>
        <w:t xml:space="preserve">ITGR è, </w:t>
      </w:r>
      <w:r w:rsidR="002C67ED">
        <w:t>pertanto</w:t>
      </w:r>
      <w:r>
        <w:t>, tenuta al versamento del canone per tutte le utenze attive nel territor</w:t>
      </w:r>
      <w:r>
        <w:t>io del Comune, senza possibilità di auto-ridursi unilateralmente il dovuto invocando esenzioni non previste dalla legge o comunque non applicabili alla fattispecie concreta. Ne consegue l'illegittima condotta della Italgas che si autodetermina una percentu</w:t>
      </w:r>
      <w:r>
        <w:t>ale di riduzione del canone.</w:t>
      </w:r>
    </w:p>
    <w:p w14:paraId="669604AB" w14:textId="77777777" w:rsidR="00035995" w:rsidRDefault="00035995">
      <w:pPr>
        <w:spacing w:line="360" w:lineRule="auto"/>
      </w:pPr>
    </w:p>
    <w:p w14:paraId="243E129A" w14:textId="27179B4A" w:rsidR="00035995" w:rsidRDefault="008C1863">
      <w:pPr>
        <w:spacing w:line="360" w:lineRule="auto"/>
        <w:jc w:val="both"/>
      </w:pPr>
      <w:r>
        <w:rPr>
          <w:b/>
          <w:bCs/>
        </w:rPr>
        <w:t>3.</w:t>
      </w:r>
      <w:r>
        <w:tab/>
      </w:r>
      <w:r>
        <w:rPr>
          <w:b/>
          <w:bCs/>
        </w:rPr>
        <w:t>Sull'infondatezza dell'eccezione relativa alle sanzioni.</w:t>
      </w:r>
    </w:p>
    <w:p w14:paraId="6BFD0348" w14:textId="77777777" w:rsidR="000F3DFD" w:rsidRDefault="004E57D2">
      <w:pPr>
        <w:spacing w:line="360" w:lineRule="auto"/>
        <w:jc w:val="both"/>
      </w:pPr>
      <w:r>
        <w:tab/>
        <w:t xml:space="preserve">L'eccezione di ITGR sull'insussistenza dei presupposti soggettivi della sanzione è del pari infondata. </w:t>
      </w:r>
    </w:p>
    <w:p w14:paraId="4BF57F9D" w14:textId="77777777" w:rsidR="000F3DFD" w:rsidRDefault="004E57D2" w:rsidP="000F3DFD">
      <w:pPr>
        <w:spacing w:line="360" w:lineRule="auto"/>
        <w:ind w:firstLine="708"/>
        <w:jc w:val="both"/>
      </w:pPr>
      <w:r>
        <w:lastRenderedPageBreak/>
        <w:t>La condotta della Società, che ha auto-applicato una riduzione</w:t>
      </w:r>
      <w:r>
        <w:t xml:space="preserve"> del canone dovuto senza offrire al Comune alcuna documentazione trasparente del proprio calcolo e rifiutandosi di rispondere alle due richieste di chiarimento di Archivia Solution S.p.A. (del 16 ottobre e del 4 dicembre 2025), è chiaramente colposa.</w:t>
      </w:r>
    </w:p>
    <w:p w14:paraId="63D04CBF" w14:textId="77777777" w:rsidR="000F3DFD" w:rsidRDefault="000F3DFD" w:rsidP="000F3DFD">
      <w:pPr>
        <w:spacing w:line="360" w:lineRule="auto"/>
        <w:ind w:firstLine="708"/>
        <w:jc w:val="both"/>
      </w:pPr>
      <w:r>
        <w:t>In ogni caso, n</w:t>
      </w:r>
      <w:r w:rsidR="004E57D2">
        <w:t xml:space="preserve">on </w:t>
      </w:r>
      <w:r>
        <w:t xml:space="preserve">rileverebbe </w:t>
      </w:r>
      <w:r w:rsidR="004E57D2">
        <w:t>alcun "pieno affidamento" scusabile</w:t>
      </w:r>
      <w:r>
        <w:t xml:space="preserve"> dal momento che nel caso specifico è stata applicata la sanzione del 30% prevista, per l’omesso parziale versamento del canone, dall’art. 58 del regolamento Comunale.</w:t>
      </w:r>
    </w:p>
    <w:p w14:paraId="002D4590" w14:textId="40751F0F" w:rsidR="00035995" w:rsidRDefault="000F3DFD" w:rsidP="000F3DFD">
      <w:pPr>
        <w:spacing w:line="360" w:lineRule="auto"/>
        <w:ind w:firstLine="708"/>
        <w:jc w:val="both"/>
      </w:pPr>
      <w:r>
        <w:t xml:space="preserve">In ogni caso si rammenta che </w:t>
      </w:r>
      <w:r w:rsidR="004E57D2">
        <w:t xml:space="preserve">il comma 833, </w:t>
      </w:r>
      <w:proofErr w:type="spellStart"/>
      <w:r w:rsidR="004E57D2">
        <w:t>lett</w:t>
      </w:r>
      <w:proofErr w:type="spellEnd"/>
      <w:r w:rsidR="004E57D2">
        <w:t xml:space="preserve">. d), è di stretta interpretazione, come ribadito da costante giurisprudenza, e la società non ha mai dimostrato - né in sede precontenziosa né in sede di ricorso - che la divisione degli impianti </w:t>
      </w:r>
      <w:r w:rsidR="004E57D2">
        <w:t xml:space="preserve">in "devolvibili" </w:t>
      </w:r>
      <w:proofErr w:type="gramStart"/>
      <w:r w:rsidR="004E57D2">
        <w:t>e "</w:t>
      </w:r>
      <w:proofErr w:type="gramEnd"/>
      <w:r w:rsidR="004E57D2">
        <w:t>non devolvibili" sia mai stata verificata in contraddittorio con il Comune, né che esista il registro previsto dall'atto aggiuntivo del 1983 da cui tale suddivisione risulti in modo certo.</w:t>
      </w:r>
    </w:p>
    <w:p w14:paraId="00EF6A3D" w14:textId="77777777" w:rsidR="00035995" w:rsidRDefault="004E57D2">
      <w:pPr>
        <w:spacing w:line="360" w:lineRule="auto"/>
        <w:jc w:val="center"/>
      </w:pPr>
      <w:r>
        <w:t>*   *   *</w:t>
      </w:r>
    </w:p>
    <w:p w14:paraId="403276CE" w14:textId="77777777" w:rsidR="00035995" w:rsidRDefault="004E57D2">
      <w:pPr>
        <w:spacing w:line="360" w:lineRule="auto"/>
        <w:jc w:val="both"/>
      </w:pPr>
      <w:r>
        <w:tab/>
        <w:t xml:space="preserve">Per tutto quanto sopra esposto, il </w:t>
      </w:r>
      <w:r>
        <w:rPr>
          <w:b/>
          <w:bCs/>
        </w:rPr>
        <w:t>Comune di Sessa Aurunca</w:t>
      </w:r>
      <w:r>
        <w:t>, come sopra rappresentato, difeso ed elettivamente domiciliato, con espressa riserva di ogni integrazione, anche istruttoria, che dovesse rendersi neces</w:t>
      </w:r>
      <w:r>
        <w:t>saria,</w:t>
      </w:r>
    </w:p>
    <w:p w14:paraId="2BC4691F" w14:textId="77777777" w:rsidR="00035995" w:rsidRDefault="004E57D2" w:rsidP="00FC44AC">
      <w:pPr>
        <w:spacing w:line="360" w:lineRule="auto"/>
      </w:pPr>
      <w:r>
        <w:rPr>
          <w:b/>
          <w:bCs/>
        </w:rPr>
        <w:t>conclude</w:t>
      </w:r>
    </w:p>
    <w:p w14:paraId="3E495365" w14:textId="3B652A32" w:rsidR="00035995" w:rsidRDefault="004E57D2">
      <w:pPr>
        <w:spacing w:line="360" w:lineRule="auto"/>
        <w:jc w:val="both"/>
      </w:pPr>
      <w:r>
        <w:t xml:space="preserve">affinché il Tribunale Ill.mo Voglia, </w:t>
      </w:r>
      <w:proofErr w:type="spellStart"/>
      <w:r w:rsidRPr="000F3DFD">
        <w:rPr>
          <w:i/>
        </w:rPr>
        <w:t>contrariis</w:t>
      </w:r>
      <w:proofErr w:type="spellEnd"/>
      <w:r w:rsidRPr="000F3DFD">
        <w:rPr>
          <w:i/>
        </w:rPr>
        <w:t xml:space="preserve"> </w:t>
      </w:r>
      <w:proofErr w:type="spellStart"/>
      <w:r w:rsidRPr="000F3DFD">
        <w:rPr>
          <w:i/>
        </w:rPr>
        <w:t>reiectis</w:t>
      </w:r>
      <w:proofErr w:type="spellEnd"/>
      <w:r>
        <w:t>,</w:t>
      </w:r>
    </w:p>
    <w:p w14:paraId="11C3B322" w14:textId="14F55036" w:rsidR="00035995" w:rsidRDefault="004E57D2" w:rsidP="00FC44AC">
      <w:pPr>
        <w:pStyle w:val="Paragrafoelenco"/>
        <w:numPr>
          <w:ilvl w:val="0"/>
          <w:numId w:val="4"/>
        </w:numPr>
        <w:spacing w:line="360" w:lineRule="auto"/>
        <w:jc w:val="both"/>
      </w:pPr>
      <w:r>
        <w:t>accertare e dichiarare la legittimità e fondatezza dell'avviso di acce</w:t>
      </w:r>
      <w:bookmarkStart w:id="0" w:name="_GoBack"/>
      <w:bookmarkEnd w:id="0"/>
      <w:r>
        <w:t xml:space="preserve">rtamento emesso e, per l'effetto, respingere l'opposizione proposta da Italgas Reti spa con ogni conseguenziale </w:t>
      </w:r>
      <w:r>
        <w:t>statuizione di legge e per l'effetto:</w:t>
      </w:r>
    </w:p>
    <w:p w14:paraId="2BCB6E76" w14:textId="7A6DE1D1" w:rsidR="00035995" w:rsidRDefault="004E57D2" w:rsidP="00FC44AC">
      <w:pPr>
        <w:pStyle w:val="Paragrafoelenco"/>
        <w:numPr>
          <w:ilvl w:val="0"/>
          <w:numId w:val="4"/>
        </w:numPr>
        <w:spacing w:line="360" w:lineRule="auto"/>
        <w:jc w:val="both"/>
      </w:pPr>
      <w:r>
        <w:t>rigettare la presente opposizione, confermando la legittimità della pretesa dell'Ente Locale;</w:t>
      </w:r>
    </w:p>
    <w:p w14:paraId="2105C6F2" w14:textId="3ACD9909" w:rsidR="00035995" w:rsidRDefault="004E57D2" w:rsidP="00FC44AC">
      <w:pPr>
        <w:pStyle w:val="Paragrafoelenco"/>
        <w:numPr>
          <w:ilvl w:val="0"/>
          <w:numId w:val="4"/>
        </w:numPr>
        <w:spacing w:line="360" w:lineRule="auto"/>
        <w:jc w:val="both"/>
      </w:pPr>
      <w:r>
        <w:t xml:space="preserve">condannare Italgas Reti S.p.A. alla rifusione, in favore del Comune di Sessa Aurunca, delle spese e degli onorari del </w:t>
      </w:r>
      <w:r>
        <w:t>presente giudizio.</w:t>
      </w:r>
    </w:p>
    <w:p w14:paraId="305384CE" w14:textId="7C74B992" w:rsidR="00035995" w:rsidRDefault="004E57D2">
      <w:pPr>
        <w:spacing w:line="360" w:lineRule="auto"/>
        <w:jc w:val="both"/>
      </w:pPr>
      <w:r>
        <w:t>Con riserva di ulteriore produzione documentale nei termini processuali.</w:t>
      </w:r>
    </w:p>
    <w:p w14:paraId="0F1A9F31" w14:textId="77777777" w:rsidR="00035995" w:rsidRDefault="00035995">
      <w:pPr>
        <w:spacing w:line="360" w:lineRule="auto"/>
      </w:pPr>
    </w:p>
    <w:p w14:paraId="0B59D1CD" w14:textId="77777777" w:rsidR="00035995" w:rsidRDefault="004E57D2">
      <w:pPr>
        <w:spacing w:line="360" w:lineRule="auto"/>
        <w:jc w:val="both"/>
      </w:pPr>
      <w:r>
        <w:rPr>
          <w:b/>
          <w:bCs/>
        </w:rPr>
        <w:t>Si produce:</w:t>
      </w:r>
    </w:p>
    <w:p w14:paraId="15885E7C" w14:textId="6354A94F" w:rsidR="00035995" w:rsidRDefault="004E57D2" w:rsidP="000F3DFD">
      <w:pPr>
        <w:pStyle w:val="Paragrafoelenco"/>
        <w:numPr>
          <w:ilvl w:val="0"/>
          <w:numId w:val="5"/>
        </w:numPr>
        <w:spacing w:line="360" w:lineRule="auto"/>
        <w:jc w:val="both"/>
      </w:pPr>
      <w:r>
        <w:t>Avviso di Accertamento Esecutivo n. 1 del 16 gennaio 2026 emesso dal Comune di Sessa Aurunca nei confronti di Italgas Reti S.p.A.;</w:t>
      </w:r>
    </w:p>
    <w:p w14:paraId="2B9D7485" w14:textId="3CF3C30A" w:rsidR="00035995" w:rsidRDefault="000F3DFD" w:rsidP="000F3DFD">
      <w:pPr>
        <w:pStyle w:val="Paragrafoelenco"/>
        <w:numPr>
          <w:ilvl w:val="0"/>
          <w:numId w:val="5"/>
        </w:numPr>
        <w:spacing w:line="360" w:lineRule="auto"/>
        <w:jc w:val="both"/>
      </w:pPr>
      <w:r>
        <w:t>Determina di Affidamento ad Archivia del supporto;</w:t>
      </w:r>
      <w:r w:rsidR="004E57D2">
        <w:tab/>
      </w:r>
    </w:p>
    <w:p w14:paraId="510C4F2D" w14:textId="77777777" w:rsidR="000F3DFD" w:rsidRDefault="004E57D2" w:rsidP="000F3DFD">
      <w:pPr>
        <w:spacing w:line="360" w:lineRule="auto"/>
        <w:jc w:val="both"/>
      </w:pPr>
      <w:r>
        <w:lastRenderedPageBreak/>
        <w:tab/>
      </w:r>
      <w:r>
        <w:t>3)</w:t>
      </w:r>
      <w:r>
        <w:tab/>
      </w:r>
      <w:r w:rsidR="000F3DFD">
        <w:t>Richiesta di dichiarazione Archivia Solution S.p.A. del 16 ottobre 2025;</w:t>
      </w:r>
    </w:p>
    <w:p w14:paraId="19BDBC95" w14:textId="7BF83A31" w:rsidR="000F3DFD" w:rsidRDefault="004E57D2" w:rsidP="000F3DFD">
      <w:pPr>
        <w:spacing w:line="360" w:lineRule="auto"/>
        <w:jc w:val="both"/>
      </w:pPr>
      <w:r>
        <w:tab/>
        <w:t>4)</w:t>
      </w:r>
      <w:r w:rsidR="000F3DFD">
        <w:t xml:space="preserve"> </w:t>
      </w:r>
      <w:r>
        <w:tab/>
      </w:r>
      <w:r w:rsidR="000F3DFD">
        <w:t>R</w:t>
      </w:r>
      <w:r w:rsidR="000F3DFD">
        <w:t>iscontro Italgas Reti S.p.A. del 21 ottobre 2025 (denunce utenze e contabili di pagamento per le annualità 2021-2024);</w:t>
      </w:r>
    </w:p>
    <w:p w14:paraId="16E42471" w14:textId="0D06C681" w:rsidR="00035995" w:rsidRDefault="004E57D2">
      <w:pPr>
        <w:spacing w:line="360" w:lineRule="auto"/>
        <w:jc w:val="both"/>
      </w:pPr>
      <w:r>
        <w:tab/>
        <w:t>5)</w:t>
      </w:r>
      <w:r>
        <w:tab/>
        <w:t>R</w:t>
      </w:r>
      <w:r w:rsidR="000F3DFD">
        <w:t xml:space="preserve">eplica </w:t>
      </w:r>
      <w:r>
        <w:t>e diffida Archivia Solution S.p.A. del 4 dicembre 2025;</w:t>
      </w:r>
    </w:p>
    <w:p w14:paraId="4956C19E" w14:textId="77777777" w:rsidR="00035995" w:rsidRDefault="004E57D2">
      <w:pPr>
        <w:spacing w:line="360" w:lineRule="auto"/>
        <w:jc w:val="both"/>
      </w:pPr>
      <w:r>
        <w:tab/>
        <w:t>6)</w:t>
      </w:r>
      <w:r>
        <w:tab/>
        <w:t>Contratto di concessione Rep. n. 5163 del 21 dicembre 1981 - Comune di Sessa Aurunca / Società Italiana per il Gas (Italgas);</w:t>
      </w:r>
    </w:p>
    <w:p w14:paraId="204E9794" w14:textId="77777777" w:rsidR="00035995" w:rsidRDefault="004E57D2">
      <w:pPr>
        <w:spacing w:line="360" w:lineRule="auto"/>
        <w:jc w:val="both"/>
      </w:pPr>
      <w:r>
        <w:tab/>
        <w:t>7)</w:t>
      </w:r>
      <w:r>
        <w:tab/>
        <w:t>Atto aggiuntivo Rep. n. 5937 del 6 nov</w:t>
      </w:r>
      <w:r>
        <w:t>embre 1983 - Comune di Sessa Aurunca / Italgas Sud S.p.A.;</w:t>
      </w:r>
    </w:p>
    <w:p w14:paraId="0219BFB1" w14:textId="57F9FA62" w:rsidR="00035995" w:rsidRDefault="004E57D2">
      <w:pPr>
        <w:spacing w:line="360" w:lineRule="auto"/>
        <w:jc w:val="both"/>
      </w:pPr>
      <w:r>
        <w:tab/>
        <w:t>8)</w:t>
      </w:r>
      <w:r>
        <w:tab/>
        <w:t>Corte Tributaria Regionale dell'Emilia Romagna, Sez. XIII, sentenza n. 526/2024; Tribunale Ordinario di Sassari, sentenza n. 193/2024.</w:t>
      </w:r>
    </w:p>
    <w:p w14:paraId="2C07724C" w14:textId="0C613F55" w:rsidR="000F3DFD" w:rsidRDefault="000F3DFD" w:rsidP="000F3DFD">
      <w:pPr>
        <w:spacing w:line="360" w:lineRule="auto"/>
        <w:ind w:firstLine="567"/>
        <w:jc w:val="both"/>
      </w:pPr>
      <w:r>
        <w:t>9) Sentenza Tribunale Sassari 193/2024</w:t>
      </w:r>
    </w:p>
    <w:p w14:paraId="119A7330" w14:textId="5082E864" w:rsidR="000F3DFD" w:rsidRDefault="000F3DFD" w:rsidP="000F3DFD">
      <w:pPr>
        <w:spacing w:line="360" w:lineRule="auto"/>
        <w:ind w:firstLine="567"/>
        <w:jc w:val="both"/>
      </w:pPr>
      <w:r>
        <w:t xml:space="preserve">10) </w:t>
      </w:r>
      <w:r>
        <w:t>Atto di citazione di Italgas Reti S.p.A. notificato il 24 marzo 2026;</w:t>
      </w:r>
    </w:p>
    <w:p w14:paraId="30DBA23F" w14:textId="77777777" w:rsidR="00035995" w:rsidRDefault="00035995">
      <w:pPr>
        <w:spacing w:line="360" w:lineRule="auto"/>
      </w:pPr>
    </w:p>
    <w:p w14:paraId="228ED925" w14:textId="77777777" w:rsidR="00035995" w:rsidRDefault="004E57D2">
      <w:pPr>
        <w:spacing w:line="360" w:lineRule="auto"/>
        <w:jc w:val="both"/>
      </w:pPr>
      <w:r>
        <w:t>Sessa Aurunca, ___/___/2026</w:t>
      </w:r>
    </w:p>
    <w:p w14:paraId="5D2D1AA9" w14:textId="77777777" w:rsidR="00035995" w:rsidRDefault="00035995">
      <w:pPr>
        <w:spacing w:line="360" w:lineRule="auto"/>
      </w:pPr>
    </w:p>
    <w:p w14:paraId="2664A468" w14:textId="77777777" w:rsidR="00035995" w:rsidRDefault="00035995">
      <w:pPr>
        <w:spacing w:line="360" w:lineRule="auto"/>
      </w:pPr>
    </w:p>
    <w:p w14:paraId="7E03E98B" w14:textId="77777777" w:rsidR="00035995" w:rsidRDefault="004E57D2" w:rsidP="00796F18">
      <w:pPr>
        <w:spacing w:line="360" w:lineRule="auto"/>
        <w:jc w:val="right"/>
      </w:pPr>
      <w:r>
        <w:t>Avv. ______________________</w:t>
      </w:r>
      <w:r>
        <w:t>________</w:t>
      </w:r>
    </w:p>
    <w:sectPr w:rsidR="00035995">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D32FF6"/>
    <w:multiLevelType w:val="hybridMultilevel"/>
    <w:tmpl w:val="54D83DD0"/>
    <w:lvl w:ilvl="0" w:tplc="D1A2EC1A">
      <w:start w:val="1"/>
      <w:numFmt w:val="bullet"/>
      <w:lvlText w:val="●"/>
      <w:lvlJc w:val="left"/>
      <w:pPr>
        <w:ind w:left="720" w:hanging="360"/>
      </w:pPr>
    </w:lvl>
    <w:lvl w:ilvl="1" w:tplc="66E4D14A">
      <w:start w:val="1"/>
      <w:numFmt w:val="bullet"/>
      <w:lvlText w:val="○"/>
      <w:lvlJc w:val="left"/>
      <w:pPr>
        <w:ind w:left="1440" w:hanging="360"/>
      </w:pPr>
    </w:lvl>
    <w:lvl w:ilvl="2" w:tplc="BD6691AE">
      <w:start w:val="1"/>
      <w:numFmt w:val="bullet"/>
      <w:lvlText w:val="■"/>
      <w:lvlJc w:val="left"/>
      <w:pPr>
        <w:ind w:left="2160" w:hanging="360"/>
      </w:pPr>
    </w:lvl>
    <w:lvl w:ilvl="3" w:tplc="3B1C1460">
      <w:start w:val="1"/>
      <w:numFmt w:val="bullet"/>
      <w:lvlText w:val="●"/>
      <w:lvlJc w:val="left"/>
      <w:pPr>
        <w:ind w:left="2880" w:hanging="360"/>
      </w:pPr>
    </w:lvl>
    <w:lvl w:ilvl="4" w:tplc="033A10D0">
      <w:start w:val="1"/>
      <w:numFmt w:val="bullet"/>
      <w:lvlText w:val="○"/>
      <w:lvlJc w:val="left"/>
      <w:pPr>
        <w:ind w:left="3600" w:hanging="360"/>
      </w:pPr>
    </w:lvl>
    <w:lvl w:ilvl="5" w:tplc="7284C282">
      <w:start w:val="1"/>
      <w:numFmt w:val="bullet"/>
      <w:lvlText w:val="■"/>
      <w:lvlJc w:val="left"/>
      <w:pPr>
        <w:ind w:left="4320" w:hanging="360"/>
      </w:pPr>
    </w:lvl>
    <w:lvl w:ilvl="6" w:tplc="78E08E0E">
      <w:start w:val="1"/>
      <w:numFmt w:val="bullet"/>
      <w:lvlText w:val="●"/>
      <w:lvlJc w:val="left"/>
      <w:pPr>
        <w:ind w:left="5040" w:hanging="360"/>
      </w:pPr>
    </w:lvl>
    <w:lvl w:ilvl="7" w:tplc="553A11B2">
      <w:start w:val="1"/>
      <w:numFmt w:val="bullet"/>
      <w:lvlText w:val="●"/>
      <w:lvlJc w:val="left"/>
      <w:pPr>
        <w:ind w:left="5760" w:hanging="360"/>
      </w:pPr>
    </w:lvl>
    <w:lvl w:ilvl="8" w:tplc="29784BD6">
      <w:start w:val="1"/>
      <w:numFmt w:val="bullet"/>
      <w:lvlText w:val="●"/>
      <w:lvlJc w:val="left"/>
      <w:pPr>
        <w:ind w:left="6480" w:hanging="360"/>
      </w:pPr>
    </w:lvl>
  </w:abstractNum>
  <w:abstractNum w:abstractNumId="1" w15:restartNumberingAfterBreak="0">
    <w:nsid w:val="41EF341D"/>
    <w:multiLevelType w:val="hybridMultilevel"/>
    <w:tmpl w:val="E34EAB26"/>
    <w:lvl w:ilvl="0" w:tplc="8536F1EE">
      <w:start w:val="1"/>
      <w:numFmt w:val="decimal"/>
      <w:lvlText w:val="%1)"/>
      <w:lvlJc w:val="left"/>
      <w:pPr>
        <w:ind w:left="1410" w:hanging="705"/>
      </w:pPr>
      <w:rPr>
        <w:rFonts w:hint="default"/>
      </w:rPr>
    </w:lvl>
    <w:lvl w:ilvl="1" w:tplc="04100019" w:tentative="1">
      <w:start w:val="1"/>
      <w:numFmt w:val="lowerLetter"/>
      <w:lvlText w:val="%2."/>
      <w:lvlJc w:val="left"/>
      <w:pPr>
        <w:ind w:left="1785" w:hanging="360"/>
      </w:pPr>
    </w:lvl>
    <w:lvl w:ilvl="2" w:tplc="0410001B" w:tentative="1">
      <w:start w:val="1"/>
      <w:numFmt w:val="lowerRoman"/>
      <w:lvlText w:val="%3."/>
      <w:lvlJc w:val="right"/>
      <w:pPr>
        <w:ind w:left="2505" w:hanging="180"/>
      </w:pPr>
    </w:lvl>
    <w:lvl w:ilvl="3" w:tplc="0410000F" w:tentative="1">
      <w:start w:val="1"/>
      <w:numFmt w:val="decimal"/>
      <w:lvlText w:val="%4."/>
      <w:lvlJc w:val="left"/>
      <w:pPr>
        <w:ind w:left="3225" w:hanging="360"/>
      </w:pPr>
    </w:lvl>
    <w:lvl w:ilvl="4" w:tplc="04100019" w:tentative="1">
      <w:start w:val="1"/>
      <w:numFmt w:val="lowerLetter"/>
      <w:lvlText w:val="%5."/>
      <w:lvlJc w:val="left"/>
      <w:pPr>
        <w:ind w:left="3945" w:hanging="360"/>
      </w:pPr>
    </w:lvl>
    <w:lvl w:ilvl="5" w:tplc="0410001B" w:tentative="1">
      <w:start w:val="1"/>
      <w:numFmt w:val="lowerRoman"/>
      <w:lvlText w:val="%6."/>
      <w:lvlJc w:val="right"/>
      <w:pPr>
        <w:ind w:left="4665" w:hanging="180"/>
      </w:pPr>
    </w:lvl>
    <w:lvl w:ilvl="6" w:tplc="0410000F" w:tentative="1">
      <w:start w:val="1"/>
      <w:numFmt w:val="decimal"/>
      <w:lvlText w:val="%7."/>
      <w:lvlJc w:val="left"/>
      <w:pPr>
        <w:ind w:left="5385" w:hanging="360"/>
      </w:pPr>
    </w:lvl>
    <w:lvl w:ilvl="7" w:tplc="04100019" w:tentative="1">
      <w:start w:val="1"/>
      <w:numFmt w:val="lowerLetter"/>
      <w:lvlText w:val="%8."/>
      <w:lvlJc w:val="left"/>
      <w:pPr>
        <w:ind w:left="6105" w:hanging="360"/>
      </w:pPr>
    </w:lvl>
    <w:lvl w:ilvl="8" w:tplc="0410001B" w:tentative="1">
      <w:start w:val="1"/>
      <w:numFmt w:val="lowerRoman"/>
      <w:lvlText w:val="%9."/>
      <w:lvlJc w:val="right"/>
      <w:pPr>
        <w:ind w:left="6825" w:hanging="180"/>
      </w:pPr>
    </w:lvl>
  </w:abstractNum>
  <w:abstractNum w:abstractNumId="2" w15:restartNumberingAfterBreak="0">
    <w:nsid w:val="4EC659B1"/>
    <w:multiLevelType w:val="hybridMultilevel"/>
    <w:tmpl w:val="371A34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62B510FF"/>
    <w:multiLevelType w:val="hybridMultilevel"/>
    <w:tmpl w:val="8F844A4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67310E4"/>
    <w:multiLevelType w:val="hybridMultilevel"/>
    <w:tmpl w:val="708A002E"/>
    <w:lvl w:ilvl="0" w:tplc="C1D23958">
      <w:numFmt w:val="bullet"/>
      <w:lvlText w:val="-"/>
      <w:lvlJc w:val="left"/>
      <w:pPr>
        <w:ind w:left="1065" w:hanging="360"/>
      </w:pPr>
      <w:rPr>
        <w:rFonts w:ascii="Arial" w:eastAsia="Arial" w:hAnsi="Arial" w:cs="Arial" w:hint="default"/>
      </w:rPr>
    </w:lvl>
    <w:lvl w:ilvl="1" w:tplc="04100003" w:tentative="1">
      <w:start w:val="1"/>
      <w:numFmt w:val="bullet"/>
      <w:lvlText w:val="o"/>
      <w:lvlJc w:val="left"/>
      <w:pPr>
        <w:ind w:left="1785" w:hanging="360"/>
      </w:pPr>
      <w:rPr>
        <w:rFonts w:ascii="Courier New" w:hAnsi="Courier New" w:cs="Courier New" w:hint="default"/>
      </w:rPr>
    </w:lvl>
    <w:lvl w:ilvl="2" w:tplc="04100005" w:tentative="1">
      <w:start w:val="1"/>
      <w:numFmt w:val="bullet"/>
      <w:lvlText w:val=""/>
      <w:lvlJc w:val="left"/>
      <w:pPr>
        <w:ind w:left="2505" w:hanging="360"/>
      </w:pPr>
      <w:rPr>
        <w:rFonts w:ascii="Wingdings" w:hAnsi="Wingdings" w:hint="default"/>
      </w:rPr>
    </w:lvl>
    <w:lvl w:ilvl="3" w:tplc="04100001" w:tentative="1">
      <w:start w:val="1"/>
      <w:numFmt w:val="bullet"/>
      <w:lvlText w:val=""/>
      <w:lvlJc w:val="left"/>
      <w:pPr>
        <w:ind w:left="3225" w:hanging="360"/>
      </w:pPr>
      <w:rPr>
        <w:rFonts w:ascii="Symbol" w:hAnsi="Symbol" w:hint="default"/>
      </w:rPr>
    </w:lvl>
    <w:lvl w:ilvl="4" w:tplc="04100003" w:tentative="1">
      <w:start w:val="1"/>
      <w:numFmt w:val="bullet"/>
      <w:lvlText w:val="o"/>
      <w:lvlJc w:val="left"/>
      <w:pPr>
        <w:ind w:left="3945" w:hanging="360"/>
      </w:pPr>
      <w:rPr>
        <w:rFonts w:ascii="Courier New" w:hAnsi="Courier New" w:cs="Courier New" w:hint="default"/>
      </w:rPr>
    </w:lvl>
    <w:lvl w:ilvl="5" w:tplc="04100005" w:tentative="1">
      <w:start w:val="1"/>
      <w:numFmt w:val="bullet"/>
      <w:lvlText w:val=""/>
      <w:lvlJc w:val="left"/>
      <w:pPr>
        <w:ind w:left="4665" w:hanging="360"/>
      </w:pPr>
      <w:rPr>
        <w:rFonts w:ascii="Wingdings" w:hAnsi="Wingdings" w:hint="default"/>
      </w:rPr>
    </w:lvl>
    <w:lvl w:ilvl="6" w:tplc="04100001" w:tentative="1">
      <w:start w:val="1"/>
      <w:numFmt w:val="bullet"/>
      <w:lvlText w:val=""/>
      <w:lvlJc w:val="left"/>
      <w:pPr>
        <w:ind w:left="5385" w:hanging="360"/>
      </w:pPr>
      <w:rPr>
        <w:rFonts w:ascii="Symbol" w:hAnsi="Symbol" w:hint="default"/>
      </w:rPr>
    </w:lvl>
    <w:lvl w:ilvl="7" w:tplc="04100003" w:tentative="1">
      <w:start w:val="1"/>
      <w:numFmt w:val="bullet"/>
      <w:lvlText w:val="o"/>
      <w:lvlJc w:val="left"/>
      <w:pPr>
        <w:ind w:left="6105" w:hanging="360"/>
      </w:pPr>
      <w:rPr>
        <w:rFonts w:ascii="Courier New" w:hAnsi="Courier New" w:cs="Courier New" w:hint="default"/>
      </w:rPr>
    </w:lvl>
    <w:lvl w:ilvl="8" w:tplc="04100005" w:tentative="1">
      <w:start w:val="1"/>
      <w:numFmt w:val="bullet"/>
      <w:lvlText w:val=""/>
      <w:lvlJc w:val="left"/>
      <w:pPr>
        <w:ind w:left="6825" w:hanging="360"/>
      </w:pPr>
      <w:rPr>
        <w:rFonts w:ascii="Wingdings" w:hAnsi="Wingdings" w:hint="default"/>
      </w:rPr>
    </w:lvl>
  </w:abstractNum>
  <w:num w:numId="1">
    <w:abstractNumId w:val="0"/>
    <w:lvlOverride w:ilvl="0">
      <w:startOverride w:val="1"/>
    </w:lvlOverride>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5995"/>
    <w:rsid w:val="00035995"/>
    <w:rsid w:val="000F3DFD"/>
    <w:rsid w:val="000F51E1"/>
    <w:rsid w:val="002C67ED"/>
    <w:rsid w:val="0036306F"/>
    <w:rsid w:val="00482C1B"/>
    <w:rsid w:val="004C0B06"/>
    <w:rsid w:val="004D29C3"/>
    <w:rsid w:val="004E57D2"/>
    <w:rsid w:val="004E7574"/>
    <w:rsid w:val="004F69ED"/>
    <w:rsid w:val="00552A26"/>
    <w:rsid w:val="0058236D"/>
    <w:rsid w:val="005B79A9"/>
    <w:rsid w:val="00686663"/>
    <w:rsid w:val="006B7266"/>
    <w:rsid w:val="007373DD"/>
    <w:rsid w:val="0079687E"/>
    <w:rsid w:val="00796F18"/>
    <w:rsid w:val="0087613E"/>
    <w:rsid w:val="008C1863"/>
    <w:rsid w:val="008C732D"/>
    <w:rsid w:val="00906158"/>
    <w:rsid w:val="009748E4"/>
    <w:rsid w:val="00A36581"/>
    <w:rsid w:val="00C00E62"/>
    <w:rsid w:val="00CF36FD"/>
    <w:rsid w:val="00D30AD6"/>
    <w:rsid w:val="00D3276F"/>
    <w:rsid w:val="00D53758"/>
    <w:rsid w:val="00D954B9"/>
    <w:rsid w:val="00DA71EC"/>
    <w:rsid w:val="00DE7F2A"/>
    <w:rsid w:val="00DF2A50"/>
    <w:rsid w:val="00E21F5F"/>
    <w:rsid w:val="00E31F7D"/>
    <w:rsid w:val="00E36E88"/>
    <w:rsid w:val="00EB5D02"/>
    <w:rsid w:val="00EE241A"/>
    <w:rsid w:val="00F14ADE"/>
    <w:rsid w:val="00FC44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E57F7"/>
  <w15:docId w15:val="{F3B7C97A-CAE7-1140-B4E1-D4094001B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Testofumetto">
    <w:name w:val="Balloon Text"/>
    <w:basedOn w:val="Normale"/>
    <w:link w:val="TestofumettoCarattere"/>
    <w:uiPriority w:val="99"/>
    <w:semiHidden/>
    <w:unhideWhenUsed/>
    <w:rsid w:val="00C00E62"/>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C00E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11</Pages>
  <Words>3304</Words>
  <Characters>18838</Characters>
  <Application>Microsoft Office Word</Application>
  <DocSecurity>0</DocSecurity>
  <Lines>156</Lines>
  <Paragraphs>44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cp:lastModifiedBy>
  <cp:revision>19</cp:revision>
  <cp:lastPrinted>2026-04-23T11:28:00Z</cp:lastPrinted>
  <dcterms:created xsi:type="dcterms:W3CDTF">2026-04-16T10:12:00Z</dcterms:created>
  <dcterms:modified xsi:type="dcterms:W3CDTF">2026-04-23T13:19:00Z</dcterms:modified>
</cp:coreProperties>
</file>