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1DCB8C" w14:textId="77777777" w:rsidR="002A72D9" w:rsidRDefault="001A70AF">
      <w:pPr>
        <w:spacing w:line="360" w:lineRule="auto"/>
        <w:jc w:val="center"/>
      </w:pPr>
      <w:r>
        <w:rPr>
          <w:b/>
          <w:bCs/>
        </w:rPr>
        <w:t>TRIBUNALE ORDINARIO DI URBINO</w:t>
      </w:r>
    </w:p>
    <w:p w14:paraId="183E3AFE" w14:textId="77777777" w:rsidR="00441EE5" w:rsidRPr="00441EE5" w:rsidRDefault="00441EE5" w:rsidP="00441EE5">
      <w:pPr>
        <w:spacing w:line="360" w:lineRule="auto"/>
        <w:jc w:val="center"/>
        <w:rPr>
          <w:b/>
        </w:rPr>
      </w:pPr>
      <w:r w:rsidRPr="00441EE5">
        <w:rPr>
          <w:b/>
        </w:rPr>
        <w:t>R.G. n. 663/2026</w:t>
      </w:r>
    </w:p>
    <w:p w14:paraId="502C957D" w14:textId="77777777" w:rsidR="00441EE5" w:rsidRPr="00441EE5" w:rsidRDefault="001A70AF">
      <w:pPr>
        <w:spacing w:line="360" w:lineRule="auto"/>
        <w:jc w:val="center"/>
        <w:rPr>
          <w:b/>
        </w:rPr>
      </w:pPr>
      <w:r w:rsidRPr="00441EE5">
        <w:rPr>
          <w:b/>
        </w:rPr>
        <w:t xml:space="preserve">Giudice Dott.ssa Carbini </w:t>
      </w:r>
    </w:p>
    <w:p w14:paraId="217CDA0A" w14:textId="1E152A26" w:rsidR="002A72D9" w:rsidRPr="00441EE5" w:rsidRDefault="00441EE5" w:rsidP="00441EE5">
      <w:pPr>
        <w:spacing w:line="360" w:lineRule="auto"/>
        <w:jc w:val="center"/>
        <w:rPr>
          <w:b/>
        </w:rPr>
      </w:pPr>
      <w:r w:rsidRPr="00441EE5">
        <w:rPr>
          <w:b/>
        </w:rPr>
        <w:t>Udienza 15.7.2026</w:t>
      </w:r>
    </w:p>
    <w:p w14:paraId="4DC5816E" w14:textId="77777777" w:rsidR="002A72D9" w:rsidRDefault="001A70AF">
      <w:pPr>
        <w:spacing w:line="360" w:lineRule="auto"/>
        <w:jc w:val="center"/>
      </w:pPr>
      <w:r>
        <w:rPr>
          <w:b/>
          <w:bCs/>
        </w:rPr>
        <w:t>COMPARSA DI COSTITUZIONE E RISPOSTA</w:t>
      </w:r>
    </w:p>
    <w:p w14:paraId="2D0343F6" w14:textId="77777777" w:rsidR="002A72D9" w:rsidRDefault="002A72D9">
      <w:pPr>
        <w:spacing w:line="360" w:lineRule="auto"/>
        <w:jc w:val="both"/>
      </w:pPr>
    </w:p>
    <w:p w14:paraId="7152F687" w14:textId="77777777" w:rsidR="002A72D9" w:rsidRDefault="001A70AF" w:rsidP="00224EA1">
      <w:pPr>
        <w:spacing w:line="360" w:lineRule="auto"/>
        <w:ind w:firstLine="708"/>
        <w:jc w:val="both"/>
      </w:pPr>
      <w:r>
        <w:rPr>
          <w:b/>
          <w:bCs/>
        </w:rPr>
        <w:t>PER: Comune</w:t>
      </w:r>
      <w:r>
        <w:t xml:space="preserve"> di </w:t>
      </w:r>
      <w:r>
        <w:rPr>
          <w:b/>
          <w:bCs/>
        </w:rPr>
        <w:t>BELFORTE ALL’ISAURO</w:t>
      </w:r>
      <w:r>
        <w:t xml:space="preserve"> (PU) (C.F. 82004150411), in persona del Sindaco pro tempore, domiciliato per la carica in Belforte all’Isauro (PU), Via Rossini n. 1, con PEC: comune.belforteisauro@emarche.it, rappresentato e difeso dall’Avv. _______________ (C.F. _______________), giusta procura in calce alla presente e Deliberazione di Giunta Comunale n. ___ del ___, con dichiarazione di voler ricevere le comunicazioni al seguente indirizzo PEC: _______________</w:t>
      </w:r>
    </w:p>
    <w:p w14:paraId="16C881CC" w14:textId="77777777" w:rsidR="002A72D9" w:rsidRDefault="002A72D9">
      <w:pPr>
        <w:spacing w:line="360" w:lineRule="auto"/>
        <w:jc w:val="both"/>
      </w:pPr>
    </w:p>
    <w:p w14:paraId="25282030" w14:textId="6E12F0E8" w:rsidR="002A72D9" w:rsidRDefault="001A70AF" w:rsidP="00224EA1">
      <w:pPr>
        <w:spacing w:line="360" w:lineRule="auto"/>
        <w:ind w:firstLine="708"/>
        <w:jc w:val="both"/>
      </w:pPr>
      <w:r>
        <w:rPr>
          <w:b/>
          <w:bCs/>
        </w:rPr>
        <w:t>CONTRO: MARCHE MULTISERVIZI S.p.A.</w:t>
      </w:r>
      <w:r>
        <w:t>, iscritta al Registro delle Imprese di Pesaro Urbino, C.F. e P. IVA 02059030417, con sede legale in Pesaro (PU), Via dei Canonici n. 144, C.A.P. 61122, in persona del legale rappresentante pro tempore l’Amministratore Delegato, Dott. Mauro Tiviroli, rappresentata e difesa dagli Avv.ti Giovanni Cicerchia e Antonella Tommassoni.</w:t>
      </w:r>
    </w:p>
    <w:p w14:paraId="16FD3626" w14:textId="77777777" w:rsidR="002A72D9" w:rsidRDefault="001A70AF" w:rsidP="00224EA1">
      <w:pPr>
        <w:spacing w:line="360" w:lineRule="auto"/>
        <w:ind w:firstLine="708"/>
      </w:pPr>
      <w:r>
        <w:rPr>
          <w:b/>
          <w:bCs/>
        </w:rPr>
        <w:t>PREMESSO</w:t>
      </w:r>
    </w:p>
    <w:p w14:paraId="75A7F959" w14:textId="31D0ABEC" w:rsidR="002A72D9" w:rsidRDefault="001A70AF" w:rsidP="009B5D7E">
      <w:pPr>
        <w:spacing w:line="360" w:lineRule="auto"/>
        <w:ind w:firstLine="708"/>
        <w:jc w:val="both"/>
      </w:pPr>
      <w:r>
        <w:t>Con ri</w:t>
      </w:r>
      <w:r w:rsidR="00224EA1">
        <w:t>corso in opposizione notificato,</w:t>
      </w:r>
      <w:r>
        <w:t xml:space="preserve"> in data 21 aprile 2026 (prot. n. 1294 del 22 aprile 2026)</w:t>
      </w:r>
      <w:r w:rsidR="00224EA1" w:rsidRPr="00224EA1">
        <w:t xml:space="preserve"> </w:t>
      </w:r>
      <w:r w:rsidR="00224EA1">
        <w:t>(</w:t>
      </w:r>
      <w:r w:rsidR="00224EA1" w:rsidRPr="00224EA1">
        <w:rPr>
          <w:b/>
        </w:rPr>
        <w:t>Doc. 1</w:t>
      </w:r>
      <w:r w:rsidR="00224EA1">
        <w:t>)</w:t>
      </w:r>
      <w:r>
        <w:t xml:space="preserve">, la società </w:t>
      </w:r>
      <w:r>
        <w:rPr>
          <w:b/>
          <w:bCs/>
        </w:rPr>
        <w:t>Marche Multiservizi S.p.A.</w:t>
      </w:r>
      <w:r>
        <w:t xml:space="preserve"> ha convenuto in giudizio il Comune di Belforte all’Isauro chiedendo al Tribunale adito di accogliere le seguenti conclusioni: in via principale, accertare e dichiarare: 1) l’insussistenza della soggettività passiva di Marche Multiservizi S.p.A. in relazione al </w:t>
      </w:r>
      <w:r w:rsidRPr="00224EA1">
        <w:rPr>
          <w:bCs/>
        </w:rPr>
        <w:t>canone unico patrimoniale per l’occupazione del suolo pubblico</w:t>
      </w:r>
      <w:r>
        <w:t xml:space="preserve"> (CUP) mediante le reti idriche e fognarie del Servizio Idrico Integrato e, per l’effetto, annullare integralmente l’avviso di </w:t>
      </w:r>
      <w:r>
        <w:rPr>
          <w:b/>
          <w:bCs/>
        </w:rPr>
        <w:t>accertamento esecutivo n. 1 del 27 marzo 2026</w:t>
      </w:r>
      <w:r w:rsidR="00224EA1">
        <w:rPr>
          <w:b/>
          <w:bCs/>
        </w:rPr>
        <w:t xml:space="preserve"> </w:t>
      </w:r>
      <w:r w:rsidR="00224EA1">
        <w:t>(</w:t>
      </w:r>
      <w:r w:rsidR="00224EA1" w:rsidRPr="00224EA1">
        <w:rPr>
          <w:b/>
        </w:rPr>
        <w:t xml:space="preserve">Doc. </w:t>
      </w:r>
      <w:r w:rsidR="00224EA1">
        <w:rPr>
          <w:b/>
        </w:rPr>
        <w:t>2</w:t>
      </w:r>
      <w:r w:rsidR="00224EA1">
        <w:t>)</w:t>
      </w:r>
      <w:r w:rsidR="00224EA1">
        <w:rPr>
          <w:b/>
          <w:bCs/>
        </w:rPr>
        <w:t>,</w:t>
      </w:r>
      <w:r>
        <w:t xml:space="preserve"> emesso dal Comune di Belforte all’Isauro; </w:t>
      </w:r>
      <w:r w:rsidR="00224EA1">
        <w:t xml:space="preserve">2) </w:t>
      </w:r>
      <w:r>
        <w:t xml:space="preserve">accertare e dichiarare il diritto di Marche Multiservizi S.p.A. alla ripetizione dell’indebito ex art. 2033 c.c. e condannare il Comune alla restituzione delle somme </w:t>
      </w:r>
      <w:r w:rsidRPr="00224EA1">
        <w:rPr>
          <w:i/>
        </w:rPr>
        <w:t>medio tempore</w:t>
      </w:r>
      <w:r>
        <w:t xml:space="preserve"> versate a titolo di canone unico patrimoniale per le occupazioni effettuate tramite gli impianti a rete afferenti il servizio idrico, pari ad € 5.375,30, oltre interessi legali; </w:t>
      </w:r>
      <w:r w:rsidR="00224EA1">
        <w:t>3</w:t>
      </w:r>
      <w:r>
        <w:t xml:space="preserve">) in via subordinata, accertare e dichiarare l’illegittimità della pretesa di un autonomo canone per la rete fognaria, in quanto costituente duplicazione di prelievo in violazione dell’art. 1, comma 831, L. 160/2019, e annullare l’avviso </w:t>
      </w:r>
      <w:r>
        <w:lastRenderedPageBreak/>
        <w:t>impugnato quanto almeno alla parte eccedente il canone già determinato sulle utenze complessive del Servizio Idrico Integrato; in ogni caso, dichiarare non dovute le sanzioni, gli interessi e gli oneri accessori richiesti dal Comune resistente.</w:t>
      </w:r>
    </w:p>
    <w:p w14:paraId="062E441B" w14:textId="61C35AB2" w:rsidR="002A72D9" w:rsidRDefault="00224EA1" w:rsidP="004F6E85">
      <w:pPr>
        <w:spacing w:line="360" w:lineRule="auto"/>
        <w:ind w:firstLine="708"/>
        <w:jc w:val="both"/>
      </w:pPr>
      <w:r>
        <w:t xml:space="preserve">L’accertamento oggetto di giudizio è stato </w:t>
      </w:r>
      <w:r w:rsidR="001A70AF">
        <w:t xml:space="preserve">emesso dal Comune di Belforte all’Isauro, </w:t>
      </w:r>
      <w:r>
        <w:t>per il recupero del</w:t>
      </w:r>
      <w:r w:rsidR="001A70AF">
        <w:t xml:space="preserve"> </w:t>
      </w:r>
      <w:r w:rsidR="001A70AF">
        <w:rPr>
          <w:b/>
          <w:bCs/>
        </w:rPr>
        <w:t>Canone Unico Patrimoniale (CUP)</w:t>
      </w:r>
      <w:r>
        <w:rPr>
          <w:b/>
          <w:bCs/>
        </w:rPr>
        <w:t xml:space="preserve">, </w:t>
      </w:r>
      <w:r w:rsidRPr="00224EA1">
        <w:rPr>
          <w:bCs/>
        </w:rPr>
        <w:t>dovuto per</w:t>
      </w:r>
      <w:r w:rsidR="001A70AF">
        <w:t xml:space="preserve"> gli anni d’imposta </w:t>
      </w:r>
      <w:r w:rsidR="001A70AF">
        <w:rPr>
          <w:b/>
          <w:bCs/>
        </w:rPr>
        <w:t>2021-2022-2023-2024</w:t>
      </w:r>
      <w:r w:rsidR="001A70AF">
        <w:t xml:space="preserve">, per un importo complessivo di </w:t>
      </w:r>
      <w:r w:rsidR="001A70AF">
        <w:rPr>
          <w:b/>
          <w:bCs/>
        </w:rPr>
        <w:t>€ 4.828,00</w:t>
      </w:r>
      <w:r>
        <w:rPr>
          <w:b/>
          <w:bCs/>
        </w:rPr>
        <w:t xml:space="preserve">, </w:t>
      </w:r>
      <w:r>
        <w:t>ai sensi de</w:t>
      </w:r>
      <w:r w:rsidR="001A70AF">
        <w:t>ll’art. 1, comma 831, della L. n. 160/2019, con riferimento al servizio di rete fognaria del Servizio Idrico Integrato erogato nel Comune di Belforte all’Isauro</w:t>
      </w:r>
      <w:r>
        <w:t>.</w:t>
      </w:r>
    </w:p>
    <w:p w14:paraId="2A8D2F03" w14:textId="28780B6B" w:rsidR="002A72D9" w:rsidRDefault="001A70AF" w:rsidP="004F6E85">
      <w:pPr>
        <w:spacing w:line="360" w:lineRule="auto"/>
        <w:ind w:firstLine="708"/>
        <w:jc w:val="both"/>
      </w:pPr>
      <w:r>
        <w:t xml:space="preserve">Va subito riferito </w:t>
      </w:r>
      <w:r w:rsidRPr="00224EA1">
        <w:rPr>
          <w:b/>
          <w:u w:val="single"/>
        </w:rPr>
        <w:t>che l’accertamento è stato preceduto da un’articolata fase di contraddittorio,</w:t>
      </w:r>
      <w:r>
        <w:t xml:space="preserve"> </w:t>
      </w:r>
      <w:r w:rsidRPr="00224EA1">
        <w:rPr>
          <w:b/>
        </w:rPr>
        <w:t>promossa dal Comune di Belforte all’Isauro</w:t>
      </w:r>
      <w:r>
        <w:t xml:space="preserve"> con l’ausilio della società Archivia Solution S.p.A., alla quale, con </w:t>
      </w:r>
      <w:r>
        <w:rPr>
          <w:b/>
          <w:bCs/>
        </w:rPr>
        <w:t>Determina R.G. n. 195 del 19 dicembre 2025</w:t>
      </w:r>
      <w:r>
        <w:t>, è stato affidato il servizio di supporto nella verifica della congruità dei versamenti CUP per gli anni 2021-2024 (</w:t>
      </w:r>
      <w:r w:rsidRPr="00224EA1">
        <w:rPr>
          <w:b/>
        </w:rPr>
        <w:t>Doc. 3</w:t>
      </w:r>
      <w:r>
        <w:t>).</w:t>
      </w:r>
    </w:p>
    <w:p w14:paraId="1CD46AE7" w14:textId="3BDFC70B" w:rsidR="002A72D9" w:rsidRDefault="00224EA1" w:rsidP="004F6E85">
      <w:pPr>
        <w:spacing w:line="360" w:lineRule="auto"/>
        <w:ind w:firstLine="708"/>
        <w:jc w:val="both"/>
      </w:pPr>
      <w:r>
        <w:t>Ed infatti, i</w:t>
      </w:r>
      <w:r w:rsidR="001A70AF">
        <w:t xml:space="preserve">n data </w:t>
      </w:r>
      <w:r w:rsidR="001A70AF">
        <w:rPr>
          <w:b/>
          <w:bCs/>
        </w:rPr>
        <w:t>19 febbraio 2026</w:t>
      </w:r>
      <w:r w:rsidR="001A70AF">
        <w:t>, Archivia Solution ha richiesto</w:t>
      </w:r>
      <w:r>
        <w:t>,</w:t>
      </w:r>
      <w:r w:rsidR="001A70AF">
        <w:t xml:space="preserve"> a Marche Multiservizi S.p.A.</w:t>
      </w:r>
      <w:r>
        <w:t>,</w:t>
      </w:r>
      <w:r w:rsidR="001A70AF">
        <w:t xml:space="preserve"> la trasmissione della dichiarazione delle utenze attive al 31 dicembre di ciascun anno e la documentazione dei versamenti effettuati, segnalando che</w:t>
      </w:r>
      <w:r>
        <w:t>,</w:t>
      </w:r>
      <w:r w:rsidR="001A70AF">
        <w:t xml:space="preserve"> dai controlli eseguiti sulla piattaforma PagoPA e sugli altri canali di pagamento</w:t>
      </w:r>
      <w:r>
        <w:t>,</w:t>
      </w:r>
      <w:r w:rsidR="001A70AF">
        <w:t xml:space="preserve"> era emerso che la società aveva versato il canone limitatamente al servizio di distribuzione idrica, omettendo il pagamento relativo al servizio di allaccio alla rete fognaria (</w:t>
      </w:r>
      <w:r w:rsidR="001A70AF" w:rsidRPr="00224EA1">
        <w:rPr>
          <w:b/>
        </w:rPr>
        <w:t>Doc. 4 e Doc. 5</w:t>
      </w:r>
      <w:r w:rsidR="001A70AF">
        <w:t>).</w:t>
      </w:r>
    </w:p>
    <w:p w14:paraId="10BF88CD" w14:textId="03F43903" w:rsidR="002A72D9" w:rsidRDefault="001A70AF" w:rsidP="004F6E85">
      <w:pPr>
        <w:spacing w:line="360" w:lineRule="auto"/>
        <w:ind w:firstLine="708"/>
        <w:jc w:val="both"/>
      </w:pPr>
      <w:r>
        <w:t xml:space="preserve">In data </w:t>
      </w:r>
      <w:r>
        <w:rPr>
          <w:b/>
          <w:bCs/>
        </w:rPr>
        <w:t>4 marzo 2026</w:t>
      </w:r>
      <w:r>
        <w:t xml:space="preserve"> (prot. n. 0002613/26), Marche Multiservizi S.p.A. ha riscontrato la suddetta richiesta eccependo la propria asserita non debenza del CUP per la rete fognaria, sostenendo la natura unitaria del Servizio Idrico Integrato e la conseguente impossibilità di duplicare il prelievo, diffidando Archivia Solution a ritirare la richiesta (</w:t>
      </w:r>
      <w:r w:rsidRPr="009A2466">
        <w:rPr>
          <w:b/>
        </w:rPr>
        <w:t>Doc. 6</w:t>
      </w:r>
      <w:r>
        <w:t>).</w:t>
      </w:r>
    </w:p>
    <w:p w14:paraId="718EC3DA" w14:textId="77777777" w:rsidR="002A72D9" w:rsidRDefault="001A70AF" w:rsidP="004F6E85">
      <w:pPr>
        <w:spacing w:line="360" w:lineRule="auto"/>
        <w:ind w:firstLine="708"/>
        <w:jc w:val="both"/>
      </w:pPr>
      <w:r>
        <w:t xml:space="preserve">A tale nota, Archivia Solution ha replicato, in data </w:t>
      </w:r>
      <w:r>
        <w:rPr>
          <w:b/>
          <w:bCs/>
        </w:rPr>
        <w:t>9 marzo 2026</w:t>
      </w:r>
      <w:r>
        <w:t>, confutando le argomentazioni di Marche Multiservizi, richiamando la sentenza della Corte di Cassazione, Sez. V, n. 2180 del 30 gennaio 2020, e reiterando la richiesta dei dati relativi alle utenze fognarie, con espressa avvertenza che in caso di inottemperanza si sarebbe proceduto ad accertamento induttivo (</w:t>
      </w:r>
      <w:r w:rsidRPr="009A2466">
        <w:rPr>
          <w:b/>
        </w:rPr>
        <w:t>Doc. 7 e Doc. 8</w:t>
      </w:r>
      <w:r>
        <w:t>).</w:t>
      </w:r>
    </w:p>
    <w:p w14:paraId="4CA50614" w14:textId="06E41343" w:rsidR="002A72D9" w:rsidRDefault="001A70AF" w:rsidP="004F6E85">
      <w:pPr>
        <w:spacing w:line="360" w:lineRule="auto"/>
        <w:ind w:firstLine="708"/>
        <w:jc w:val="both"/>
      </w:pPr>
      <w:r>
        <w:t xml:space="preserve">Con ulteriore nota del </w:t>
      </w:r>
      <w:r>
        <w:rPr>
          <w:b/>
          <w:bCs/>
        </w:rPr>
        <w:t>16 marzo 2026</w:t>
      </w:r>
      <w:r>
        <w:t xml:space="preserve"> (prot. n. 0003206/26), Marche Multiservizi ribadiva la propria posizione, continuando a non fornire i dati sulle utenze attive per il servizio fognario, diffidando nuovamente Archivia Solution a </w:t>
      </w:r>
      <w:r w:rsidR="009A2466">
        <w:t>non proseguire con l’azione di verifica prevista dalla legge</w:t>
      </w:r>
      <w:r>
        <w:t xml:space="preserve"> (</w:t>
      </w:r>
      <w:r w:rsidRPr="009A2466">
        <w:rPr>
          <w:b/>
        </w:rPr>
        <w:t>Doc. 9</w:t>
      </w:r>
      <w:r>
        <w:t>).</w:t>
      </w:r>
    </w:p>
    <w:p w14:paraId="6CAC46DD" w14:textId="77777777" w:rsidR="009A2466" w:rsidRDefault="001A70AF" w:rsidP="004F6E85">
      <w:pPr>
        <w:spacing w:line="360" w:lineRule="auto"/>
        <w:ind w:firstLine="708"/>
        <w:jc w:val="both"/>
      </w:pPr>
      <w:r>
        <w:lastRenderedPageBreak/>
        <w:t>Stante la perdurante inadempienza della società, il Comune ha</w:t>
      </w:r>
      <w:r w:rsidR="009A2466">
        <w:t>, quindi,</w:t>
      </w:r>
      <w:r>
        <w:t xml:space="preserve"> proceduto all’emissione dell’avviso di accertamento in via induttiva, </w:t>
      </w:r>
      <w:r w:rsidR="009A2466">
        <w:t xml:space="preserve">per cui è causa, </w:t>
      </w:r>
      <w:r>
        <w:t xml:space="preserve">sulla base dei dati statistici desunti dalle relazioni annuali di ARERA e dalla popolazione residente nel Comune, determinando le utenze attive riconducibili al servizio di rete fognaria nelle misure indicate nell’atto, </w:t>
      </w:r>
      <w:r w:rsidR="009A2466">
        <w:t xml:space="preserve">il cui numero comunque non travalica </w:t>
      </w:r>
      <w:r>
        <w:t xml:space="preserve">la quota minima del canone dovuto, pari a € 800,00 per il 2021, con adeguamento ISTAT per le annualità successive. </w:t>
      </w:r>
    </w:p>
    <w:p w14:paraId="44F4A068" w14:textId="097871A4" w:rsidR="002A72D9" w:rsidRDefault="001A70AF" w:rsidP="004F6E85">
      <w:pPr>
        <w:spacing w:line="360" w:lineRule="auto"/>
        <w:ind w:firstLine="708"/>
        <w:jc w:val="both"/>
      </w:pPr>
      <w:r>
        <w:t>La notifica dell’avviso è avvenuta in data 8 aprile 2026 (</w:t>
      </w:r>
      <w:r w:rsidRPr="004D558E">
        <w:rPr>
          <w:b/>
        </w:rPr>
        <w:t>Doc. 10</w:t>
      </w:r>
      <w:r>
        <w:t>).</w:t>
      </w:r>
    </w:p>
    <w:p w14:paraId="2ED30A43" w14:textId="77777777" w:rsidR="004F6E85" w:rsidRDefault="001A70AF" w:rsidP="004F6E85">
      <w:pPr>
        <w:spacing w:line="360" w:lineRule="auto"/>
        <w:ind w:firstLine="708"/>
        <w:jc w:val="both"/>
      </w:pPr>
      <w:r>
        <w:t xml:space="preserve">A sostegno delle proprie ragioni, Marche Multiservizi rileva: </w:t>
      </w:r>
    </w:p>
    <w:p w14:paraId="6009879D" w14:textId="4E83D4FD" w:rsidR="004F6E85" w:rsidRDefault="001A70AF" w:rsidP="004D558E">
      <w:pPr>
        <w:pStyle w:val="Paragrafoelenco"/>
        <w:numPr>
          <w:ilvl w:val="0"/>
          <w:numId w:val="2"/>
        </w:numPr>
        <w:spacing w:line="360" w:lineRule="auto"/>
        <w:ind w:left="0" w:firstLine="708"/>
        <w:jc w:val="both"/>
      </w:pPr>
      <w:r>
        <w:t xml:space="preserve">di non essere proprietaria delle reti idriche e fognarie insistenti sul territorio del Comune di Belforte all’Isauro, né titolare di una concessione autonoma di occupazione del suolo pubblico; </w:t>
      </w:r>
    </w:p>
    <w:p w14:paraId="0AADD54E" w14:textId="7425290B" w:rsidR="004F6E85" w:rsidRDefault="001A70AF" w:rsidP="004D558E">
      <w:pPr>
        <w:pStyle w:val="Paragrafoelenco"/>
        <w:numPr>
          <w:ilvl w:val="0"/>
          <w:numId w:val="2"/>
        </w:numPr>
        <w:spacing w:line="360" w:lineRule="auto"/>
        <w:ind w:left="0" w:firstLine="708"/>
        <w:jc w:val="both"/>
      </w:pPr>
      <w:r>
        <w:t>che le reti costituiscono beni demaniali pubblici di cui l</w:t>
      </w:r>
      <w:r w:rsidR="004D558E">
        <w:t xml:space="preserve">a società </w:t>
      </w:r>
      <w:r>
        <w:t xml:space="preserve">ha mera detenzione funzionale; </w:t>
      </w:r>
    </w:p>
    <w:p w14:paraId="346EBD22" w14:textId="1AB7FA0D" w:rsidR="004F6E85" w:rsidRDefault="001A70AF" w:rsidP="004D558E">
      <w:pPr>
        <w:pStyle w:val="Paragrafoelenco"/>
        <w:numPr>
          <w:ilvl w:val="0"/>
          <w:numId w:val="2"/>
        </w:numPr>
        <w:spacing w:line="360" w:lineRule="auto"/>
        <w:ind w:left="0" w:firstLine="708"/>
        <w:jc w:val="both"/>
      </w:pPr>
      <w:r>
        <w:t xml:space="preserve">che difetterebbe pertanto sia il presupposto soggettivo che il presupposto oggettivo del canone; </w:t>
      </w:r>
    </w:p>
    <w:p w14:paraId="4A5B617C" w14:textId="2897E070" w:rsidR="002A72D9" w:rsidRDefault="001A70AF" w:rsidP="004D558E">
      <w:pPr>
        <w:pStyle w:val="Paragrafoelenco"/>
        <w:numPr>
          <w:ilvl w:val="0"/>
          <w:numId w:val="2"/>
        </w:numPr>
        <w:spacing w:line="360" w:lineRule="auto"/>
        <w:ind w:left="0" w:firstLine="709"/>
        <w:jc w:val="both"/>
      </w:pPr>
      <w:r>
        <w:t>che, in ogni caso, il comma 831 imporrebbe un canone unitario per il servizio a rete, non per singole componenti dello stesso; e che le sanzioni e gli interessi sarebbero comunque non dovuti.</w:t>
      </w:r>
    </w:p>
    <w:p w14:paraId="5A355383" w14:textId="77777777" w:rsidR="002A72D9" w:rsidRDefault="001A70AF" w:rsidP="004F6E85">
      <w:pPr>
        <w:spacing w:line="360" w:lineRule="auto"/>
        <w:ind w:firstLine="708"/>
        <w:jc w:val="both"/>
      </w:pPr>
      <w:r>
        <w:t>L’opposizione è infondata in fatto e in diritto.</w:t>
      </w:r>
    </w:p>
    <w:p w14:paraId="67A763C0" w14:textId="77777777" w:rsidR="002A72D9" w:rsidRDefault="001A70AF" w:rsidP="004F6E85">
      <w:pPr>
        <w:spacing w:line="360" w:lineRule="auto"/>
        <w:ind w:firstLine="708"/>
        <w:jc w:val="both"/>
      </w:pPr>
      <w:r>
        <w:t>Con il presente atto si costituisce in giudizio il Comune di Belforte all’Isauro, come sopra rappresentato e difeso, che contesta integralmente le avverse domande delle quali chiede l’integrale rigetto per i seguenti</w:t>
      </w:r>
    </w:p>
    <w:p w14:paraId="7EC6BDD4" w14:textId="77777777" w:rsidR="002A72D9" w:rsidRDefault="001A70AF">
      <w:pPr>
        <w:spacing w:line="360" w:lineRule="auto"/>
        <w:jc w:val="center"/>
      </w:pPr>
      <w:r>
        <w:rPr>
          <w:b/>
          <w:bCs/>
        </w:rPr>
        <w:t>MOTIVI</w:t>
      </w:r>
    </w:p>
    <w:p w14:paraId="6577F41B" w14:textId="77777777" w:rsidR="002A72D9" w:rsidRDefault="001A70AF" w:rsidP="004D558E">
      <w:pPr>
        <w:spacing w:line="360" w:lineRule="auto"/>
        <w:ind w:firstLine="708"/>
        <w:jc w:val="both"/>
      </w:pPr>
      <w:r>
        <w:rPr>
          <w:b/>
          <w:bCs/>
          <w:u w:val="single"/>
        </w:rPr>
        <w:t>1. SUSSISTENZA DELLA SOGGETTIVITÀ PASSIVA DI MARCHE MULTISERVIZI S.P.A. – LEGITTIMITÀ DELLA PRETESA IMPOSITIVA EX ART. 1, COMMA 831, L. N. 160/2019</w:t>
      </w:r>
    </w:p>
    <w:p w14:paraId="45DCA97E" w14:textId="77777777" w:rsidR="002A72D9" w:rsidRDefault="002A72D9">
      <w:pPr>
        <w:spacing w:line="360" w:lineRule="auto"/>
        <w:jc w:val="both"/>
      </w:pPr>
    </w:p>
    <w:p w14:paraId="3D5F2003" w14:textId="77777777" w:rsidR="002A72D9" w:rsidRDefault="001A70AF" w:rsidP="004F6E85">
      <w:pPr>
        <w:spacing w:line="360" w:lineRule="auto"/>
        <w:ind w:firstLine="708"/>
        <w:jc w:val="both"/>
      </w:pPr>
      <w:r>
        <w:rPr>
          <w:b/>
          <w:bCs/>
          <w:u w:val="single"/>
        </w:rPr>
        <w:t>Prima di entrare nel merito, si rende opportuno un inquadramento sui presupposti normativi della soggettività passiva dei gestori dei servizi a rete.</w:t>
      </w:r>
    </w:p>
    <w:p w14:paraId="3488C205" w14:textId="77777777" w:rsidR="002A72D9" w:rsidRDefault="001A70AF" w:rsidP="004F6E85">
      <w:pPr>
        <w:spacing w:line="360" w:lineRule="auto"/>
        <w:ind w:firstLine="708"/>
        <w:jc w:val="both"/>
      </w:pPr>
      <w:r>
        <w:t xml:space="preserve">Ai sensi dell’art. 1, comma 831, della Legge n. 160/2019, il Canone Unico Patrimoniale è dovuto in favore dei Comuni e delle Province da parte </w:t>
      </w:r>
      <w:r>
        <w:rPr>
          <w:b/>
          <w:bCs/>
        </w:rPr>
        <w:t>delle aziende che erogano servizi di pubblica utilità</w:t>
      </w:r>
      <w:r>
        <w:t xml:space="preserve"> e che, </w:t>
      </w:r>
      <w:r w:rsidRPr="004D558E">
        <w:rPr>
          <w:b/>
        </w:rPr>
        <w:t>a qualunque titolo</w:t>
      </w:r>
      <w:r>
        <w:t xml:space="preserve">, </w:t>
      </w:r>
      <w:r>
        <w:rPr>
          <w:b/>
          <w:bCs/>
        </w:rPr>
        <w:t>anche gratuito</w:t>
      </w:r>
      <w:r>
        <w:t xml:space="preserve">, occupano o conducono le infrastrutture destinate all’erogazione di servizi quali energia </w:t>
      </w:r>
      <w:r>
        <w:lastRenderedPageBreak/>
        <w:t>elettrica, gas, acqua, calore, servizi di telecomunicazione, radiotelevisivi e altri servizi a rete.</w:t>
      </w:r>
    </w:p>
    <w:p w14:paraId="4987E3AF" w14:textId="77777777" w:rsidR="004D558E" w:rsidRDefault="001A70AF" w:rsidP="004F6E85">
      <w:pPr>
        <w:spacing w:line="360" w:lineRule="auto"/>
        <w:ind w:firstLine="708"/>
        <w:jc w:val="both"/>
      </w:pPr>
      <w:r>
        <w:t xml:space="preserve">Il Legislatore ha </w:t>
      </w:r>
      <w:r>
        <w:rPr>
          <w:b/>
          <w:bCs/>
        </w:rPr>
        <w:t>espressamente previsto</w:t>
      </w:r>
      <w:r>
        <w:t xml:space="preserve"> il pagamento del canone anche per i servizi idrici, la cui rete, secondo la normativa vigente, rimane di proprietà pubblica e viene concessa in uso gratuito al gestore del servizio. </w:t>
      </w:r>
    </w:p>
    <w:p w14:paraId="66365EEB" w14:textId="6783E227" w:rsidR="002A72D9" w:rsidRDefault="001A70AF" w:rsidP="004F6E85">
      <w:pPr>
        <w:spacing w:line="360" w:lineRule="auto"/>
        <w:ind w:firstLine="708"/>
        <w:jc w:val="both"/>
      </w:pPr>
      <w:r>
        <w:t>La stessa formulazione della norma (</w:t>
      </w:r>
      <w:r>
        <w:rPr>
          <w:i/>
          <w:iCs/>
        </w:rPr>
        <w:t>“Per le occupazioni permanenti del territorio comunale, con cavi e condutture, da chiunque effettuata per la fornitura di servizi di pubblica utilità, quali la distribuzione ed erogazione di energia elettrica, gas, acqua, calore, di servizi di telecomunicazione e radiotelevisivi e di altri servizi a rete, il canone è dovuto dal soggetto titolare dell’atto di concessione dell’occupazione del suolo pubblico e dai soggetti che occupano il suolo pubblico, anche in via mediata, attraverso l’utilizzo materiale delle infrastrutture del soggetto titolare della concessione sulla base del numero delle rispettive utenze moltiplicate per la seguente tariffa forfetaria”</w:t>
      </w:r>
      <w:r>
        <w:t xml:space="preserve">) — che prevede la soggettività per l’occupazione </w:t>
      </w:r>
      <w:r w:rsidRPr="004D558E">
        <w:rPr>
          <w:b/>
          <w:u w:val="single"/>
        </w:rPr>
        <w:t>da chiunque effettuata</w:t>
      </w:r>
      <w:r>
        <w:t xml:space="preserve"> — dimostra inequivocabilmente che la gratuità del titolo di utilizzo della rete non incide sulla debenza del canone.</w:t>
      </w:r>
    </w:p>
    <w:p w14:paraId="298AA637" w14:textId="72716830" w:rsidR="002A72D9" w:rsidRDefault="001A70AF" w:rsidP="004D558E">
      <w:pPr>
        <w:spacing w:line="360" w:lineRule="auto"/>
        <w:ind w:firstLine="708"/>
        <w:jc w:val="both"/>
      </w:pPr>
      <w:r>
        <w:rPr>
          <w:b/>
          <w:bCs/>
          <w:u w:val="single"/>
        </w:rPr>
        <w:t>Infondatezza dell’eccezione relativa alla mancanza del presupposto soggettivo.</w:t>
      </w:r>
    </w:p>
    <w:p w14:paraId="645CE0FB" w14:textId="77777777" w:rsidR="002A72D9" w:rsidRDefault="001A70AF" w:rsidP="004D558E">
      <w:pPr>
        <w:spacing w:line="360" w:lineRule="auto"/>
        <w:ind w:firstLine="708"/>
        <w:jc w:val="both"/>
      </w:pPr>
      <w:r>
        <w:t>Marche Multiservizi sostiene di non essere soggetto passivo del canone poiché non sarebbe proprietaria delle reti idriche e fognarie e non sarebbe titolare di una concessione autonoma di occupazione del suolo pubblico, operando esclusivamente quale gestore del Servizio Idrico Integrato in forza della Convenzione di regolazione stipulata con l’Autorità d’Ambito Territoriale Ottimale n. 1 Marche Nord.</w:t>
      </w:r>
    </w:p>
    <w:p w14:paraId="7BA02D16" w14:textId="77777777" w:rsidR="002A72D9" w:rsidRDefault="001A70AF" w:rsidP="004D558E">
      <w:pPr>
        <w:spacing w:line="360" w:lineRule="auto"/>
        <w:ind w:firstLine="708"/>
        <w:jc w:val="both"/>
      </w:pPr>
      <w:r>
        <w:t>L’argomento è radicalmente infondato.</w:t>
      </w:r>
    </w:p>
    <w:p w14:paraId="3179E9E5" w14:textId="77777777" w:rsidR="004D558E" w:rsidRDefault="001A70AF" w:rsidP="004F6E85">
      <w:pPr>
        <w:spacing w:line="360" w:lineRule="auto"/>
        <w:ind w:firstLine="708"/>
        <w:jc w:val="both"/>
      </w:pPr>
      <w:r>
        <w:t xml:space="preserve">La norma di cui al comma 831 è inequivoca nell’individuare il soggetto passivo non già nel proprietario delle reti, bensì in chi </w:t>
      </w:r>
      <w:r>
        <w:rPr>
          <w:b/>
          <w:bCs/>
        </w:rPr>
        <w:t>utilizza materialmente</w:t>
      </w:r>
      <w:r>
        <w:t xml:space="preserve"> le infrastrutture per l’erogazione del servizio, sia esso titolare diretto della concessione o occupante </w:t>
      </w:r>
      <w:r>
        <w:rPr>
          <w:b/>
          <w:bCs/>
        </w:rPr>
        <w:t>in via mediata</w:t>
      </w:r>
      <w:r>
        <w:t xml:space="preserve">. </w:t>
      </w:r>
    </w:p>
    <w:p w14:paraId="3E169A00" w14:textId="7D369187" w:rsidR="002A72D9" w:rsidRDefault="001A70AF" w:rsidP="004F6E85">
      <w:pPr>
        <w:spacing w:line="360" w:lineRule="auto"/>
        <w:ind w:firstLine="708"/>
        <w:jc w:val="both"/>
      </w:pPr>
      <w:r>
        <w:t>Marche Multiservizi, quale gestore del SII, utilizza materialmente le condotte idriche e fognarie insistenti sul suolo pubblico del Comune di Belforte all’Isauro: è dunque soggetto passivo a tutti gli effetti di legge.</w:t>
      </w:r>
    </w:p>
    <w:p w14:paraId="2B1362CE" w14:textId="77777777" w:rsidR="004D558E" w:rsidRDefault="001A70AF" w:rsidP="004F6E85">
      <w:pPr>
        <w:spacing w:line="360" w:lineRule="auto"/>
        <w:ind w:firstLine="708"/>
        <w:jc w:val="both"/>
      </w:pPr>
      <w:r>
        <w:t xml:space="preserve">La tesi di Marche Multiservizi secondo cui l’occupazione sarebbe </w:t>
      </w:r>
      <w:r w:rsidRPr="004D558E">
        <w:rPr>
          <w:i/>
        </w:rPr>
        <w:t>“giuridicamente ed economicamente riferibile all’ente pubblico proprietario della rete, non al gestore</w:t>
      </w:r>
      <w:r>
        <w:t xml:space="preserve">” è smentita dalla lettera stessa della norma, che distingue </w:t>
      </w:r>
      <w:r>
        <w:lastRenderedPageBreak/>
        <w:t xml:space="preserve">espressamente tra titolare della concessione e soggetti che occupano il suolo </w:t>
      </w:r>
      <w:r>
        <w:rPr>
          <w:i/>
          <w:iCs/>
        </w:rPr>
        <w:t>“anche in via mediata”</w:t>
      </w:r>
      <w:r>
        <w:t xml:space="preserve">. </w:t>
      </w:r>
    </w:p>
    <w:p w14:paraId="2C8D2822" w14:textId="237AC6A2" w:rsidR="002A72D9" w:rsidRDefault="001A70AF" w:rsidP="004F6E85">
      <w:pPr>
        <w:spacing w:line="360" w:lineRule="auto"/>
        <w:ind w:firstLine="708"/>
        <w:jc w:val="both"/>
      </w:pPr>
      <w:r>
        <w:t xml:space="preserve">Se il Legislatore avesse inteso limitare la soggettività passiva al solo proprietario delle infrastrutture, non avrebbe incluso questa clausola </w:t>
      </w:r>
      <w:r w:rsidR="004D558E">
        <w:t>inclusiva</w:t>
      </w:r>
      <w:r>
        <w:t>.</w:t>
      </w:r>
    </w:p>
    <w:p w14:paraId="23B614CB" w14:textId="77777777" w:rsidR="004D558E" w:rsidRDefault="001A70AF" w:rsidP="004F6E85">
      <w:pPr>
        <w:spacing w:line="360" w:lineRule="auto"/>
        <w:ind w:firstLine="708"/>
        <w:jc w:val="both"/>
      </w:pPr>
      <w:r>
        <w:t>Del tutto irrilevante è</w:t>
      </w:r>
      <w:r w:rsidR="004D558E">
        <w:t>,</w:t>
      </w:r>
      <w:r>
        <w:t xml:space="preserve"> poi</w:t>
      </w:r>
      <w:r w:rsidR="004D558E">
        <w:t>,</w:t>
      </w:r>
      <w:r>
        <w:t xml:space="preserve"> il richiamo alla </w:t>
      </w:r>
      <w:r w:rsidRPr="004D558E">
        <w:rPr>
          <w:b/>
          <w:u w:val="single"/>
        </w:rPr>
        <w:t>Convenzione ATO, che regola i rapporti interni tra il gestore e l’Autorità d’Ambito,</w:t>
      </w:r>
      <w:r>
        <w:t xml:space="preserve"> ma </w:t>
      </w:r>
      <w:r w:rsidRPr="004D558E">
        <w:rPr>
          <w:b/>
          <w:u w:val="single"/>
        </w:rPr>
        <w:t>non può modificare gli obblighi di legge nei confronti del Comune</w:t>
      </w:r>
      <w:r>
        <w:t xml:space="preserve">. </w:t>
      </w:r>
    </w:p>
    <w:p w14:paraId="20B9BFD1" w14:textId="4F8CD0B9" w:rsidR="002A72D9" w:rsidRPr="00BF110A" w:rsidRDefault="001A70AF" w:rsidP="004F6E85">
      <w:pPr>
        <w:spacing w:line="360" w:lineRule="auto"/>
        <w:ind w:firstLine="708"/>
        <w:jc w:val="both"/>
        <w:rPr>
          <w:b/>
          <w:u w:val="single"/>
        </w:rPr>
      </w:pPr>
      <w:r>
        <w:t xml:space="preserve">Parimenti irrilevante è la circostanza che i beni, alla cessazione dell’affidamento, vengano restituiti all’ATO: </w:t>
      </w:r>
      <w:r w:rsidR="004D558E">
        <w:t xml:space="preserve">ed infatti, in questo caso, </w:t>
      </w:r>
      <w:r>
        <w:t xml:space="preserve">si tratta di una </w:t>
      </w:r>
      <w:r w:rsidRPr="00BF110A">
        <w:rPr>
          <w:b/>
          <w:bCs/>
          <w:u w:val="single"/>
        </w:rPr>
        <w:t>mera restituzione di beni già altrui</w:t>
      </w:r>
      <w:r>
        <w:t xml:space="preserve">, </w:t>
      </w:r>
      <w:r w:rsidRPr="00BF110A">
        <w:rPr>
          <w:b/>
          <w:u w:val="single"/>
        </w:rPr>
        <w:t>non di una devoluzione di beni propri</w:t>
      </w:r>
      <w:r>
        <w:t xml:space="preserve">, e </w:t>
      </w:r>
      <w:r w:rsidRPr="00BF110A">
        <w:rPr>
          <w:b/>
          <w:u w:val="single"/>
        </w:rPr>
        <w:t>non integra in alcun modo il presupposto per l’esenzione di cui all’art. 1, comma 833, lett. d), L. n. 160/2019, che presuppone la costruzione di impianti propri a proprie spese destinati ad essere ceduti gratuitamente.</w:t>
      </w:r>
    </w:p>
    <w:p w14:paraId="2CE8344D" w14:textId="77777777" w:rsidR="00F67CFB" w:rsidRDefault="001A70AF" w:rsidP="004F6E85">
      <w:pPr>
        <w:spacing w:line="360" w:lineRule="auto"/>
        <w:ind w:firstLine="708"/>
        <w:jc w:val="both"/>
      </w:pPr>
      <w:r>
        <w:t xml:space="preserve">In questo senso si è orientata costantemente la giurisprudenza. </w:t>
      </w:r>
    </w:p>
    <w:p w14:paraId="58B1DD94" w14:textId="0AE5CCA3" w:rsidR="002A72D9" w:rsidRDefault="001A70AF" w:rsidP="004F6E85">
      <w:pPr>
        <w:spacing w:line="360" w:lineRule="auto"/>
        <w:ind w:firstLine="708"/>
        <w:jc w:val="both"/>
      </w:pPr>
      <w:r>
        <w:t>La Corte di Cassazione, Sez. V, con la sentenza n. 2180 del 30 gennaio 2020 (</w:t>
      </w:r>
      <w:r w:rsidRPr="00F67CFB">
        <w:rPr>
          <w:b/>
        </w:rPr>
        <w:t>Doc. 11</w:t>
      </w:r>
      <w:r>
        <w:t xml:space="preserve">) — richiamata dalla stessa Marche Multiservizi, ma per un profilo del tutto diverso — ha affermato che le condotte fognarie </w:t>
      </w:r>
      <w:r>
        <w:rPr>
          <w:i/>
          <w:iCs/>
        </w:rPr>
        <w:t>“si differenziano da quella delle condotte idriche sicché non si può parlare di una duplicazione di tassazione”</w:t>
      </w:r>
      <w:r>
        <w:t>, confermando così che le condotte idriche e fognarie sono presupposto imponibile autonomo e che il gestore è soggetto passivo per entrambe le componenti.</w:t>
      </w:r>
    </w:p>
    <w:p w14:paraId="7AB1B43A" w14:textId="77777777" w:rsidR="00A05A9A" w:rsidRDefault="001A70AF" w:rsidP="003E2B1D">
      <w:pPr>
        <w:spacing w:line="360" w:lineRule="auto"/>
        <w:ind w:firstLine="708"/>
        <w:jc w:val="both"/>
      </w:pPr>
      <w:r>
        <w:t xml:space="preserve">Quanto alla circostanza che Marche Multiservizi opera in forza di un affidamento </w:t>
      </w:r>
      <w:r w:rsidRPr="00A05A9A">
        <w:rPr>
          <w:i/>
        </w:rPr>
        <w:t>in house</w:t>
      </w:r>
      <w:r>
        <w:t xml:space="preserve">, è principio pacifico in giurisprudenza che il controllo pubblico dominante non incide sull’alterità soggettiva della società rispetto all’amministrazione pubblica, in quanto la società </w:t>
      </w:r>
      <w:r w:rsidRPr="00A05A9A">
        <w:rPr>
          <w:i/>
        </w:rPr>
        <w:t>in house</w:t>
      </w:r>
      <w:r>
        <w:t xml:space="preserve"> rappresenta pur sempre un centro di imputazione di rapporti e posizioni giuridiche soggettive diverso dall’ente partecipante. </w:t>
      </w:r>
    </w:p>
    <w:p w14:paraId="032C9FA9" w14:textId="017EDB5A" w:rsidR="002A72D9" w:rsidRDefault="001A70AF" w:rsidP="003E2B1D">
      <w:pPr>
        <w:spacing w:line="360" w:lineRule="auto"/>
        <w:ind w:firstLine="708"/>
        <w:jc w:val="both"/>
      </w:pPr>
      <w:r>
        <w:t>Ne consegue che l’occupazione del suolo non può essere imputata direttamente al Comune.</w:t>
      </w:r>
    </w:p>
    <w:p w14:paraId="53567BD1" w14:textId="77777777" w:rsidR="00A05A9A" w:rsidRDefault="001A70AF" w:rsidP="003E2B1D">
      <w:pPr>
        <w:spacing w:line="360" w:lineRule="auto"/>
        <w:ind w:firstLine="708"/>
        <w:jc w:val="both"/>
      </w:pPr>
      <w:r>
        <w:t xml:space="preserve">Peraltro, </w:t>
      </w:r>
      <w:r w:rsidR="00A05A9A">
        <w:t xml:space="preserve">come detto </w:t>
      </w:r>
      <w:r>
        <w:t xml:space="preserve">ai sensi dell’art. 1, comma 833, lett. d), L. n. 160/2019, l’esenzione presuppone la devoluzione gratuita di impianti </w:t>
      </w:r>
      <w:r>
        <w:rPr>
          <w:b/>
          <w:bCs/>
          <w:u w:val="single"/>
        </w:rPr>
        <w:t>al Comune</w:t>
      </w:r>
      <w:r>
        <w:t xml:space="preserve">: nel caso di specie, </w:t>
      </w:r>
      <w:r w:rsidRPr="00A05A9A">
        <w:rPr>
          <w:b/>
          <w:u w:val="single"/>
        </w:rPr>
        <w:t>la restituzione al termine dell’affidamento avverrà in favore dell’Autorità d’Ambito ATO 1 Marche Nord, e non in favore del Comune di Belforte all’Isauro</w:t>
      </w:r>
      <w:r>
        <w:t xml:space="preserve">. </w:t>
      </w:r>
    </w:p>
    <w:p w14:paraId="2FF78309" w14:textId="13558831" w:rsidR="002A72D9" w:rsidRDefault="001A70AF" w:rsidP="003E2B1D">
      <w:pPr>
        <w:spacing w:line="360" w:lineRule="auto"/>
        <w:ind w:firstLine="708"/>
        <w:jc w:val="both"/>
      </w:pPr>
      <w:r>
        <w:t>Anche sotto questo profilo soggettivo, dunque, l’esenzione non è applicabile.</w:t>
      </w:r>
    </w:p>
    <w:p w14:paraId="2D961D4F" w14:textId="37D8EDB9" w:rsidR="002A72D9" w:rsidRDefault="001A70AF" w:rsidP="00A05A9A">
      <w:pPr>
        <w:spacing w:line="360" w:lineRule="auto"/>
        <w:ind w:firstLine="708"/>
        <w:jc w:val="both"/>
      </w:pPr>
      <w:r>
        <w:rPr>
          <w:b/>
          <w:bCs/>
          <w:u w:val="single"/>
        </w:rPr>
        <w:t>Irrilevanza del precedente della Commissione Tributaria Provinciale di Pesaro.</w:t>
      </w:r>
    </w:p>
    <w:p w14:paraId="4E57553D" w14:textId="77777777" w:rsidR="00A05A9A" w:rsidRDefault="001A70AF" w:rsidP="003E2B1D">
      <w:pPr>
        <w:spacing w:line="360" w:lineRule="auto"/>
        <w:ind w:firstLine="708"/>
        <w:jc w:val="both"/>
      </w:pPr>
      <w:r>
        <w:lastRenderedPageBreak/>
        <w:t xml:space="preserve">Marche Multiservizi richiama la </w:t>
      </w:r>
      <w:r w:rsidR="00A05A9A">
        <w:t xml:space="preserve">datata </w:t>
      </w:r>
      <w:r>
        <w:t xml:space="preserve">sentenza n. 390/01/11 della Commissione Tributaria Provinciale di Pesaro, che avrebbe escluso la soggettività passiva della stessa società in relazione alla TOSAP (Tassa Occupazione Spazi e Aree Pubbliche). </w:t>
      </w:r>
    </w:p>
    <w:p w14:paraId="5DE9BB87" w14:textId="557A4289" w:rsidR="002A72D9" w:rsidRDefault="001A70AF" w:rsidP="003E2B1D">
      <w:pPr>
        <w:spacing w:line="360" w:lineRule="auto"/>
        <w:ind w:firstLine="708"/>
        <w:jc w:val="both"/>
      </w:pPr>
      <w:r>
        <w:t>Tale precedente è del tutto inidoneo a supportare la tesi della ricorrente, per le seguenti ragioni.</w:t>
      </w:r>
    </w:p>
    <w:p w14:paraId="647772C1" w14:textId="77777777" w:rsidR="00A05A9A" w:rsidRDefault="001A70AF" w:rsidP="003E2B1D">
      <w:pPr>
        <w:spacing w:line="360" w:lineRule="auto"/>
        <w:ind w:firstLine="708"/>
        <w:jc w:val="both"/>
      </w:pPr>
      <w:r>
        <w:t xml:space="preserve">In primo luogo, la decisione della CTP di Pesaro si riferisce alla </w:t>
      </w:r>
      <w:r>
        <w:rPr>
          <w:b/>
          <w:bCs/>
        </w:rPr>
        <w:t>TOSAP</w:t>
      </w:r>
      <w:r>
        <w:t xml:space="preserve">, disciplinata dal d.lgs. n. 507/1993, oggi integralmente abrogato e sostituito dal Canone Unico Patrimoniale istituito dalla Legge n. 160/2019. </w:t>
      </w:r>
    </w:p>
    <w:p w14:paraId="3310A07E" w14:textId="7C0818D2" w:rsidR="002A72D9" w:rsidRPr="00A05A9A" w:rsidRDefault="001A70AF" w:rsidP="003E2B1D">
      <w:pPr>
        <w:spacing w:line="360" w:lineRule="auto"/>
        <w:ind w:firstLine="708"/>
        <w:jc w:val="both"/>
        <w:rPr>
          <w:b/>
          <w:u w:val="single"/>
        </w:rPr>
      </w:pPr>
      <w:r>
        <w:t xml:space="preserve">La normativa vigente è strutturalmente diversa: </w:t>
      </w:r>
      <w:r w:rsidR="00A05A9A">
        <w:t xml:space="preserve">ed infatti, </w:t>
      </w:r>
      <w:r>
        <w:t xml:space="preserve">mentre la TOSAP era parametrata all’estensione dell’area occupata, il comma 831 adotta un criterio </w:t>
      </w:r>
      <w:r>
        <w:rPr>
          <w:b/>
          <w:bCs/>
        </w:rPr>
        <w:t>forfetario e unitario</w:t>
      </w:r>
      <w:r>
        <w:t xml:space="preserve">, basato sul </w:t>
      </w:r>
      <w:r w:rsidRPr="00A05A9A">
        <w:rPr>
          <w:b/>
          <w:u w:val="single"/>
        </w:rPr>
        <w:t>numero complessivo delle utenze del servizio a rete, indipendentemente dalle singole tratte o componenti dell’infrastruttura.</w:t>
      </w:r>
    </w:p>
    <w:p w14:paraId="6ABA5AC6" w14:textId="77777777" w:rsidR="002A72D9" w:rsidRDefault="001A70AF" w:rsidP="003E2B1D">
      <w:pPr>
        <w:spacing w:line="360" w:lineRule="auto"/>
        <w:ind w:firstLine="708"/>
        <w:jc w:val="both"/>
      </w:pPr>
      <w:r>
        <w:t>In secondo luogo, il giudicato tributario ha efficacia limitata al rapporto d’imposta oggetto del giudizio e non può essere invocato quale precedente vincolante per una pretesa diversa, relativa ad anni diversi, fondata su una normativa del tutto differente.</w:t>
      </w:r>
    </w:p>
    <w:p w14:paraId="518781F1" w14:textId="675CF7A3" w:rsidR="002A72D9" w:rsidRDefault="001A70AF" w:rsidP="003E2B1D">
      <w:pPr>
        <w:spacing w:line="360" w:lineRule="auto"/>
        <w:ind w:firstLine="708"/>
        <w:jc w:val="both"/>
      </w:pPr>
      <w:r>
        <w:t>In terzo luogo, la giurisprudenza più recente ha ampiamente superato le conclusioni cui era pervenuta la giurisprudenza tributaria sotto il regime TOSAP, riconoscendo la piena soggettività passiva dei gestori del SII ai sensi del comma 831.</w:t>
      </w:r>
    </w:p>
    <w:p w14:paraId="1A30F1A3" w14:textId="36AA0291" w:rsidR="00A13C93" w:rsidRPr="00A13C93" w:rsidRDefault="00A13C93" w:rsidP="00A13C93">
      <w:pPr>
        <w:autoSpaceDE w:val="0"/>
        <w:autoSpaceDN w:val="0"/>
        <w:adjustRightInd w:val="0"/>
        <w:spacing w:line="360" w:lineRule="auto"/>
        <w:ind w:firstLine="708"/>
        <w:jc w:val="both"/>
        <w:rPr>
          <w:i/>
          <w:color w:val="000000"/>
        </w:rPr>
      </w:pPr>
      <w:r w:rsidRPr="00A13C93">
        <w:rPr>
          <w:color w:val="000000"/>
        </w:rPr>
        <w:t xml:space="preserve">In senso conforme si è di recente pronunciata anche la </w:t>
      </w:r>
      <w:r w:rsidRPr="00A13C93">
        <w:rPr>
          <w:b/>
          <w:bCs/>
          <w:color w:val="000000"/>
        </w:rPr>
        <w:t xml:space="preserve">Corte D’Appello di Venezia con la sentenza sez. II n. 84 del 9.3.2026 </w:t>
      </w:r>
      <w:r w:rsidRPr="00A13C93">
        <w:rPr>
          <w:b/>
          <w:bCs/>
          <w:i/>
          <w:color w:val="000000"/>
        </w:rPr>
        <w:t>“</w:t>
      </w:r>
      <w:r w:rsidRPr="00A13C93">
        <w:rPr>
          <w:i/>
          <w:color w:val="000000"/>
        </w:rPr>
        <w:t xml:space="preserve">Trattandosi di esenzione, l’ipotesi è di stretta interpretazione (in tal senso è pacifica la Cassazione formatasi in relazione alla analoga fattispecie prevista dall’art. 49 co. 1 A d.lgs. 507/1993, </w:t>
      </w:r>
      <w:proofErr w:type="spellStart"/>
      <w:r w:rsidRPr="00A13C93">
        <w:rPr>
          <w:i/>
          <w:color w:val="000000"/>
        </w:rPr>
        <w:t>cfr.da</w:t>
      </w:r>
      <w:proofErr w:type="spellEnd"/>
      <w:r w:rsidRPr="00A13C93">
        <w:rPr>
          <w:i/>
          <w:color w:val="000000"/>
        </w:rPr>
        <w:t xml:space="preserve"> ultimo </w:t>
      </w:r>
      <w:proofErr w:type="spellStart"/>
      <w:r w:rsidRPr="00A13C93">
        <w:rPr>
          <w:i/>
          <w:color w:val="000000"/>
        </w:rPr>
        <w:t>Cass.sez</w:t>
      </w:r>
      <w:proofErr w:type="spellEnd"/>
      <w:r w:rsidRPr="00A13C93">
        <w:rPr>
          <w:i/>
          <w:color w:val="000000"/>
        </w:rPr>
        <w:t xml:space="preserve">. </w:t>
      </w:r>
      <w:proofErr w:type="spellStart"/>
      <w:r w:rsidRPr="00A13C93">
        <w:rPr>
          <w:i/>
          <w:color w:val="000000"/>
        </w:rPr>
        <w:t>trib</w:t>
      </w:r>
      <w:proofErr w:type="spellEnd"/>
      <w:r w:rsidRPr="00A13C93">
        <w:rPr>
          <w:i/>
          <w:color w:val="000000"/>
        </w:rPr>
        <w:t xml:space="preserve">. n.3328 del 10/02/2025) e non può essere estesa al soggetto gestore del servizio, nemmeno laddove si tratti di affidamento in house, che, come chiarito dalla giurisprudenza di legittimità, non incide sull'alterità soggettiva della società rispetto all'amministrazione pubblica, in quanto la società in house rappresenta pur sempre un centro di imputazione di rapporti e posizioni giuridiche soggettive diverso dall'ente partecipante (Cass. sez. </w:t>
      </w:r>
      <w:proofErr w:type="spellStart"/>
      <w:r w:rsidRPr="00A13C93">
        <w:rPr>
          <w:i/>
          <w:color w:val="000000"/>
        </w:rPr>
        <w:t>trib</w:t>
      </w:r>
      <w:proofErr w:type="spellEnd"/>
      <w:r w:rsidRPr="00A13C93">
        <w:rPr>
          <w:i/>
          <w:color w:val="000000"/>
        </w:rPr>
        <w:t xml:space="preserve">. n.3636 del 12/02/2025; sez. </w:t>
      </w:r>
      <w:proofErr w:type="spellStart"/>
      <w:r w:rsidRPr="00A13C93">
        <w:rPr>
          <w:i/>
          <w:color w:val="000000"/>
        </w:rPr>
        <w:t>trib</w:t>
      </w:r>
      <w:proofErr w:type="spellEnd"/>
      <w:r w:rsidRPr="00A13C93">
        <w:rPr>
          <w:i/>
          <w:color w:val="000000"/>
        </w:rPr>
        <w:t xml:space="preserve">. n.34267 del 24/12/2024) e, dunque, non si configura l'occupazione diretta "da parte del comune" quale soggetto ex lege esente.” </w:t>
      </w:r>
      <w:r w:rsidRPr="00A13C93">
        <w:rPr>
          <w:color w:val="000000"/>
        </w:rPr>
        <w:t>(</w:t>
      </w:r>
      <w:r w:rsidRPr="00A13C93">
        <w:rPr>
          <w:b/>
          <w:bCs/>
          <w:color w:val="000000"/>
        </w:rPr>
        <w:t>doc. 1</w:t>
      </w:r>
      <w:r>
        <w:rPr>
          <w:b/>
          <w:bCs/>
          <w:color w:val="000000"/>
        </w:rPr>
        <w:t>2</w:t>
      </w:r>
      <w:r w:rsidRPr="00A13C93">
        <w:rPr>
          <w:color w:val="000000"/>
        </w:rPr>
        <w:t>)</w:t>
      </w:r>
    </w:p>
    <w:p w14:paraId="62B2AFF0" w14:textId="77777777" w:rsidR="00A13C93" w:rsidRPr="00A13C93" w:rsidRDefault="00A13C93" w:rsidP="00A13C93">
      <w:pPr>
        <w:spacing w:line="360" w:lineRule="auto"/>
        <w:ind w:firstLine="708"/>
        <w:jc w:val="both"/>
      </w:pPr>
      <w:r w:rsidRPr="00A13C93">
        <w:t xml:space="preserve">Sì ricorda, infatti, che </w:t>
      </w:r>
      <w:r w:rsidRPr="00A13C93">
        <w:rPr>
          <w:b/>
          <w:bCs/>
          <w:u w:val="single"/>
        </w:rPr>
        <w:t>le norme di esenzione o agevolazione</w:t>
      </w:r>
      <w:r w:rsidRPr="00A13C93">
        <w:t xml:space="preserve">, in quanto derogatorie della regola generale dell'onerosità, sono di </w:t>
      </w:r>
      <w:r w:rsidRPr="00A13C93">
        <w:rPr>
          <w:b/>
          <w:bCs/>
          <w:u w:val="single"/>
        </w:rPr>
        <w:t>stretta interpretazione</w:t>
      </w:r>
      <w:r w:rsidRPr="00A13C93">
        <w:t xml:space="preserve"> e non </w:t>
      </w:r>
      <w:r w:rsidRPr="00A13C93">
        <w:lastRenderedPageBreak/>
        <w:t>possono essere applicate al di fuori delle ipotesi espressamente e tassativamente previste, restando preclusa qualsiasi interpretazione analogica o estensiva (Cass. civ., Sez. I, 05.11.2024, n. 28378; Cass. civ., Sez. I, 25.09.2024, n. 25614).</w:t>
      </w:r>
    </w:p>
    <w:p w14:paraId="0FCBB400" w14:textId="77777777" w:rsidR="002A72D9" w:rsidRDefault="001A70AF" w:rsidP="00A05A9A">
      <w:pPr>
        <w:spacing w:line="360" w:lineRule="auto"/>
        <w:ind w:firstLine="708"/>
        <w:jc w:val="both"/>
      </w:pPr>
      <w:r>
        <w:rPr>
          <w:b/>
          <w:bCs/>
          <w:u w:val="single"/>
        </w:rPr>
        <w:t>2. INFONDATEZZA DELL’ECCEZIONE RELATIVA AL DIVIETO DI DUPLICAZIONE DEL PRELIEVO – LEGITTIMITÀ DELL’ACCERTAMENTO PER LA RETE FOGNARIA</w:t>
      </w:r>
    </w:p>
    <w:p w14:paraId="68843098" w14:textId="49AFF285" w:rsidR="002A72D9" w:rsidRDefault="001A70AF" w:rsidP="00C43448">
      <w:pPr>
        <w:spacing w:line="360" w:lineRule="auto"/>
        <w:ind w:firstLine="708"/>
        <w:jc w:val="both"/>
      </w:pPr>
      <w:r>
        <w:t xml:space="preserve">In via subordinata, Marche Multiservizi sostiene che il comma 831 imporrebbe un canone </w:t>
      </w:r>
      <w:r>
        <w:rPr>
          <w:i/>
          <w:iCs/>
        </w:rPr>
        <w:t>“unico”</w:t>
      </w:r>
      <w:r>
        <w:t xml:space="preserve"> per il complesso del servizio a rete, senza possibilità di distinguere tra acquedotto e fognatura e che</w:t>
      </w:r>
      <w:r w:rsidR="00E43515">
        <w:t>,</w:t>
      </w:r>
      <w:r>
        <w:t xml:space="preserve"> pertanto</w:t>
      </w:r>
      <w:r w:rsidR="00E43515">
        <w:t>,</w:t>
      </w:r>
      <w:r>
        <w:t xml:space="preserve"> la pretesa del Comune costituirebbe una duplicazione di prelievo incompatibile con la struttura della norma.</w:t>
      </w:r>
    </w:p>
    <w:p w14:paraId="3A0EA7E1" w14:textId="77777777" w:rsidR="002A72D9" w:rsidRDefault="001A70AF" w:rsidP="00C43448">
      <w:pPr>
        <w:spacing w:line="360" w:lineRule="auto"/>
        <w:ind w:firstLine="708"/>
        <w:jc w:val="both"/>
      </w:pPr>
      <w:r>
        <w:t>La censura è infondata.</w:t>
      </w:r>
    </w:p>
    <w:p w14:paraId="61912BC4" w14:textId="7BFB1846" w:rsidR="002A72D9" w:rsidRDefault="001A70AF" w:rsidP="00E43515">
      <w:pPr>
        <w:spacing w:line="360" w:lineRule="auto"/>
        <w:ind w:firstLine="708"/>
        <w:jc w:val="both"/>
      </w:pPr>
      <w:r>
        <w:rPr>
          <w:b/>
          <w:bCs/>
          <w:u w:val="single"/>
        </w:rPr>
        <w:t>La struttura del comma 831 e la distinzione tra servizio idrico e servizio fognario.</w:t>
      </w:r>
    </w:p>
    <w:p w14:paraId="1F6EB7CD" w14:textId="77777777" w:rsidR="002A72D9" w:rsidRPr="000C06F9" w:rsidRDefault="001A70AF" w:rsidP="00C43448">
      <w:pPr>
        <w:spacing w:line="360" w:lineRule="auto"/>
        <w:ind w:firstLine="708"/>
        <w:jc w:val="both"/>
        <w:rPr>
          <w:b/>
          <w:u w:val="single"/>
        </w:rPr>
      </w:pPr>
      <w:r>
        <w:t xml:space="preserve">Il comma 831 stabilisce che il canone è dovuto per le occupazioni permanenti del territorio comunale con cavi e condutture </w:t>
      </w:r>
      <w:r>
        <w:rPr>
          <w:i/>
          <w:iCs/>
        </w:rPr>
        <w:t>“da chiunque effettuata per la fornitura di servizi di pubblica utilità”</w:t>
      </w:r>
      <w:r>
        <w:t xml:space="preserve">, calcolato </w:t>
      </w:r>
      <w:r>
        <w:rPr>
          <w:i/>
          <w:iCs/>
        </w:rPr>
        <w:t>“sulla base del numero delle rispettive utenze moltiplicate per la seguente tariffa forfetaria”</w:t>
      </w:r>
      <w:r>
        <w:t xml:space="preserve">. Il riferimento alle </w:t>
      </w:r>
      <w:r>
        <w:rPr>
          <w:i/>
          <w:iCs/>
        </w:rPr>
        <w:t>“rispettive utenze”</w:t>
      </w:r>
      <w:r>
        <w:t xml:space="preserve"> è significativo: la norma </w:t>
      </w:r>
      <w:r w:rsidRPr="000C06F9">
        <w:rPr>
          <w:b/>
          <w:u w:val="single"/>
        </w:rPr>
        <w:t>individua le utenze per ciascun servizio, non un’utenza complessiva indistinta.</w:t>
      </w:r>
    </w:p>
    <w:p w14:paraId="4F1311BD" w14:textId="77777777" w:rsidR="000C06F9" w:rsidRDefault="001A70AF" w:rsidP="00C43448">
      <w:pPr>
        <w:spacing w:line="360" w:lineRule="auto"/>
        <w:ind w:firstLine="708"/>
        <w:jc w:val="both"/>
      </w:pPr>
      <w:r w:rsidRPr="000C06F9">
        <w:rPr>
          <w:b/>
          <w:u w:val="single"/>
        </w:rPr>
        <w:t xml:space="preserve">Il servizio di distribuzione idrica e il servizio di allaccio alla rete fognaria costituiscono </w:t>
      </w:r>
      <w:r w:rsidRPr="000C06F9">
        <w:rPr>
          <w:b/>
          <w:bCs/>
          <w:u w:val="single"/>
        </w:rPr>
        <w:t>due distinti servizi a rete</w:t>
      </w:r>
      <w:r>
        <w:t xml:space="preserve">, entrambi espressamente ricompresi nell’elenco della norma, che realizzano occupazioni di suolo pubblico attraverso condotte fisicamente distinte, funzionalmente diverse e con bacini di utenza autonomi. </w:t>
      </w:r>
    </w:p>
    <w:p w14:paraId="633A6369" w14:textId="241EDD0D" w:rsidR="002A72D9" w:rsidRDefault="001A70AF" w:rsidP="00C43448">
      <w:pPr>
        <w:spacing w:line="360" w:lineRule="auto"/>
        <w:ind w:firstLine="708"/>
        <w:jc w:val="both"/>
      </w:pPr>
      <w:r>
        <w:t>La circostanza che entrambi rientrino nel perimetro del Servizio Idrico Integrato, come definito dal D.P.C.M. del 20 luglio 2012 e dall’art. 141 D.Lgs. n. 152/2006, non può far venir meno la loro individualità ai fini del calcolo del canone.</w:t>
      </w:r>
    </w:p>
    <w:p w14:paraId="46064C40" w14:textId="77777777" w:rsidR="000C06F9" w:rsidRDefault="001A70AF" w:rsidP="00C43448">
      <w:pPr>
        <w:spacing w:line="360" w:lineRule="auto"/>
        <w:ind w:firstLine="708"/>
        <w:jc w:val="both"/>
      </w:pPr>
      <w:r>
        <w:t xml:space="preserve">In tal senso si è espressa la </w:t>
      </w:r>
      <w:r w:rsidR="000C06F9">
        <w:t xml:space="preserve">citata sentenza </w:t>
      </w:r>
      <w:r>
        <w:t>Corte di Cassazione, Sez. V, con sentenza n. 2180 del 30 gennaio 2020</w:t>
      </w:r>
      <w:r w:rsidR="000C06F9">
        <w:t xml:space="preserve"> (doc. 11) </w:t>
      </w:r>
      <w:r>
        <w:t xml:space="preserve">nella quale i giudici hanno precisato: </w:t>
      </w:r>
      <w:r>
        <w:rPr>
          <w:i/>
          <w:iCs/>
        </w:rPr>
        <w:t>“Occorre infatti tenere distinte ai fini in questione la natura unitaria della gestione del servizio, dall’occupazione dello spazio pubblico degli impianti relativo alle condotte fognarie, che si differenzia da quella delle condotte idriche sicché non si può parlare di una duplicazione di tassazione”</w:t>
      </w:r>
      <w:r>
        <w:t>.</w:t>
      </w:r>
    </w:p>
    <w:p w14:paraId="137EF2C6" w14:textId="7706415C" w:rsidR="002A72D9" w:rsidRPr="000C06F9" w:rsidRDefault="001A70AF" w:rsidP="00C43448">
      <w:pPr>
        <w:spacing w:line="360" w:lineRule="auto"/>
        <w:ind w:firstLine="708"/>
        <w:jc w:val="both"/>
        <w:rPr>
          <w:b/>
          <w:u w:val="single"/>
        </w:rPr>
      </w:pPr>
      <w:r>
        <w:t xml:space="preserve"> È vero che tale pronuncia si riferiva alla TOSAP, come rileva Marche Multiservizi; tuttavia, </w:t>
      </w:r>
      <w:r w:rsidRPr="000C06F9">
        <w:rPr>
          <w:b/>
          <w:u w:val="single"/>
        </w:rPr>
        <w:t xml:space="preserve">il principio giuridico affermato — ossia che le condotte </w:t>
      </w:r>
      <w:r w:rsidRPr="000C06F9">
        <w:rPr>
          <w:b/>
          <w:u w:val="single"/>
        </w:rPr>
        <w:lastRenderedPageBreak/>
        <w:t>fognarie costituiscono un’occupazione autonoma rispetto a quelle idriche — non dipende dalla specifica disciplina impositiva</w:t>
      </w:r>
      <w:r>
        <w:t xml:space="preserve"> </w:t>
      </w:r>
      <w:r w:rsidRPr="000C06F9">
        <w:rPr>
          <w:b/>
          <w:u w:val="single"/>
        </w:rPr>
        <w:t>ed è pienamente applicabile anche sotto il regime del comma 831.</w:t>
      </w:r>
    </w:p>
    <w:p w14:paraId="1B3086DC" w14:textId="1E7BF819" w:rsidR="000C06F9" w:rsidRDefault="001A70AF" w:rsidP="00C43448">
      <w:pPr>
        <w:spacing w:line="360" w:lineRule="auto"/>
        <w:ind w:firstLine="708"/>
        <w:jc w:val="both"/>
      </w:pPr>
      <w:r>
        <w:t xml:space="preserve">Peraltro, Marche Multiservizi ha riconosciuto che è tenuta al pagamento del canone per il servizio idrico, avendolo effettivamente corrisposto per le annualità 2021-2024. </w:t>
      </w:r>
    </w:p>
    <w:p w14:paraId="32D4D9DF" w14:textId="060D2584" w:rsidR="00A14F2F" w:rsidRDefault="00A14F2F" w:rsidP="00A14F2F">
      <w:pPr>
        <w:spacing w:line="360" w:lineRule="auto"/>
        <w:ind w:firstLine="708"/>
        <w:jc w:val="both"/>
      </w:pPr>
      <w:r>
        <w:t xml:space="preserve">Ed infatti, anche se la società tenta di giustificare il parziale pagamento del canone solo per il servizio idrico </w:t>
      </w:r>
      <w:r w:rsidRPr="000C06F9">
        <w:rPr>
          <w:i/>
        </w:rPr>
        <w:t>“senza mai prestare alcuna acquiescenza alla pretesa comunale e al sol fine di scongiurare l’avvio di azioni esecutive”</w:t>
      </w:r>
      <w:r>
        <w:t xml:space="preserve"> paventate dall’Ente, non si comprende perché, poi, abbia escluso questo rischio per la quota relativa al servizio di fognatura.</w:t>
      </w:r>
    </w:p>
    <w:p w14:paraId="2E32CAB4" w14:textId="283B434C" w:rsidR="000C06F9" w:rsidRDefault="00A14F2F" w:rsidP="00C43448">
      <w:pPr>
        <w:spacing w:line="360" w:lineRule="auto"/>
        <w:ind w:firstLine="708"/>
        <w:jc w:val="both"/>
      </w:pPr>
      <w:r>
        <w:t>Invero, c</w:t>
      </w:r>
      <w:r w:rsidR="001A70AF">
        <w:t>iò dimostra che il gestore stesso ha riconosciuto la propria soggettività passiva in relazione all’occupazione di suolo pubblico con condotte idriche</w:t>
      </w:r>
      <w:r w:rsidR="000C06F9">
        <w:t xml:space="preserve"> (anche se ha poi espresso riserva sul pagamento)</w:t>
      </w:r>
      <w:r w:rsidR="001A70AF">
        <w:t>: non si vede</w:t>
      </w:r>
      <w:r w:rsidR="000C06F9">
        <w:t>,</w:t>
      </w:r>
      <w:r w:rsidR="001A70AF">
        <w:t xml:space="preserve"> dunque</w:t>
      </w:r>
      <w:r w:rsidR="000C06F9">
        <w:t>,</w:t>
      </w:r>
      <w:r w:rsidR="001A70AF">
        <w:t xml:space="preserve"> per quale ragione analoga soggettività non debba sussistere per le condotte fognarie, che occupano il medesimo suolo pubblico.</w:t>
      </w:r>
      <w:r w:rsidR="000C06F9">
        <w:t xml:space="preserve"> </w:t>
      </w:r>
    </w:p>
    <w:p w14:paraId="0D98676D" w14:textId="424B88ED" w:rsidR="002A72D9" w:rsidRDefault="001A70AF" w:rsidP="000C06F9">
      <w:pPr>
        <w:spacing w:line="360" w:lineRule="auto"/>
        <w:ind w:firstLine="708"/>
        <w:jc w:val="both"/>
      </w:pPr>
      <w:r>
        <w:rPr>
          <w:b/>
          <w:bCs/>
          <w:u w:val="single"/>
        </w:rPr>
        <w:t>L’argomento della “natura unitaria” del SII non esclude la distinta imponibilità.</w:t>
      </w:r>
    </w:p>
    <w:p w14:paraId="51156700" w14:textId="77777777" w:rsidR="002A72D9" w:rsidRDefault="001A70AF" w:rsidP="000C06F9">
      <w:pPr>
        <w:spacing w:line="360" w:lineRule="auto"/>
        <w:ind w:firstLine="708"/>
        <w:jc w:val="both"/>
      </w:pPr>
      <w:r>
        <w:t>Marche Multiservizi sostiene che il SII è remunerato da una tariffa unica articolata in acquedotto-fognatura-depurazione e che, pertanto, l’occupazione rilevante ai sensi della L. 160/2019 sarebbe necessariamente unitaria.</w:t>
      </w:r>
    </w:p>
    <w:p w14:paraId="36DC0349" w14:textId="77777777" w:rsidR="00A02BD9" w:rsidRDefault="001A70AF" w:rsidP="00C43448">
      <w:pPr>
        <w:spacing w:line="360" w:lineRule="auto"/>
        <w:ind w:firstLine="708"/>
        <w:jc w:val="both"/>
      </w:pPr>
      <w:r>
        <w:t xml:space="preserve">L’argomento confonde il piano della </w:t>
      </w:r>
      <w:r>
        <w:rPr>
          <w:b/>
          <w:bCs/>
        </w:rPr>
        <w:t>disciplina tariffaria</w:t>
      </w:r>
      <w:r>
        <w:t xml:space="preserve"> del servizio con quello dell’</w:t>
      </w:r>
      <w:r>
        <w:rPr>
          <w:b/>
          <w:bCs/>
        </w:rPr>
        <w:t>imposizione patrimoniale</w:t>
      </w:r>
      <w:r>
        <w:t xml:space="preserve"> per l’utilizzo del suolo pubblico. </w:t>
      </w:r>
    </w:p>
    <w:p w14:paraId="27933605" w14:textId="6B572A04" w:rsidR="002A72D9" w:rsidRDefault="00A02BD9" w:rsidP="00C43448">
      <w:pPr>
        <w:spacing w:line="360" w:lineRule="auto"/>
        <w:ind w:firstLine="708"/>
        <w:jc w:val="both"/>
      </w:pPr>
      <w:r>
        <w:t>In ogni caso, l</w:t>
      </w:r>
      <w:r w:rsidR="001A70AF">
        <w:t>a tariffa del SII remunera economicamente il servizio prestato all’utente</w:t>
      </w:r>
      <w:r>
        <w:t xml:space="preserve"> e comunque si compone di una quota per la fornitura di acqua e una quota per il servizio fognatura e</w:t>
      </w:r>
      <w:r w:rsidR="001A70AF">
        <w:t xml:space="preserve"> il canone ex comma 831 è il corrispettivo per l’occupazione di uno spazio pubblico sottratto all’uso collettivo</w:t>
      </w:r>
      <w:r>
        <w:t xml:space="preserve">. Sono, comunque, </w:t>
      </w:r>
      <w:r w:rsidR="001A70AF">
        <w:t>istituti radicalmente diversi, con presupposti, soggetti e basi imponibili differenti e la disciplina dell’uno non incide sulla disciplina dell’altro.</w:t>
      </w:r>
    </w:p>
    <w:p w14:paraId="1C59FFBC" w14:textId="77777777" w:rsidR="00B22CEE" w:rsidRDefault="001A70AF" w:rsidP="00C43448">
      <w:pPr>
        <w:spacing w:line="360" w:lineRule="auto"/>
        <w:ind w:firstLine="708"/>
        <w:jc w:val="both"/>
      </w:pPr>
      <w:r>
        <w:t>L</w:t>
      </w:r>
      <w:r w:rsidR="00B22CEE">
        <w:t>e</w:t>
      </w:r>
      <w:r>
        <w:t xml:space="preserve"> condotte idriche e le condotte fognarie insistono su tratti del sottosuolo pubblico fisicamente distinti e autonomi. </w:t>
      </w:r>
    </w:p>
    <w:p w14:paraId="491C4282" w14:textId="291B5442" w:rsidR="002A72D9" w:rsidRDefault="001A70AF" w:rsidP="00B22CEE">
      <w:pPr>
        <w:spacing w:line="360" w:lineRule="auto"/>
        <w:ind w:firstLine="708"/>
        <w:jc w:val="both"/>
      </w:pPr>
      <w:r>
        <w:rPr>
          <w:b/>
          <w:bCs/>
          <w:u w:val="single"/>
        </w:rPr>
        <w:t>La base di calcolo adottata dall’avviso: correttezza del metodo induttivo e applicazione della soglia minima.</w:t>
      </w:r>
    </w:p>
    <w:p w14:paraId="46081D52" w14:textId="203F0BB6" w:rsidR="002A72D9" w:rsidRDefault="001A70AF" w:rsidP="002E2602">
      <w:pPr>
        <w:spacing w:line="360" w:lineRule="auto"/>
        <w:ind w:firstLine="708"/>
        <w:jc w:val="both"/>
      </w:pPr>
      <w:r>
        <w:lastRenderedPageBreak/>
        <w:t xml:space="preserve">Come chiarito nell’avviso di accertamento, il Comune ha determinato le utenze fognarie in via induttiva, sulla base dei dati statistici ARERA e della popolazione residente, presumendo n. 375 utenze per il 2021, n. 373 per il 2022, n. 368 per il 2023, n. 373 per il 2024. </w:t>
      </w:r>
      <w:r w:rsidR="00B22CEE">
        <w:rPr>
          <w:u w:val="single"/>
        </w:rPr>
        <w:t xml:space="preserve">In ogni caso, considerato </w:t>
      </w:r>
      <w:r>
        <w:rPr>
          <w:u w:val="single"/>
        </w:rPr>
        <w:t xml:space="preserve">che tale conteggio porta a valori inferiori alla soglia minima di legge, il Comune ha correttamente applicato </w:t>
      </w:r>
      <w:r>
        <w:rPr>
          <w:b/>
          <w:bCs/>
          <w:u w:val="single"/>
        </w:rPr>
        <w:t>la quota minima</w:t>
      </w:r>
      <w:r>
        <w:rPr>
          <w:u w:val="single"/>
        </w:rPr>
        <w:t xml:space="preserve"> del canone dovuto (€ 800,00 per il 2021, con adeguamento ISTAT per gli anni successivi)</w:t>
      </w:r>
      <w:r>
        <w:t xml:space="preserve"> (Doc. 2).</w:t>
      </w:r>
    </w:p>
    <w:p w14:paraId="41975344" w14:textId="77777777" w:rsidR="00B22CEE" w:rsidRDefault="001A70AF" w:rsidP="002E2602">
      <w:pPr>
        <w:spacing w:line="360" w:lineRule="auto"/>
        <w:ind w:firstLine="708"/>
        <w:jc w:val="both"/>
      </w:pPr>
      <w:r>
        <w:t>Il ricorso al metodo induttivo è espressamente legittimato dalla legge per l’ipotesi in cui il soggetto passivo non provveda alla dichiarazione delle utenze attive.</w:t>
      </w:r>
    </w:p>
    <w:p w14:paraId="49EA5D8D" w14:textId="36C83ED7" w:rsidR="002A72D9" w:rsidRDefault="001A70AF" w:rsidP="002E2602">
      <w:pPr>
        <w:spacing w:line="360" w:lineRule="auto"/>
        <w:ind w:firstLine="708"/>
        <w:jc w:val="both"/>
      </w:pPr>
      <w:r>
        <w:t>Marche Multiservizi ha reiteratamente e ingiustificatamente omesso di fornire i dati richiesti da Archivia Solution, nonostante due successive richieste (Doc. 4 e Doc. 7) e altrettanti riscontri (Doc. 6 e Doc. 9). Tale condotta ha determinato un’inversione dell’onere probatorio: spetterà ora alla ricorrente confutare le stime elaborate dal Comune, producendo i dati effettivi delle utenze attive, che essa detiene e che ha sistematicamente omesso di comunicare.</w:t>
      </w:r>
      <w:r w:rsidR="00B22CEE">
        <w:t xml:space="preserve"> In ogni caso, avendo il Comune applicato la quota minima anche tale verifica se appresta inutile.</w:t>
      </w:r>
    </w:p>
    <w:p w14:paraId="73051A9D" w14:textId="77777777" w:rsidR="002A72D9" w:rsidRDefault="001A70AF" w:rsidP="00B22CEE">
      <w:pPr>
        <w:spacing w:line="360" w:lineRule="auto"/>
        <w:ind w:firstLine="708"/>
        <w:jc w:val="both"/>
      </w:pPr>
      <w:r>
        <w:rPr>
          <w:b/>
          <w:bCs/>
          <w:u w:val="single"/>
        </w:rPr>
        <w:t>3. LEGITTIMITÀ DELLE SANZIONI APPLICATE</w:t>
      </w:r>
    </w:p>
    <w:p w14:paraId="45B8F4B9" w14:textId="77777777" w:rsidR="00B22CEE" w:rsidRDefault="001A70AF" w:rsidP="00B22CEE">
      <w:pPr>
        <w:spacing w:line="360" w:lineRule="auto"/>
        <w:ind w:firstLine="708"/>
        <w:jc w:val="both"/>
      </w:pPr>
      <w:r>
        <w:t xml:space="preserve">La richiesta di Marche Multiservizi di dichiarare non dovute le sanzioni, gli interessi e gli oneri accessori non è sorretta da alcun motivo autonomo: essa è formulata in via meramente consequenziale rispetto alle eccezioni principali già confutate e, pertanto, cade con esse. </w:t>
      </w:r>
    </w:p>
    <w:p w14:paraId="5A0BE830" w14:textId="3B1F958C" w:rsidR="002A72D9" w:rsidRDefault="001A70AF" w:rsidP="00B22CEE">
      <w:pPr>
        <w:spacing w:line="360" w:lineRule="auto"/>
        <w:ind w:firstLine="708"/>
        <w:jc w:val="both"/>
      </w:pPr>
      <w:r>
        <w:t>Le sanzioni sono state applicate nella misura del 30% prevista dall’art. 43 del Regolamento comunale in conformità al comma 821, lett. h), dell’art. 1 della Legge n. 160/2019, e gli interessi sono stati calcolati ai sensi del comma 802 della medesima legge: la pretesa accessoria è dunque integralmente dovuta.</w:t>
      </w:r>
    </w:p>
    <w:p w14:paraId="5FDC9529" w14:textId="77777777" w:rsidR="002A72D9" w:rsidRDefault="001A70AF" w:rsidP="00B22CEE">
      <w:pPr>
        <w:spacing w:line="360" w:lineRule="auto"/>
        <w:ind w:firstLine="708"/>
        <w:jc w:val="both"/>
      </w:pPr>
      <w:r>
        <w:rPr>
          <w:b/>
          <w:bCs/>
          <w:u w:val="single"/>
        </w:rPr>
        <w:t>4. IRRILEVANZA DEL PAGAMENTO CAUTELATIVO EFFETTUATO DA MARCHE MULTISERVIZI</w:t>
      </w:r>
    </w:p>
    <w:p w14:paraId="0F031DCC" w14:textId="77777777" w:rsidR="002A72D9" w:rsidRDefault="001A70AF" w:rsidP="00B22CEE">
      <w:pPr>
        <w:spacing w:line="360" w:lineRule="auto"/>
        <w:ind w:firstLine="708"/>
        <w:jc w:val="both"/>
      </w:pPr>
      <w:r>
        <w:t>Marche Multiservizi ha dichiarato di aver provveduto al pagamento del canone richiesto per il solo servizio idrico — per le annualità 2021-2024 pari ad € 5.375,30 (incluse le annualità 2025 e 2026) — a titolo meramente cautelativo e solutorio in senso tecnico, con riserva di ripetizione. Ha altresì chiesto la restituzione di tale importo invocando l’art. 2033 c.c.</w:t>
      </w:r>
    </w:p>
    <w:p w14:paraId="576C3CD6" w14:textId="77777777" w:rsidR="00B22CEE" w:rsidRDefault="001A70AF" w:rsidP="00C43448">
      <w:pPr>
        <w:spacing w:line="360" w:lineRule="auto"/>
        <w:ind w:firstLine="708"/>
        <w:jc w:val="both"/>
      </w:pPr>
      <w:r>
        <w:t xml:space="preserve">Tale pagamento, tuttavia, non è oggetto del presente giudizio. </w:t>
      </w:r>
    </w:p>
    <w:p w14:paraId="1733762B" w14:textId="77777777" w:rsidR="00B22CEE" w:rsidRDefault="00B22CEE" w:rsidP="00C43448">
      <w:pPr>
        <w:spacing w:line="360" w:lineRule="auto"/>
        <w:ind w:firstLine="708"/>
        <w:jc w:val="both"/>
      </w:pPr>
      <w:r>
        <w:lastRenderedPageBreak/>
        <w:t>Oggetto di giudizio è solo l</w:t>
      </w:r>
      <w:r w:rsidR="001A70AF">
        <w:t xml:space="preserve">’avviso di accertamento impugnato </w:t>
      </w:r>
      <w:r>
        <w:t xml:space="preserve">e </w:t>
      </w:r>
      <w:r w:rsidR="001A70AF">
        <w:t xml:space="preserve">riguarda </w:t>
      </w:r>
      <w:r w:rsidR="001A70AF" w:rsidRPr="00B22CEE">
        <w:rPr>
          <w:bCs/>
        </w:rPr>
        <w:t>esclusivamente</w:t>
      </w:r>
      <w:r w:rsidR="001A70AF">
        <w:t xml:space="preserve"> il canone per il servizio di rete fogn</w:t>
      </w:r>
      <w:r>
        <w:t>aria per le annualità 2021-2024</w:t>
      </w:r>
      <w:r w:rsidR="001A70AF">
        <w:t>.</w:t>
      </w:r>
    </w:p>
    <w:p w14:paraId="1DA0F16D" w14:textId="2C4911A2" w:rsidR="002A72D9" w:rsidRDefault="001A70AF" w:rsidP="00C43448">
      <w:pPr>
        <w:spacing w:line="360" w:lineRule="auto"/>
        <w:ind w:firstLine="708"/>
        <w:jc w:val="both"/>
      </w:pPr>
      <w:r>
        <w:t>Il canone per il servizio idrico, regolarmente corrisposto, è una pretesa distinta e autonoma rispetto a quella qui in contestazione.</w:t>
      </w:r>
    </w:p>
    <w:p w14:paraId="4D29B4C9" w14:textId="724A1C97" w:rsidR="002A72D9" w:rsidRDefault="001A70AF" w:rsidP="00B22CEE">
      <w:pPr>
        <w:spacing w:line="360" w:lineRule="auto"/>
        <w:ind w:firstLine="708"/>
        <w:jc w:val="both"/>
      </w:pPr>
      <w:r>
        <w:t>Per tutto quanto innanzi dedotto ed eccepito</w:t>
      </w:r>
      <w:r w:rsidR="00B22CEE">
        <w:t xml:space="preserve">, il Comune di Belforte all’Isauro, come sopra rappresentato e difeso, </w:t>
      </w:r>
      <w:r>
        <w:t>rassegna le seguenti</w:t>
      </w:r>
    </w:p>
    <w:p w14:paraId="618C7A4C" w14:textId="77777777" w:rsidR="00B22CEE" w:rsidRDefault="00B22CEE" w:rsidP="00B22CEE">
      <w:pPr>
        <w:spacing w:line="360" w:lineRule="auto"/>
        <w:jc w:val="center"/>
      </w:pPr>
      <w:r>
        <w:rPr>
          <w:b/>
          <w:bCs/>
        </w:rPr>
        <w:t>CONCLUSIONI</w:t>
      </w:r>
    </w:p>
    <w:p w14:paraId="050003D3" w14:textId="5485E2F4" w:rsidR="002A72D9" w:rsidRDefault="00B22CEE">
      <w:pPr>
        <w:spacing w:line="360" w:lineRule="auto"/>
        <w:jc w:val="both"/>
      </w:pPr>
      <w:r>
        <w:t xml:space="preserve">Voglia </w:t>
      </w:r>
      <w:r w:rsidR="001A70AF">
        <w:t>l’Ill.mo Tribunale adito:</w:t>
      </w:r>
    </w:p>
    <w:p w14:paraId="50B917DE" w14:textId="77777777" w:rsidR="002A72D9" w:rsidRDefault="001A70AF">
      <w:pPr>
        <w:spacing w:line="360" w:lineRule="auto"/>
        <w:jc w:val="both"/>
      </w:pPr>
      <w:r>
        <w:t>1. rigettare integralmente l’opposizione proposta da Marche Multiservizi S.p.A.;</w:t>
      </w:r>
    </w:p>
    <w:p w14:paraId="67D57CB5" w14:textId="77777777" w:rsidR="002A72D9" w:rsidRDefault="001A70AF">
      <w:pPr>
        <w:spacing w:line="360" w:lineRule="auto"/>
        <w:jc w:val="both"/>
      </w:pPr>
      <w:r>
        <w:t>2. confermare la piena legittimità dell’avviso di accertamento esecutivo n. 1 del 27 marzo 2026, emesso dal Comune di Belforte all’Isauro a titolo di Canone Unico Patrimoniale per le annualità 2021-2024 con riferimento al servizio di rete fognaria;</w:t>
      </w:r>
    </w:p>
    <w:p w14:paraId="041E1C86" w14:textId="77777777" w:rsidR="002A72D9" w:rsidRDefault="001A70AF">
      <w:pPr>
        <w:spacing w:line="360" w:lineRule="auto"/>
        <w:jc w:val="both"/>
      </w:pPr>
      <w:r>
        <w:t>3. rigettare la domanda riconvenzionale di ripetizione dell’indebito ex art. 2033 c.c. formulata dalla ricorrente;</w:t>
      </w:r>
    </w:p>
    <w:p w14:paraId="12390252" w14:textId="77777777" w:rsidR="002A72D9" w:rsidRDefault="001A70AF">
      <w:pPr>
        <w:spacing w:line="360" w:lineRule="auto"/>
        <w:jc w:val="both"/>
      </w:pPr>
      <w:r>
        <w:t>4. condannare la parte attrice-opponente al pagamento delle spese del presente giudizio.</w:t>
      </w:r>
    </w:p>
    <w:p w14:paraId="0CA1F59E" w14:textId="77777777" w:rsidR="002A72D9" w:rsidRDefault="001A70AF">
      <w:pPr>
        <w:spacing w:line="360" w:lineRule="auto"/>
        <w:jc w:val="both"/>
      </w:pPr>
      <w:r>
        <w:t>Si depositano i seguenti documenti:</w:t>
      </w:r>
    </w:p>
    <w:p w14:paraId="28CEBC19" w14:textId="77777777" w:rsidR="002A72D9" w:rsidRDefault="001A70AF">
      <w:pPr>
        <w:spacing w:line="360" w:lineRule="auto"/>
        <w:jc w:val="both"/>
      </w:pPr>
      <w:r>
        <w:t>Doc. 1 – Ricorso in opposizione notificato.</w:t>
      </w:r>
    </w:p>
    <w:p w14:paraId="1E12C35B" w14:textId="77777777" w:rsidR="002A72D9" w:rsidRDefault="001A70AF">
      <w:pPr>
        <w:spacing w:line="360" w:lineRule="auto"/>
        <w:jc w:val="both"/>
      </w:pPr>
      <w:r>
        <w:t>Doc. 2 – Avviso di accertamento esecutivo n. 1 del 27 marzo 2026.</w:t>
      </w:r>
    </w:p>
    <w:p w14:paraId="50DD3D58" w14:textId="77777777" w:rsidR="002A72D9" w:rsidRDefault="001A70AF">
      <w:pPr>
        <w:spacing w:line="360" w:lineRule="auto"/>
        <w:jc w:val="both"/>
      </w:pPr>
      <w:r>
        <w:t>Doc. 3 – Determina R.G. n. 195 del 19 dicembre 2025 di affidamento incarico ad Archivia Solution S.p.A.</w:t>
      </w:r>
    </w:p>
    <w:p w14:paraId="52873727" w14:textId="77777777" w:rsidR="002A72D9" w:rsidRDefault="001A70AF">
      <w:pPr>
        <w:spacing w:line="360" w:lineRule="auto"/>
        <w:jc w:val="both"/>
      </w:pPr>
      <w:r>
        <w:t>Doc. 4 – Richiesta dichiarazioni versamenti di Archivia Solution del 19 febbraio 2026.</w:t>
      </w:r>
    </w:p>
    <w:p w14:paraId="285BB95F" w14:textId="77777777" w:rsidR="002A72D9" w:rsidRDefault="001A70AF">
      <w:pPr>
        <w:spacing w:line="360" w:lineRule="auto"/>
        <w:jc w:val="both"/>
      </w:pPr>
      <w:r>
        <w:t>Doc. 5 – Ricevute di consegna PEC della richiesta del 19 febbraio 2026.</w:t>
      </w:r>
    </w:p>
    <w:p w14:paraId="61E3420F" w14:textId="77777777" w:rsidR="002A72D9" w:rsidRDefault="001A70AF">
      <w:pPr>
        <w:spacing w:line="360" w:lineRule="auto"/>
        <w:jc w:val="both"/>
      </w:pPr>
      <w:r>
        <w:t>Doc. 6 – Riscontro di Marche Multiservizi del 4 marzo 2026 (prot. n. 0002613/26).</w:t>
      </w:r>
    </w:p>
    <w:p w14:paraId="666A1D67" w14:textId="77777777" w:rsidR="002A72D9" w:rsidRDefault="001A70AF">
      <w:pPr>
        <w:spacing w:line="360" w:lineRule="auto"/>
        <w:jc w:val="both"/>
      </w:pPr>
      <w:r>
        <w:t>Doc. 7 – Replica di Archivia Solution del 9 marzo 2026.</w:t>
      </w:r>
    </w:p>
    <w:p w14:paraId="0FF6DE19" w14:textId="77777777" w:rsidR="002A72D9" w:rsidRDefault="001A70AF">
      <w:pPr>
        <w:spacing w:line="360" w:lineRule="auto"/>
        <w:jc w:val="both"/>
      </w:pPr>
      <w:r>
        <w:t>Doc. 8 – Ricevute di consegna PEC della replica del 9 marzo 2026.</w:t>
      </w:r>
    </w:p>
    <w:p w14:paraId="0CB32B38" w14:textId="77777777" w:rsidR="002A72D9" w:rsidRDefault="001A70AF">
      <w:pPr>
        <w:spacing w:line="360" w:lineRule="auto"/>
        <w:jc w:val="both"/>
      </w:pPr>
      <w:r>
        <w:t>Doc. 9 – II riscontro di Marche Multiservizi del 16 marzo 2026 (prot. n. 0003206/26).</w:t>
      </w:r>
    </w:p>
    <w:p w14:paraId="508DB76B" w14:textId="77777777" w:rsidR="002A72D9" w:rsidRDefault="001A70AF">
      <w:pPr>
        <w:spacing w:line="360" w:lineRule="auto"/>
        <w:jc w:val="both"/>
      </w:pPr>
      <w:r>
        <w:t>Doc. 10 – Ricevuta di consegna PEC dell’avviso di accertamento dell’8 aprile 2026.</w:t>
      </w:r>
    </w:p>
    <w:p w14:paraId="67C266ED" w14:textId="2F607E69" w:rsidR="002A72D9" w:rsidRDefault="001A70AF">
      <w:pPr>
        <w:spacing w:line="360" w:lineRule="auto"/>
        <w:jc w:val="both"/>
      </w:pPr>
      <w:r>
        <w:t>Doc. 11 – Corte di Cassazione, Sez. V, sentenza n. 2180 del 30 gennaio 2020.</w:t>
      </w:r>
    </w:p>
    <w:p w14:paraId="23DE5ED5" w14:textId="0DECEEF7" w:rsidR="00B22CEE" w:rsidRPr="006B1473" w:rsidRDefault="00B22CEE" w:rsidP="006B1473">
      <w:pPr>
        <w:spacing w:line="360" w:lineRule="auto"/>
        <w:jc w:val="both"/>
      </w:pPr>
      <w:r>
        <w:t xml:space="preserve">Doc. 12 – Corte di Appello di Venezia </w:t>
      </w:r>
      <w:r w:rsidR="006B1473" w:rsidRPr="00A13C93">
        <w:rPr>
          <w:bCs/>
          <w:color w:val="000000"/>
        </w:rPr>
        <w:t xml:space="preserve">sez. II </w:t>
      </w:r>
      <w:r w:rsidR="006B1473" w:rsidRPr="006B1473">
        <w:t xml:space="preserve">sentenza </w:t>
      </w:r>
      <w:r w:rsidR="006B1473" w:rsidRPr="00A13C93">
        <w:rPr>
          <w:bCs/>
          <w:color w:val="000000"/>
        </w:rPr>
        <w:t>n. 84 del 9.3.2026</w:t>
      </w:r>
    </w:p>
    <w:p w14:paraId="27F370E2" w14:textId="77777777" w:rsidR="002A72D9" w:rsidRDefault="001A70AF">
      <w:pPr>
        <w:spacing w:line="360" w:lineRule="auto"/>
        <w:jc w:val="both"/>
      </w:pPr>
      <w:r>
        <w:t>Con riserva di ulteriori produzioni documentali e di replicare alle eventuali istanze istruttorie di controparte.</w:t>
      </w:r>
    </w:p>
    <w:p w14:paraId="10DBC919" w14:textId="3B7ADA09" w:rsidR="002A72D9" w:rsidRDefault="006B1473">
      <w:pPr>
        <w:spacing w:line="360" w:lineRule="auto"/>
        <w:jc w:val="both"/>
      </w:pPr>
      <w:r>
        <w:t>Salerno – Belforte all’Isauro, 30.04.</w:t>
      </w:r>
      <w:r w:rsidR="00C43448">
        <w:t>2026</w:t>
      </w:r>
    </w:p>
    <w:p w14:paraId="69551CE0" w14:textId="4BA78891" w:rsidR="002A72D9" w:rsidRDefault="006B1473" w:rsidP="00C43448">
      <w:pPr>
        <w:spacing w:line="360" w:lineRule="auto"/>
        <w:jc w:val="right"/>
      </w:pPr>
      <w:r>
        <w:t>Avv. Maria Voccia De Felice</w:t>
      </w:r>
    </w:p>
    <w:sectPr w:rsidR="002A72D9">
      <w:pgSz w:w="11906" w:h="16838"/>
      <w:pgMar w:top="1440" w:right="1440" w:bottom="1440" w:left="144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7BC5BF2"/>
    <w:multiLevelType w:val="hybridMultilevel"/>
    <w:tmpl w:val="975E7FA2"/>
    <w:lvl w:ilvl="0" w:tplc="D9FE84A4">
      <w:start w:val="1"/>
      <w:numFmt w:val="bullet"/>
      <w:lvlText w:val="●"/>
      <w:lvlJc w:val="left"/>
      <w:pPr>
        <w:ind w:left="720" w:hanging="360"/>
      </w:pPr>
    </w:lvl>
    <w:lvl w:ilvl="1" w:tplc="F36C1362">
      <w:start w:val="1"/>
      <w:numFmt w:val="bullet"/>
      <w:lvlText w:val="○"/>
      <w:lvlJc w:val="left"/>
      <w:pPr>
        <w:ind w:left="1440" w:hanging="360"/>
      </w:pPr>
    </w:lvl>
    <w:lvl w:ilvl="2" w:tplc="0054023C">
      <w:start w:val="1"/>
      <w:numFmt w:val="bullet"/>
      <w:lvlText w:val="■"/>
      <w:lvlJc w:val="left"/>
      <w:pPr>
        <w:ind w:left="2160" w:hanging="360"/>
      </w:pPr>
    </w:lvl>
    <w:lvl w:ilvl="3" w:tplc="F02A3250">
      <w:start w:val="1"/>
      <w:numFmt w:val="bullet"/>
      <w:lvlText w:val="●"/>
      <w:lvlJc w:val="left"/>
      <w:pPr>
        <w:ind w:left="2880" w:hanging="360"/>
      </w:pPr>
    </w:lvl>
    <w:lvl w:ilvl="4" w:tplc="A84C16BC">
      <w:start w:val="1"/>
      <w:numFmt w:val="bullet"/>
      <w:lvlText w:val="○"/>
      <w:lvlJc w:val="left"/>
      <w:pPr>
        <w:ind w:left="3600" w:hanging="360"/>
      </w:pPr>
    </w:lvl>
    <w:lvl w:ilvl="5" w:tplc="79F8B374">
      <w:start w:val="1"/>
      <w:numFmt w:val="bullet"/>
      <w:lvlText w:val="■"/>
      <w:lvlJc w:val="left"/>
      <w:pPr>
        <w:ind w:left="4320" w:hanging="360"/>
      </w:pPr>
    </w:lvl>
    <w:lvl w:ilvl="6" w:tplc="03B820B2">
      <w:start w:val="1"/>
      <w:numFmt w:val="bullet"/>
      <w:lvlText w:val="●"/>
      <w:lvlJc w:val="left"/>
      <w:pPr>
        <w:ind w:left="5040" w:hanging="360"/>
      </w:pPr>
    </w:lvl>
    <w:lvl w:ilvl="7" w:tplc="C64E4152">
      <w:start w:val="1"/>
      <w:numFmt w:val="bullet"/>
      <w:lvlText w:val="●"/>
      <w:lvlJc w:val="left"/>
      <w:pPr>
        <w:ind w:left="5760" w:hanging="360"/>
      </w:pPr>
    </w:lvl>
    <w:lvl w:ilvl="8" w:tplc="45125A78">
      <w:start w:val="1"/>
      <w:numFmt w:val="bullet"/>
      <w:lvlText w:val="●"/>
      <w:lvlJc w:val="left"/>
      <w:pPr>
        <w:ind w:left="6480" w:hanging="360"/>
      </w:pPr>
    </w:lvl>
  </w:abstractNum>
  <w:abstractNum w:abstractNumId="1" w15:restartNumberingAfterBreak="0">
    <w:nsid w:val="328E2E23"/>
    <w:multiLevelType w:val="hybridMultilevel"/>
    <w:tmpl w:val="912CD984"/>
    <w:lvl w:ilvl="0" w:tplc="DA1CF384">
      <w:start w:val="1"/>
      <w:numFmt w:val="decimal"/>
      <w:lvlText w:val="%1)"/>
      <w:lvlJc w:val="left"/>
      <w:pPr>
        <w:ind w:left="1068" w:hanging="360"/>
      </w:pPr>
      <w:rPr>
        <w:rFonts w:hint="default"/>
      </w:rPr>
    </w:lvl>
    <w:lvl w:ilvl="1" w:tplc="04100019" w:tentative="1">
      <w:start w:val="1"/>
      <w:numFmt w:val="lowerLetter"/>
      <w:lvlText w:val="%2."/>
      <w:lvlJc w:val="left"/>
      <w:pPr>
        <w:ind w:left="1788" w:hanging="360"/>
      </w:pPr>
    </w:lvl>
    <w:lvl w:ilvl="2" w:tplc="0410001B" w:tentative="1">
      <w:start w:val="1"/>
      <w:numFmt w:val="lowerRoman"/>
      <w:lvlText w:val="%3."/>
      <w:lvlJc w:val="right"/>
      <w:pPr>
        <w:ind w:left="2508" w:hanging="180"/>
      </w:pPr>
    </w:lvl>
    <w:lvl w:ilvl="3" w:tplc="0410000F" w:tentative="1">
      <w:start w:val="1"/>
      <w:numFmt w:val="decimal"/>
      <w:lvlText w:val="%4."/>
      <w:lvlJc w:val="left"/>
      <w:pPr>
        <w:ind w:left="3228" w:hanging="360"/>
      </w:pPr>
    </w:lvl>
    <w:lvl w:ilvl="4" w:tplc="04100019" w:tentative="1">
      <w:start w:val="1"/>
      <w:numFmt w:val="lowerLetter"/>
      <w:lvlText w:val="%5."/>
      <w:lvlJc w:val="left"/>
      <w:pPr>
        <w:ind w:left="3948" w:hanging="360"/>
      </w:pPr>
    </w:lvl>
    <w:lvl w:ilvl="5" w:tplc="0410001B" w:tentative="1">
      <w:start w:val="1"/>
      <w:numFmt w:val="lowerRoman"/>
      <w:lvlText w:val="%6."/>
      <w:lvlJc w:val="right"/>
      <w:pPr>
        <w:ind w:left="4668" w:hanging="180"/>
      </w:pPr>
    </w:lvl>
    <w:lvl w:ilvl="6" w:tplc="0410000F" w:tentative="1">
      <w:start w:val="1"/>
      <w:numFmt w:val="decimal"/>
      <w:lvlText w:val="%7."/>
      <w:lvlJc w:val="left"/>
      <w:pPr>
        <w:ind w:left="5388" w:hanging="360"/>
      </w:pPr>
    </w:lvl>
    <w:lvl w:ilvl="7" w:tplc="04100019" w:tentative="1">
      <w:start w:val="1"/>
      <w:numFmt w:val="lowerLetter"/>
      <w:lvlText w:val="%8."/>
      <w:lvlJc w:val="left"/>
      <w:pPr>
        <w:ind w:left="6108" w:hanging="360"/>
      </w:pPr>
    </w:lvl>
    <w:lvl w:ilvl="8" w:tplc="0410001B" w:tentative="1">
      <w:start w:val="1"/>
      <w:numFmt w:val="lowerRoman"/>
      <w:lvlText w:val="%9."/>
      <w:lvlJc w:val="right"/>
      <w:pPr>
        <w:ind w:left="6828" w:hanging="180"/>
      </w:pPr>
    </w:lvl>
  </w:abstractNum>
  <w:num w:numId="1" w16cid:durableId="12074974">
    <w:abstractNumId w:val="0"/>
    <w:lvlOverride w:ilvl="0">
      <w:startOverride w:val="1"/>
    </w:lvlOverride>
  </w:num>
  <w:num w:numId="2" w16cid:durableId="4932969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A72D9"/>
    <w:rsid w:val="00093F74"/>
    <w:rsid w:val="000C06F9"/>
    <w:rsid w:val="001A70AF"/>
    <w:rsid w:val="00224EA1"/>
    <w:rsid w:val="002A72D9"/>
    <w:rsid w:val="002D3B4E"/>
    <w:rsid w:val="002E2602"/>
    <w:rsid w:val="003A471D"/>
    <w:rsid w:val="003E2B1D"/>
    <w:rsid w:val="00441EE5"/>
    <w:rsid w:val="004A11C2"/>
    <w:rsid w:val="004D558E"/>
    <w:rsid w:val="004F6E85"/>
    <w:rsid w:val="00547824"/>
    <w:rsid w:val="00673598"/>
    <w:rsid w:val="006B1473"/>
    <w:rsid w:val="007B1022"/>
    <w:rsid w:val="009A2466"/>
    <w:rsid w:val="009B24A4"/>
    <w:rsid w:val="009B5D7E"/>
    <w:rsid w:val="00A02BD9"/>
    <w:rsid w:val="00A05A9A"/>
    <w:rsid w:val="00A13C93"/>
    <w:rsid w:val="00A14F2F"/>
    <w:rsid w:val="00B22CEE"/>
    <w:rsid w:val="00BF110A"/>
    <w:rsid w:val="00C43448"/>
    <w:rsid w:val="00C9738D"/>
    <w:rsid w:val="00D1049F"/>
    <w:rsid w:val="00E43515"/>
    <w:rsid w:val="00F67CFB"/>
    <w:rsid w:val="00FB2998"/>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AC5E26"/>
  <w15:docId w15:val="{F622BBBC-CCCF-48BD-B68B-A2D4A3F68CC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4"/>
        <w:szCs w:val="24"/>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outlineLvl w:val="0"/>
    </w:pPr>
    <w:rPr>
      <w:color w:val="2E74B5"/>
      <w:sz w:val="32"/>
      <w:szCs w:val="32"/>
    </w:rPr>
  </w:style>
  <w:style w:type="paragraph" w:styleId="Titolo2">
    <w:name w:val="heading 2"/>
    <w:uiPriority w:val="9"/>
    <w:semiHidden/>
    <w:unhideWhenUsed/>
    <w:qFormat/>
    <w:pPr>
      <w:outlineLvl w:val="1"/>
    </w:pPr>
    <w:rPr>
      <w:color w:val="2E74B5"/>
      <w:sz w:val="26"/>
      <w:szCs w:val="26"/>
    </w:rPr>
  </w:style>
  <w:style w:type="paragraph" w:styleId="Titolo3">
    <w:name w:val="heading 3"/>
    <w:uiPriority w:val="9"/>
    <w:semiHidden/>
    <w:unhideWhenUsed/>
    <w:qFormat/>
    <w:pPr>
      <w:outlineLvl w:val="2"/>
    </w:pPr>
    <w:rPr>
      <w:color w:val="1F4D78"/>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10</Pages>
  <Words>3527</Words>
  <Characters>20107</Characters>
  <Application>Microsoft Office Word</Application>
  <DocSecurity>0</DocSecurity>
  <Lines>167</Lines>
  <Paragraphs>47</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23587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r.vicidomini</cp:lastModifiedBy>
  <cp:revision>2</cp:revision>
  <dcterms:created xsi:type="dcterms:W3CDTF">2026-04-30T11:04:00Z</dcterms:created>
  <dcterms:modified xsi:type="dcterms:W3CDTF">2026-04-30T11:04:00Z</dcterms:modified>
</cp:coreProperties>
</file>