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BB9D" w14:textId="77777777" w:rsidR="00773E34" w:rsidRPr="00AA52E2" w:rsidRDefault="00C00AA4" w:rsidP="00AA52E2">
      <w:pPr>
        <w:spacing w:line="360" w:lineRule="auto"/>
        <w:jc w:val="center"/>
        <w:rPr>
          <w:rFonts w:ascii="Arial" w:hAnsi="Arial" w:cs="Arial"/>
          <w:sz w:val="24"/>
          <w:szCs w:val="24"/>
        </w:rPr>
      </w:pPr>
      <w:r w:rsidRPr="00AA52E2">
        <w:rPr>
          <w:rFonts w:ascii="Arial" w:eastAsia="Calibri" w:hAnsi="Arial" w:cs="Arial"/>
          <w:b/>
          <w:bCs/>
          <w:caps/>
          <w:sz w:val="24"/>
          <w:szCs w:val="24"/>
        </w:rPr>
        <w:t>TRIBUNALE DI TARANTO</w:t>
      </w:r>
    </w:p>
    <w:p w14:paraId="41D45B90" w14:textId="77777777" w:rsidR="00773E34" w:rsidRPr="00AA52E2" w:rsidRDefault="00C00AA4" w:rsidP="00AA52E2">
      <w:pPr>
        <w:spacing w:line="360" w:lineRule="auto"/>
        <w:jc w:val="center"/>
        <w:rPr>
          <w:rFonts w:ascii="Arial" w:hAnsi="Arial" w:cs="Arial"/>
          <w:sz w:val="24"/>
          <w:szCs w:val="24"/>
        </w:rPr>
      </w:pPr>
      <w:r w:rsidRPr="00AA52E2">
        <w:rPr>
          <w:rFonts w:ascii="Arial" w:eastAsia="Calibri" w:hAnsi="Arial" w:cs="Arial"/>
          <w:sz w:val="24"/>
          <w:szCs w:val="24"/>
        </w:rPr>
        <w:t>Sez. ___ Civile – Giudice Dott. _______ – n. R.G. __________</w:t>
      </w:r>
    </w:p>
    <w:p w14:paraId="0AC981F3" w14:textId="77777777" w:rsidR="00773E34" w:rsidRPr="00AA52E2" w:rsidRDefault="00773E34" w:rsidP="00AA52E2">
      <w:pPr>
        <w:spacing w:line="360" w:lineRule="auto"/>
        <w:jc w:val="both"/>
        <w:rPr>
          <w:rFonts w:ascii="Arial" w:hAnsi="Arial" w:cs="Arial"/>
          <w:sz w:val="24"/>
          <w:szCs w:val="24"/>
        </w:rPr>
      </w:pPr>
    </w:p>
    <w:p w14:paraId="6F8B0A8F" w14:textId="77777777" w:rsidR="00773E34" w:rsidRPr="00AA52E2" w:rsidRDefault="00C00AA4" w:rsidP="00AA52E2">
      <w:pPr>
        <w:spacing w:line="360" w:lineRule="auto"/>
        <w:jc w:val="center"/>
        <w:rPr>
          <w:rFonts w:ascii="Arial" w:hAnsi="Arial" w:cs="Arial"/>
          <w:sz w:val="24"/>
          <w:szCs w:val="24"/>
        </w:rPr>
      </w:pPr>
      <w:r w:rsidRPr="00AA52E2">
        <w:rPr>
          <w:rFonts w:ascii="Arial" w:eastAsia="Calibri" w:hAnsi="Arial" w:cs="Arial"/>
          <w:b/>
          <w:bCs/>
          <w:sz w:val="24"/>
          <w:szCs w:val="24"/>
        </w:rPr>
        <w:t>COMPARSA DI COSTITUZIONE E RISPOSTA</w:t>
      </w:r>
    </w:p>
    <w:p w14:paraId="4421147F" w14:textId="69A09C74" w:rsidR="00773E34" w:rsidRPr="00AA52E2" w:rsidRDefault="00C00AA4" w:rsidP="000E5FE9">
      <w:pPr>
        <w:spacing w:line="360" w:lineRule="auto"/>
        <w:ind w:firstLine="708"/>
        <w:jc w:val="both"/>
        <w:rPr>
          <w:rFonts w:ascii="Arial" w:hAnsi="Arial" w:cs="Arial"/>
          <w:sz w:val="24"/>
          <w:szCs w:val="24"/>
        </w:rPr>
      </w:pPr>
      <w:r w:rsidRPr="00AA52E2">
        <w:rPr>
          <w:rFonts w:ascii="Arial" w:eastAsia="Calibri" w:hAnsi="Arial" w:cs="Arial"/>
          <w:b/>
          <w:bCs/>
          <w:sz w:val="24"/>
          <w:szCs w:val="24"/>
        </w:rPr>
        <w:t>PER:</w:t>
      </w:r>
      <w:r w:rsidR="000E5FE9">
        <w:rPr>
          <w:rFonts w:ascii="Arial" w:eastAsia="Calibri" w:hAnsi="Arial" w:cs="Arial"/>
          <w:b/>
          <w:bCs/>
          <w:sz w:val="24"/>
          <w:szCs w:val="24"/>
        </w:rPr>
        <w:t xml:space="preserve"> </w:t>
      </w:r>
    </w:p>
    <w:p w14:paraId="441C326A" w14:textId="77777777" w:rsidR="00773E34" w:rsidRPr="00AA52E2" w:rsidRDefault="00C00AA4" w:rsidP="000E5FE9">
      <w:pPr>
        <w:spacing w:line="360" w:lineRule="auto"/>
        <w:ind w:firstLine="708"/>
        <w:jc w:val="both"/>
        <w:rPr>
          <w:rFonts w:ascii="Arial" w:hAnsi="Arial" w:cs="Arial"/>
          <w:sz w:val="24"/>
          <w:szCs w:val="24"/>
        </w:rPr>
      </w:pPr>
      <w:r w:rsidRPr="00AA52E2">
        <w:rPr>
          <w:rFonts w:ascii="Arial" w:eastAsia="Calibri" w:hAnsi="Arial" w:cs="Arial"/>
          <w:sz w:val="24"/>
          <w:szCs w:val="24"/>
        </w:rPr>
        <w:t xml:space="preserve">Comune di </w:t>
      </w:r>
      <w:r w:rsidRPr="00AA52E2">
        <w:rPr>
          <w:rFonts w:ascii="Arial" w:eastAsia="Calibri" w:hAnsi="Arial" w:cs="Arial"/>
          <w:b/>
          <w:bCs/>
          <w:sz w:val="24"/>
          <w:szCs w:val="24"/>
        </w:rPr>
        <w:t>Palagiano</w:t>
      </w:r>
      <w:r w:rsidRPr="00AA52E2">
        <w:rPr>
          <w:rFonts w:ascii="Arial" w:eastAsia="Calibri" w:hAnsi="Arial" w:cs="Arial"/>
          <w:sz w:val="24"/>
          <w:szCs w:val="24"/>
        </w:rPr>
        <w:t xml:space="preserve"> (C.F. 82001970738), in persona del Sindaco pro tempore, domiciliato per la carica in Palagiano (TA), elettivamente domiciliato in Taranto presso lo studio dell'Avv. __________ (C.F. __________), che lo rappresenta e difende giusta mandato in calce e Deliberazione di Giunta Comunale n. ___ del ___, con dichiarazione di voler ricevere le comunicazioni al seguente indirizzo PEC: __________;</w:t>
      </w:r>
    </w:p>
    <w:p w14:paraId="51269A03" w14:textId="77777777" w:rsidR="00773E34" w:rsidRPr="00AA52E2" w:rsidRDefault="00C00AA4" w:rsidP="000E5FE9">
      <w:pPr>
        <w:spacing w:line="360" w:lineRule="auto"/>
        <w:ind w:firstLine="708"/>
        <w:jc w:val="both"/>
        <w:rPr>
          <w:rFonts w:ascii="Arial" w:hAnsi="Arial" w:cs="Arial"/>
          <w:sz w:val="24"/>
          <w:szCs w:val="24"/>
        </w:rPr>
      </w:pPr>
      <w:r w:rsidRPr="00AA52E2">
        <w:rPr>
          <w:rFonts w:ascii="Arial" w:eastAsia="Calibri" w:hAnsi="Arial" w:cs="Arial"/>
          <w:b/>
          <w:bCs/>
          <w:sz w:val="24"/>
          <w:szCs w:val="24"/>
        </w:rPr>
        <w:t>CONTRO:</w:t>
      </w:r>
    </w:p>
    <w:p w14:paraId="50EF4B24" w14:textId="4DC61994" w:rsidR="00773E34" w:rsidRPr="00AA52E2" w:rsidRDefault="00C00AA4" w:rsidP="000E5FE9">
      <w:pPr>
        <w:spacing w:line="360" w:lineRule="auto"/>
        <w:ind w:firstLine="708"/>
        <w:jc w:val="both"/>
        <w:rPr>
          <w:rFonts w:ascii="Arial" w:hAnsi="Arial" w:cs="Arial"/>
          <w:sz w:val="24"/>
          <w:szCs w:val="24"/>
        </w:rPr>
      </w:pPr>
      <w:r w:rsidRPr="00AA52E2">
        <w:rPr>
          <w:rFonts w:ascii="Arial" w:eastAsia="Calibri" w:hAnsi="Arial" w:cs="Arial"/>
          <w:b/>
          <w:bCs/>
          <w:sz w:val="24"/>
          <w:szCs w:val="24"/>
        </w:rPr>
        <w:t>Acquedotto Pugliese S.p.A.,</w:t>
      </w:r>
      <w:r w:rsidRPr="00AA52E2">
        <w:rPr>
          <w:rFonts w:ascii="Arial" w:eastAsia="Calibri" w:hAnsi="Arial" w:cs="Arial"/>
          <w:sz w:val="24"/>
          <w:szCs w:val="24"/>
        </w:rPr>
        <w:t xml:space="preserve"> in persona del legale rappresentante p.t., P. IVA 01234560738</w:t>
      </w:r>
      <w:r w:rsidR="00E47C47" w:rsidRPr="00AA52E2">
        <w:rPr>
          <w:rFonts w:ascii="Arial" w:eastAsia="Calibri" w:hAnsi="Arial" w:cs="Arial"/>
          <w:sz w:val="24"/>
          <w:szCs w:val="24"/>
        </w:rPr>
        <w:t xml:space="preserve">, </w:t>
      </w:r>
    </w:p>
    <w:p w14:paraId="538A17EB" w14:textId="77777777" w:rsidR="00773E34" w:rsidRPr="00AA52E2" w:rsidRDefault="00C00AA4" w:rsidP="000E5FE9">
      <w:pPr>
        <w:spacing w:line="360" w:lineRule="auto"/>
        <w:ind w:firstLine="708"/>
        <w:jc w:val="both"/>
        <w:rPr>
          <w:rFonts w:ascii="Arial" w:hAnsi="Arial" w:cs="Arial"/>
          <w:sz w:val="24"/>
          <w:szCs w:val="24"/>
        </w:rPr>
      </w:pPr>
      <w:r w:rsidRPr="00AA52E2">
        <w:rPr>
          <w:rFonts w:ascii="Arial" w:eastAsia="Calibri" w:hAnsi="Arial" w:cs="Arial"/>
          <w:b/>
          <w:bCs/>
          <w:sz w:val="24"/>
          <w:szCs w:val="24"/>
        </w:rPr>
        <w:t>PREMESSO</w:t>
      </w:r>
    </w:p>
    <w:p w14:paraId="14DF0167" w14:textId="0E5934EA" w:rsidR="002A3A97" w:rsidRPr="00AA52E2" w:rsidRDefault="00E47C47" w:rsidP="00E1739B">
      <w:pPr>
        <w:spacing w:line="360" w:lineRule="auto"/>
        <w:ind w:firstLine="567"/>
        <w:jc w:val="both"/>
        <w:rPr>
          <w:rFonts w:ascii="Arial" w:hAnsi="Arial" w:cs="Arial"/>
          <w:sz w:val="24"/>
          <w:szCs w:val="24"/>
          <w:shd w:val="clear" w:color="auto" w:fill="FFFFFF"/>
        </w:rPr>
      </w:pPr>
      <w:r w:rsidRPr="00AA52E2">
        <w:rPr>
          <w:rFonts w:ascii="Arial" w:hAnsi="Arial" w:cs="Arial"/>
          <w:bCs/>
          <w:sz w:val="24"/>
          <w:szCs w:val="24"/>
        </w:rPr>
        <w:t>Il Comune di Palagiano, in data 1 dicembre 2025, ha notificato all’odierna attrice l’</w:t>
      </w:r>
      <w:r w:rsidRPr="00AA52E2">
        <w:rPr>
          <w:rFonts w:ascii="Arial" w:hAnsi="Arial" w:cs="Arial"/>
          <w:b/>
          <w:sz w:val="24"/>
          <w:szCs w:val="24"/>
        </w:rPr>
        <w:t>AVVISO DI ACCERTAMENTO</w:t>
      </w:r>
      <w:r w:rsidRPr="00AA52E2">
        <w:rPr>
          <w:rFonts w:ascii="Arial" w:hAnsi="Arial" w:cs="Arial"/>
          <w:bCs/>
          <w:sz w:val="24"/>
          <w:szCs w:val="24"/>
        </w:rPr>
        <w:t xml:space="preserve"> </w:t>
      </w:r>
      <w:r w:rsidR="002A3A97" w:rsidRPr="00AA52E2">
        <w:rPr>
          <w:rFonts w:ascii="Arial" w:eastAsia="Calibri" w:hAnsi="Arial" w:cs="Arial"/>
          <w:b/>
          <w:bCs/>
          <w:sz w:val="24"/>
          <w:szCs w:val="24"/>
        </w:rPr>
        <w:t xml:space="preserve">n. 1 del 24/11/2025 </w:t>
      </w:r>
      <w:r w:rsidR="002A3A97" w:rsidRPr="00AA52E2">
        <w:rPr>
          <w:rFonts w:ascii="Arial" w:hAnsi="Arial" w:cs="Arial"/>
          <w:bCs/>
          <w:sz w:val="24"/>
          <w:szCs w:val="24"/>
        </w:rPr>
        <w:t xml:space="preserve">con il quale è stato ingiunto il pagamento della somma </w:t>
      </w:r>
      <w:r w:rsidR="00B81C9D">
        <w:rPr>
          <w:rFonts w:ascii="Arial" w:hAnsi="Arial" w:cs="Arial"/>
          <w:bCs/>
          <w:sz w:val="24"/>
          <w:szCs w:val="24"/>
        </w:rPr>
        <w:t xml:space="preserve">complessiva </w:t>
      </w:r>
      <w:r w:rsidR="002A3A97" w:rsidRPr="00AA52E2">
        <w:rPr>
          <w:rFonts w:ascii="Arial" w:hAnsi="Arial" w:cs="Arial"/>
          <w:bCs/>
          <w:sz w:val="24"/>
          <w:szCs w:val="24"/>
        </w:rPr>
        <w:t xml:space="preserve">di Euro </w:t>
      </w:r>
      <w:r w:rsidR="002A3A97" w:rsidRPr="00AA52E2">
        <w:rPr>
          <w:rFonts w:ascii="Arial" w:eastAsia="Calibri" w:hAnsi="Arial" w:cs="Arial"/>
          <w:sz w:val="24"/>
          <w:szCs w:val="24"/>
        </w:rPr>
        <w:t xml:space="preserve">€ </w:t>
      </w:r>
      <w:r w:rsidR="002A3A97" w:rsidRPr="00B81C9D">
        <w:rPr>
          <w:rFonts w:ascii="Arial" w:eastAsia="Calibri" w:hAnsi="Arial" w:cs="Arial"/>
          <w:sz w:val="24"/>
          <w:szCs w:val="24"/>
        </w:rPr>
        <w:t xml:space="preserve">119.499,00 </w:t>
      </w:r>
      <w:r w:rsidR="002A3A97" w:rsidRPr="00B81C9D">
        <w:rPr>
          <w:rFonts w:ascii="Arial" w:hAnsi="Arial" w:cs="Arial"/>
          <w:bCs/>
          <w:sz w:val="24"/>
          <w:szCs w:val="24"/>
        </w:rPr>
        <w:t>a titolo di Canone Unico Patrimoniale (</w:t>
      </w:r>
      <w:r w:rsidR="002A3A97" w:rsidRPr="00B81C9D">
        <w:rPr>
          <w:rFonts w:ascii="Arial" w:hAnsi="Arial" w:cs="Arial"/>
          <w:b/>
          <w:sz w:val="24"/>
          <w:szCs w:val="24"/>
        </w:rPr>
        <w:t>CUP</w:t>
      </w:r>
      <w:r w:rsidR="002A3A97" w:rsidRPr="00B81C9D">
        <w:rPr>
          <w:rFonts w:ascii="Arial" w:hAnsi="Arial" w:cs="Arial"/>
          <w:bCs/>
          <w:sz w:val="24"/>
          <w:szCs w:val="24"/>
        </w:rPr>
        <w:t xml:space="preserve">), per gli anni 2021-2022-2023-2024, </w:t>
      </w:r>
      <w:r w:rsidR="002A3A97" w:rsidRPr="00AA52E2">
        <w:rPr>
          <w:rFonts w:ascii="Arial" w:hAnsi="Arial" w:cs="Arial"/>
          <w:sz w:val="24"/>
          <w:szCs w:val="24"/>
          <w:shd w:val="clear" w:color="auto" w:fill="FFFFFF"/>
        </w:rPr>
        <w:t>per le occupazioni permanenti del territorio del Comune di Palagiano, con cavi e condutture, per la fornitura del servizio idrico integrato. (cfr. doc. 1), gestito dalla Acquedotto Pugliese spa.</w:t>
      </w:r>
    </w:p>
    <w:p w14:paraId="309944AA" w14:textId="4089F8B2" w:rsidR="002A3A97" w:rsidRPr="00AA52E2" w:rsidRDefault="002A3A97" w:rsidP="00E1739B">
      <w:pPr>
        <w:spacing w:line="360" w:lineRule="auto"/>
        <w:ind w:firstLine="567"/>
        <w:jc w:val="both"/>
        <w:rPr>
          <w:rFonts w:ascii="Arial" w:hAnsi="Arial" w:cs="Arial"/>
          <w:sz w:val="24"/>
          <w:szCs w:val="24"/>
        </w:rPr>
      </w:pPr>
      <w:r w:rsidRPr="00AA52E2">
        <w:rPr>
          <w:rFonts w:ascii="Arial" w:hAnsi="Arial" w:cs="Arial"/>
          <w:sz w:val="24"/>
          <w:szCs w:val="24"/>
        </w:rPr>
        <w:t xml:space="preserve">Tale provvedimento è stato emesso in ottemperanza all’articolo 1, commi 816 a 836 e in conformità con le disposizioni </w:t>
      </w:r>
      <w:r w:rsidR="00B81C9D">
        <w:rPr>
          <w:rFonts w:ascii="Arial" w:hAnsi="Arial" w:cs="Arial"/>
          <w:sz w:val="24"/>
          <w:szCs w:val="24"/>
        </w:rPr>
        <w:t xml:space="preserve">del </w:t>
      </w:r>
      <w:r w:rsidRPr="00AA52E2">
        <w:rPr>
          <w:rFonts w:ascii="Arial" w:hAnsi="Arial" w:cs="Arial"/>
          <w:sz w:val="24"/>
          <w:szCs w:val="24"/>
        </w:rPr>
        <w:t>vigente Regolamento Comunale del Canone Patrimoniale di Concessione e Autorizzazione o Esposizione pubblicitaria.</w:t>
      </w:r>
    </w:p>
    <w:p w14:paraId="6FDB0927" w14:textId="713C15A1" w:rsidR="002A3A97" w:rsidRPr="00AA52E2" w:rsidRDefault="002A3A97" w:rsidP="00E1739B">
      <w:pPr>
        <w:spacing w:line="360" w:lineRule="auto"/>
        <w:ind w:firstLine="567"/>
        <w:jc w:val="both"/>
        <w:rPr>
          <w:rFonts w:ascii="Arial" w:hAnsi="Arial" w:cs="Arial"/>
          <w:sz w:val="24"/>
          <w:szCs w:val="24"/>
          <w:shd w:val="clear" w:color="auto" w:fill="FFFFFF"/>
        </w:rPr>
      </w:pPr>
      <w:r w:rsidRPr="00AA52E2">
        <w:rPr>
          <w:rFonts w:ascii="Arial" w:hAnsi="Arial" w:cs="Arial"/>
          <w:sz w:val="24"/>
          <w:szCs w:val="24"/>
        </w:rPr>
        <w:t>Avverso tale accertamento è insorta la Acquedotto Pugliese spa che, con atto di citazione in opposizione ad accertamento</w:t>
      </w:r>
      <w:r w:rsidRPr="00AA52E2">
        <w:rPr>
          <w:rFonts w:ascii="Arial" w:hAnsi="Arial" w:cs="Arial"/>
          <w:b/>
          <w:sz w:val="24"/>
          <w:szCs w:val="24"/>
        </w:rPr>
        <w:t xml:space="preserve"> </w:t>
      </w:r>
      <w:r w:rsidRPr="00AA52E2">
        <w:rPr>
          <w:rFonts w:ascii="Arial" w:hAnsi="Arial" w:cs="Arial"/>
          <w:bCs/>
          <w:sz w:val="24"/>
          <w:szCs w:val="24"/>
        </w:rPr>
        <w:t xml:space="preserve">esecutivo (che si produce - cfr. doc. 2), ha evocato in giudizio il Comune di Palagiano chiedendo al Tribunale adito che, previa sospensione dell'efficacia esecutiva dell'impugnato accertamento, volesse: </w:t>
      </w:r>
      <w:r w:rsidRPr="00AA52E2">
        <w:rPr>
          <w:rFonts w:ascii="Arial" w:hAnsi="Arial" w:cs="Arial"/>
          <w:bCs/>
          <w:i/>
          <w:sz w:val="24"/>
          <w:szCs w:val="24"/>
        </w:rPr>
        <w:t>“</w:t>
      </w:r>
      <w:r w:rsidR="00AD3CED" w:rsidRPr="00B81C9D">
        <w:rPr>
          <w:rFonts w:ascii="Arial" w:hAnsi="Arial" w:cs="Arial"/>
          <w:b/>
          <w:i/>
          <w:sz w:val="24"/>
          <w:szCs w:val="24"/>
        </w:rPr>
        <w:t>2</w:t>
      </w:r>
      <w:r w:rsidRPr="00B81C9D">
        <w:rPr>
          <w:rFonts w:ascii="Arial" w:hAnsi="Arial" w:cs="Arial"/>
          <w:b/>
          <w:i/>
          <w:sz w:val="24"/>
          <w:szCs w:val="24"/>
        </w:rPr>
        <w:t>)</w:t>
      </w:r>
      <w:r w:rsidRPr="00AA52E2">
        <w:rPr>
          <w:rFonts w:ascii="Arial" w:hAnsi="Arial" w:cs="Arial"/>
          <w:bCs/>
          <w:i/>
          <w:sz w:val="24"/>
          <w:szCs w:val="24"/>
        </w:rPr>
        <w:t xml:space="preserve"> </w:t>
      </w:r>
      <w:r w:rsidRPr="00AA52E2">
        <w:rPr>
          <w:rFonts w:ascii="Arial" w:hAnsi="Arial" w:cs="Arial"/>
          <w:i/>
          <w:sz w:val="24"/>
          <w:szCs w:val="24"/>
        </w:rPr>
        <w:t xml:space="preserve">accertare e dichiarare l’illegittimità e conseguentemente disporre l’annullamento del ridetto avviso di accertamento esecutivo, per difetto del presupposto impositivo previsto dalla normativa sopra richiamata o, in alternativa, per sussistenza dei requisiti di esenzione di cui al d.lgs. 160/2019, art. 1 comma 833 lett. d); </w:t>
      </w:r>
      <w:r w:rsidRPr="00B81C9D">
        <w:rPr>
          <w:rFonts w:ascii="Arial" w:hAnsi="Arial" w:cs="Arial"/>
          <w:b/>
          <w:bCs/>
          <w:i/>
          <w:sz w:val="24"/>
          <w:szCs w:val="24"/>
        </w:rPr>
        <w:t>3</w:t>
      </w:r>
      <w:r w:rsidR="00B81C9D" w:rsidRPr="00B81C9D">
        <w:rPr>
          <w:rFonts w:ascii="Arial" w:hAnsi="Arial" w:cs="Arial"/>
          <w:b/>
          <w:bCs/>
          <w:i/>
          <w:sz w:val="24"/>
          <w:szCs w:val="24"/>
        </w:rPr>
        <w:t>)</w:t>
      </w:r>
      <w:r w:rsidRPr="00AA52E2">
        <w:rPr>
          <w:rFonts w:ascii="Arial" w:hAnsi="Arial" w:cs="Arial"/>
          <w:i/>
          <w:sz w:val="24"/>
          <w:szCs w:val="24"/>
        </w:rPr>
        <w:t xml:space="preserve"> disapplicare il richiamato regolamento comunale adottato con delibera di CC n 6/2021 ex art 5 L.2248/1965 o, in alternativa, ritenere applicabili ad AQP le esclusioni previste all’art. 32 del richiamato regolamento comunale adottato con delibera di CC n 6/2021 in quanto mero richiamo alle leggi in vigore e, </w:t>
      </w:r>
      <w:r w:rsidRPr="00AA52E2">
        <w:rPr>
          <w:rFonts w:ascii="Arial" w:hAnsi="Arial" w:cs="Arial"/>
          <w:i/>
          <w:sz w:val="24"/>
          <w:szCs w:val="24"/>
        </w:rPr>
        <w:lastRenderedPageBreak/>
        <w:t xml:space="preserve">pertanto, anche all’ art. 1 comma 833 lett. d); </w:t>
      </w:r>
      <w:r w:rsidRPr="00B81C9D">
        <w:rPr>
          <w:rFonts w:ascii="Arial" w:hAnsi="Arial" w:cs="Arial"/>
          <w:b/>
          <w:bCs/>
          <w:i/>
          <w:sz w:val="24"/>
          <w:szCs w:val="24"/>
        </w:rPr>
        <w:t>4</w:t>
      </w:r>
      <w:r w:rsidR="00B81C9D">
        <w:rPr>
          <w:rFonts w:ascii="Arial" w:hAnsi="Arial" w:cs="Arial"/>
          <w:b/>
          <w:bCs/>
          <w:i/>
          <w:sz w:val="24"/>
          <w:szCs w:val="24"/>
        </w:rPr>
        <w:t>)</w:t>
      </w:r>
      <w:r w:rsidRPr="00AA52E2">
        <w:rPr>
          <w:rFonts w:ascii="Arial" w:hAnsi="Arial" w:cs="Arial"/>
          <w:i/>
          <w:sz w:val="24"/>
          <w:szCs w:val="24"/>
        </w:rPr>
        <w:t xml:space="preserve"> condannare le parti convenute al pagamento delle spese del presente giudizio, ivi compreso il rimborso del contributo unificato e di ogni eventuale ulteriore onere o spesa sostenuta.</w:t>
      </w:r>
      <w:r w:rsidR="00AD3CED" w:rsidRPr="00AA52E2">
        <w:rPr>
          <w:rFonts w:ascii="Arial" w:hAnsi="Arial" w:cs="Arial"/>
          <w:i/>
          <w:sz w:val="24"/>
          <w:szCs w:val="24"/>
        </w:rPr>
        <w:t>”</w:t>
      </w:r>
    </w:p>
    <w:p w14:paraId="55A24CFC" w14:textId="3B56B576" w:rsidR="00AD3CED" w:rsidRPr="00AA52E2" w:rsidRDefault="00AD3CED" w:rsidP="00AA52E2">
      <w:pPr>
        <w:spacing w:line="360" w:lineRule="auto"/>
        <w:ind w:firstLine="360"/>
        <w:jc w:val="both"/>
        <w:rPr>
          <w:rFonts w:ascii="Arial" w:hAnsi="Arial" w:cs="Arial"/>
          <w:bCs/>
          <w:sz w:val="24"/>
          <w:szCs w:val="24"/>
        </w:rPr>
      </w:pPr>
      <w:r w:rsidRPr="00AA52E2">
        <w:rPr>
          <w:rFonts w:ascii="Arial" w:eastAsia="Calibri" w:hAnsi="Arial" w:cs="Arial"/>
          <w:b/>
          <w:bCs/>
          <w:sz w:val="24"/>
          <w:szCs w:val="24"/>
        </w:rPr>
        <w:tab/>
      </w:r>
      <w:r w:rsidRPr="00AA52E2">
        <w:rPr>
          <w:rFonts w:ascii="Arial" w:hAnsi="Arial" w:cs="Arial"/>
          <w:bCs/>
          <w:sz w:val="24"/>
          <w:szCs w:val="24"/>
        </w:rPr>
        <w:t>L’opposizione promossa da Acquedotto Pugliese è palesemente infondata in fatto e in diritto e, pertanto, deve essere integralmente rigettata per le ragioni che di seguito si espongono.</w:t>
      </w:r>
    </w:p>
    <w:p w14:paraId="1AF0F612" w14:textId="77777777" w:rsidR="00AD3CED" w:rsidRPr="00AA52E2" w:rsidRDefault="00AD3CED" w:rsidP="00E1739B">
      <w:pPr>
        <w:spacing w:line="360" w:lineRule="auto"/>
        <w:jc w:val="center"/>
        <w:rPr>
          <w:rFonts w:ascii="Arial" w:hAnsi="Arial" w:cs="Arial"/>
          <w:b/>
          <w:color w:val="000000"/>
          <w:sz w:val="24"/>
          <w:szCs w:val="24"/>
        </w:rPr>
      </w:pPr>
      <w:r w:rsidRPr="00AA52E2">
        <w:rPr>
          <w:rFonts w:ascii="Arial" w:hAnsi="Arial" w:cs="Arial"/>
          <w:b/>
          <w:sz w:val="24"/>
          <w:szCs w:val="24"/>
        </w:rPr>
        <w:t>*****</w:t>
      </w:r>
    </w:p>
    <w:p w14:paraId="291CE3A3" w14:textId="7485C956" w:rsidR="00AD3CED" w:rsidRPr="00AA52E2" w:rsidRDefault="00AD3CED" w:rsidP="00F85795">
      <w:pPr>
        <w:pStyle w:val="Bollo"/>
        <w:spacing w:line="360" w:lineRule="auto"/>
        <w:ind w:firstLine="567"/>
        <w:rPr>
          <w:rFonts w:ascii="Arial" w:hAnsi="Arial" w:cs="Arial"/>
          <w:b w:val="0"/>
          <w:sz w:val="24"/>
          <w:szCs w:val="24"/>
        </w:rPr>
      </w:pPr>
      <w:r w:rsidRPr="00AA52E2">
        <w:rPr>
          <w:rFonts w:ascii="Arial" w:hAnsi="Arial" w:cs="Arial"/>
          <w:b w:val="0"/>
          <w:bCs/>
          <w:sz w:val="24"/>
          <w:szCs w:val="24"/>
        </w:rPr>
        <w:t xml:space="preserve">Con il presente atto si costituisce in giudizio il </w:t>
      </w:r>
      <w:r w:rsidRPr="00AA52E2">
        <w:rPr>
          <w:rFonts w:ascii="Arial" w:hAnsi="Arial" w:cs="Arial"/>
          <w:bCs/>
          <w:sz w:val="24"/>
          <w:szCs w:val="24"/>
        </w:rPr>
        <w:t>COMUNE DI PALAGIANO</w:t>
      </w:r>
      <w:r w:rsidRPr="00AA52E2">
        <w:rPr>
          <w:rFonts w:ascii="Arial" w:hAnsi="Arial" w:cs="Arial"/>
          <w:sz w:val="24"/>
          <w:szCs w:val="24"/>
        </w:rPr>
        <w:t>,</w:t>
      </w:r>
      <w:r w:rsidRPr="00AA52E2">
        <w:rPr>
          <w:rFonts w:ascii="Arial" w:hAnsi="Arial" w:cs="Arial"/>
          <w:b w:val="0"/>
          <w:sz w:val="24"/>
          <w:szCs w:val="24"/>
        </w:rPr>
        <w:t xml:space="preserve"> come sopra rappresentat</w:t>
      </w:r>
      <w:r w:rsidR="00B81C9D">
        <w:rPr>
          <w:rFonts w:ascii="Arial" w:hAnsi="Arial" w:cs="Arial"/>
          <w:b w:val="0"/>
          <w:sz w:val="24"/>
          <w:szCs w:val="24"/>
        </w:rPr>
        <w:t>o</w:t>
      </w:r>
      <w:r w:rsidRPr="00AA52E2">
        <w:rPr>
          <w:rFonts w:ascii="Arial" w:hAnsi="Arial" w:cs="Arial"/>
          <w:b w:val="0"/>
          <w:sz w:val="24"/>
          <w:szCs w:val="24"/>
        </w:rPr>
        <w:t xml:space="preserve"> e difes</w:t>
      </w:r>
      <w:r w:rsidR="00B81C9D">
        <w:rPr>
          <w:rFonts w:ascii="Arial" w:hAnsi="Arial" w:cs="Arial"/>
          <w:b w:val="0"/>
          <w:sz w:val="24"/>
          <w:szCs w:val="24"/>
        </w:rPr>
        <w:t>o</w:t>
      </w:r>
      <w:r w:rsidRPr="00AA52E2">
        <w:rPr>
          <w:rFonts w:ascii="Arial" w:hAnsi="Arial" w:cs="Arial"/>
          <w:b w:val="0"/>
          <w:sz w:val="24"/>
          <w:szCs w:val="24"/>
        </w:rPr>
        <w:t xml:space="preserve"> contestando le domande, eccezioni e deduzioni avversarie delle quali chiede il rigetto per i seguenti</w:t>
      </w:r>
    </w:p>
    <w:p w14:paraId="5455A88C" w14:textId="77777777" w:rsidR="00AD3CED" w:rsidRPr="00AA52E2" w:rsidRDefault="00AD3CED" w:rsidP="00AA52E2">
      <w:pPr>
        <w:pStyle w:val="Bollo"/>
        <w:spacing w:line="360" w:lineRule="auto"/>
        <w:jc w:val="center"/>
        <w:rPr>
          <w:rFonts w:ascii="Arial" w:hAnsi="Arial" w:cs="Arial"/>
          <w:iCs/>
          <w:sz w:val="24"/>
          <w:szCs w:val="24"/>
        </w:rPr>
      </w:pPr>
      <w:r w:rsidRPr="00AA52E2">
        <w:rPr>
          <w:rFonts w:ascii="Arial" w:hAnsi="Arial" w:cs="Arial"/>
          <w:iCs/>
          <w:sz w:val="24"/>
          <w:szCs w:val="24"/>
        </w:rPr>
        <w:t>MOTIVI</w:t>
      </w:r>
    </w:p>
    <w:p w14:paraId="365B3C77" w14:textId="3DF3D1B0" w:rsidR="00836A86" w:rsidRPr="00AA52E2" w:rsidRDefault="00836A86" w:rsidP="00AA52E2">
      <w:pPr>
        <w:spacing w:line="360" w:lineRule="auto"/>
        <w:ind w:firstLine="708"/>
        <w:jc w:val="both"/>
        <w:rPr>
          <w:rFonts w:ascii="Arial" w:hAnsi="Arial" w:cs="Arial"/>
          <w:sz w:val="24"/>
          <w:szCs w:val="24"/>
        </w:rPr>
      </w:pPr>
      <w:r w:rsidRPr="00AA52E2">
        <w:rPr>
          <w:rFonts w:ascii="Arial" w:eastAsia="Calibri" w:hAnsi="Arial" w:cs="Arial"/>
          <w:b/>
          <w:bCs/>
          <w:sz w:val="24"/>
          <w:szCs w:val="24"/>
        </w:rPr>
        <w:t xml:space="preserve">1. </w:t>
      </w:r>
      <w:r w:rsidR="004C2AAD" w:rsidRPr="00AA52E2">
        <w:rPr>
          <w:rFonts w:ascii="Arial" w:eastAsia="Calibri" w:hAnsi="Arial" w:cs="Arial"/>
          <w:b/>
          <w:bCs/>
          <w:sz w:val="24"/>
          <w:szCs w:val="24"/>
        </w:rPr>
        <w:t>SULL’</w:t>
      </w:r>
      <w:r w:rsidRPr="00AA52E2">
        <w:rPr>
          <w:rFonts w:ascii="Arial" w:eastAsia="Calibri" w:hAnsi="Arial" w:cs="Arial"/>
          <w:b/>
          <w:bCs/>
          <w:sz w:val="24"/>
          <w:szCs w:val="24"/>
        </w:rPr>
        <w:t>INSUSSISTENZA DEI VIZI FORMALI DEDOTTI</w:t>
      </w:r>
    </w:p>
    <w:p w14:paraId="652B7167" w14:textId="17A56427" w:rsidR="00836A86" w:rsidRPr="00AA52E2" w:rsidRDefault="004C2AAD" w:rsidP="00AA52E2">
      <w:pPr>
        <w:spacing w:line="360" w:lineRule="auto"/>
        <w:ind w:firstLine="708"/>
        <w:jc w:val="both"/>
        <w:rPr>
          <w:rFonts w:ascii="Arial" w:eastAsia="Calibri" w:hAnsi="Arial" w:cs="Arial"/>
          <w:sz w:val="24"/>
          <w:szCs w:val="24"/>
        </w:rPr>
      </w:pPr>
      <w:r w:rsidRPr="00AA52E2">
        <w:rPr>
          <w:rFonts w:ascii="Arial" w:eastAsia="Calibri" w:hAnsi="Arial" w:cs="Arial"/>
          <w:sz w:val="24"/>
          <w:szCs w:val="24"/>
        </w:rPr>
        <w:t xml:space="preserve">L’attrice eccepisce che </w:t>
      </w:r>
      <w:r w:rsidR="00836A86" w:rsidRPr="00AA52E2">
        <w:rPr>
          <w:rFonts w:ascii="Arial" w:eastAsia="Calibri" w:hAnsi="Arial" w:cs="Arial"/>
          <w:sz w:val="24"/>
          <w:szCs w:val="24"/>
        </w:rPr>
        <w:t>il Regolamento del Canone Unico Patrimoniale</w:t>
      </w:r>
      <w:r w:rsidRPr="00AA52E2">
        <w:rPr>
          <w:rFonts w:ascii="Arial" w:eastAsia="Calibri" w:hAnsi="Arial" w:cs="Arial"/>
          <w:sz w:val="24"/>
          <w:szCs w:val="24"/>
        </w:rPr>
        <w:t>,</w:t>
      </w:r>
      <w:r w:rsidR="00836A86" w:rsidRPr="00AA52E2">
        <w:rPr>
          <w:rFonts w:ascii="Arial" w:eastAsia="Calibri" w:hAnsi="Arial" w:cs="Arial"/>
          <w:sz w:val="24"/>
          <w:szCs w:val="24"/>
        </w:rPr>
        <w:t xml:space="preserve"> adottato dal Comune di Palagiano </w:t>
      </w:r>
      <w:r w:rsidRPr="00AA52E2">
        <w:rPr>
          <w:rFonts w:ascii="Arial" w:eastAsia="Calibri" w:hAnsi="Arial" w:cs="Arial"/>
          <w:sz w:val="24"/>
          <w:szCs w:val="24"/>
        </w:rPr>
        <w:t xml:space="preserve">e approvato dal Consiglio Comunale in data 5 marzo 2021, </w:t>
      </w:r>
      <w:r w:rsidR="00836A86" w:rsidRPr="00AA52E2">
        <w:rPr>
          <w:rFonts w:ascii="Arial" w:eastAsia="Calibri" w:hAnsi="Arial" w:cs="Arial"/>
          <w:sz w:val="24"/>
          <w:szCs w:val="24"/>
        </w:rPr>
        <w:t>non sarebbe applicabile all’annualità 2021, non pot</w:t>
      </w:r>
      <w:r w:rsidRPr="00AA52E2">
        <w:rPr>
          <w:rFonts w:ascii="Arial" w:eastAsia="Calibri" w:hAnsi="Arial" w:cs="Arial"/>
          <w:sz w:val="24"/>
          <w:szCs w:val="24"/>
        </w:rPr>
        <w:t xml:space="preserve">endo </w:t>
      </w:r>
      <w:r w:rsidR="00836A86" w:rsidRPr="00AA52E2">
        <w:rPr>
          <w:rFonts w:ascii="Arial" w:eastAsia="Calibri" w:hAnsi="Arial" w:cs="Arial"/>
          <w:sz w:val="24"/>
          <w:szCs w:val="24"/>
        </w:rPr>
        <w:t>esplicare effetti retroattivi.</w:t>
      </w:r>
    </w:p>
    <w:p w14:paraId="39AA8EB4" w14:textId="77777777" w:rsidR="005D625E" w:rsidRPr="00AA52E2" w:rsidRDefault="004C2AAD" w:rsidP="00AA52E2">
      <w:pPr>
        <w:spacing w:line="360" w:lineRule="auto"/>
        <w:ind w:firstLine="708"/>
        <w:jc w:val="both"/>
        <w:rPr>
          <w:rFonts w:ascii="Arial" w:eastAsia="Calibri" w:hAnsi="Arial" w:cs="Arial"/>
          <w:sz w:val="24"/>
          <w:szCs w:val="24"/>
        </w:rPr>
      </w:pPr>
      <w:r w:rsidRPr="00AA52E2">
        <w:rPr>
          <w:rFonts w:ascii="Arial" w:eastAsia="Calibri" w:hAnsi="Arial" w:cs="Arial"/>
          <w:sz w:val="24"/>
          <w:szCs w:val="24"/>
        </w:rPr>
        <w:t>L’</w:t>
      </w:r>
      <w:r w:rsidR="00836A86" w:rsidRPr="00AA52E2">
        <w:rPr>
          <w:rFonts w:ascii="Arial" w:eastAsia="Calibri" w:hAnsi="Arial" w:cs="Arial"/>
          <w:sz w:val="24"/>
          <w:szCs w:val="24"/>
        </w:rPr>
        <w:t xml:space="preserve">assunto è palesemente infondato, poiché </w:t>
      </w:r>
      <w:r w:rsidR="005D625E" w:rsidRPr="00AA52E2">
        <w:rPr>
          <w:rFonts w:ascii="Arial" w:eastAsia="Calibri" w:hAnsi="Arial" w:cs="Arial"/>
          <w:sz w:val="24"/>
          <w:szCs w:val="24"/>
        </w:rPr>
        <w:t xml:space="preserve">non considera </w:t>
      </w:r>
      <w:r w:rsidR="00836A86" w:rsidRPr="00AA52E2">
        <w:rPr>
          <w:rFonts w:ascii="Arial" w:eastAsia="Calibri" w:hAnsi="Arial" w:cs="Arial"/>
          <w:sz w:val="24"/>
          <w:szCs w:val="24"/>
        </w:rPr>
        <w:t>la disciplina speciale prevista in materia di entrate locali.</w:t>
      </w:r>
    </w:p>
    <w:p w14:paraId="1C95DF0A" w14:textId="2EE5EA64" w:rsidR="005D625E" w:rsidRPr="00AA52E2" w:rsidRDefault="005D625E" w:rsidP="00AA52E2">
      <w:pPr>
        <w:spacing w:line="360" w:lineRule="auto"/>
        <w:ind w:firstLine="708"/>
        <w:jc w:val="both"/>
        <w:rPr>
          <w:rFonts w:ascii="Arial" w:eastAsia="Calibri" w:hAnsi="Arial" w:cs="Arial"/>
          <w:sz w:val="24"/>
          <w:szCs w:val="24"/>
        </w:rPr>
      </w:pPr>
      <w:r w:rsidRPr="00AA52E2">
        <w:rPr>
          <w:rFonts w:ascii="Arial" w:eastAsia="Calibri" w:hAnsi="Arial" w:cs="Arial"/>
          <w:sz w:val="24"/>
          <w:szCs w:val="24"/>
        </w:rPr>
        <w:t>Ed infatti, a</w:t>
      </w:r>
      <w:r w:rsidR="00836A86" w:rsidRPr="00AA52E2">
        <w:rPr>
          <w:rFonts w:ascii="Arial" w:eastAsia="Calibri" w:hAnsi="Arial" w:cs="Arial"/>
          <w:sz w:val="24"/>
          <w:szCs w:val="24"/>
        </w:rPr>
        <w:t xml:space="preserve">i sensi dell’art. 53, comma 16, della Legge n. 388/2000, i regolamenti e le relative modifiche adottati dagli </w:t>
      </w:r>
      <w:r w:rsidR="00B80C44">
        <w:rPr>
          <w:rFonts w:ascii="Arial" w:eastAsia="Calibri" w:hAnsi="Arial" w:cs="Arial"/>
          <w:sz w:val="24"/>
          <w:szCs w:val="24"/>
        </w:rPr>
        <w:t>E</w:t>
      </w:r>
      <w:r w:rsidR="00836A86" w:rsidRPr="00AA52E2">
        <w:rPr>
          <w:rFonts w:ascii="Arial" w:eastAsia="Calibri" w:hAnsi="Arial" w:cs="Arial"/>
          <w:sz w:val="24"/>
          <w:szCs w:val="24"/>
        </w:rPr>
        <w:t xml:space="preserve">nti locali in materia tributaria ed extratributaria hanno efficacia dal 1° gennaio dell’anno di riferimento, purché deliberati entro il termine fissato per l’approvazione del bilancio di previsione dell’ente. </w:t>
      </w:r>
    </w:p>
    <w:p w14:paraId="4EAA63E5" w14:textId="30FD43DF" w:rsidR="00836A86" w:rsidRPr="00AA52E2" w:rsidRDefault="005D625E" w:rsidP="00AA52E2">
      <w:pPr>
        <w:spacing w:line="360" w:lineRule="auto"/>
        <w:ind w:firstLine="708"/>
        <w:jc w:val="both"/>
        <w:rPr>
          <w:rFonts w:ascii="Arial" w:eastAsia="Calibri" w:hAnsi="Arial" w:cs="Arial"/>
          <w:b/>
          <w:bCs/>
          <w:sz w:val="24"/>
          <w:szCs w:val="24"/>
        </w:rPr>
      </w:pPr>
      <w:r w:rsidRPr="00AA52E2">
        <w:rPr>
          <w:rFonts w:ascii="Arial" w:eastAsia="Calibri" w:hAnsi="Arial" w:cs="Arial"/>
          <w:sz w:val="24"/>
          <w:szCs w:val="24"/>
        </w:rPr>
        <w:t xml:space="preserve">Ebbene, </w:t>
      </w:r>
      <w:r w:rsidRPr="00AA52E2">
        <w:rPr>
          <w:rFonts w:ascii="Arial" w:eastAsia="Calibri" w:hAnsi="Arial" w:cs="Arial"/>
          <w:b/>
          <w:sz w:val="24"/>
          <w:szCs w:val="24"/>
        </w:rPr>
        <w:t>p</w:t>
      </w:r>
      <w:r w:rsidR="00836A86" w:rsidRPr="00AA52E2">
        <w:rPr>
          <w:rFonts w:ascii="Arial" w:eastAsia="Calibri" w:hAnsi="Arial" w:cs="Arial"/>
          <w:b/>
          <w:bCs/>
          <w:sz w:val="24"/>
          <w:szCs w:val="24"/>
        </w:rPr>
        <w:t>er l’esercizio finanziario 2021, detto termine era stabilito al 31 maggio 2021, come espressamente disposto dall’art. 11-quater del D.L. n. 52/2021. Ne consegue che il Regolamento comunale, approvato il 5 marzo 2021, risulta pienamente efficace e legittimamente applicabile all’intera annualità 2021.</w:t>
      </w:r>
    </w:p>
    <w:p w14:paraId="79C71C1C" w14:textId="7CD1C80D" w:rsidR="00836A86" w:rsidRPr="00AA52E2" w:rsidRDefault="00836A86" w:rsidP="00AA52E2">
      <w:pPr>
        <w:spacing w:line="360" w:lineRule="auto"/>
        <w:ind w:firstLine="708"/>
        <w:jc w:val="both"/>
        <w:rPr>
          <w:rFonts w:ascii="Arial" w:eastAsia="Calibri" w:hAnsi="Arial" w:cs="Arial"/>
          <w:sz w:val="24"/>
          <w:szCs w:val="24"/>
        </w:rPr>
      </w:pPr>
      <w:r w:rsidRPr="00AA52E2">
        <w:rPr>
          <w:rFonts w:ascii="Arial" w:eastAsia="Calibri" w:hAnsi="Arial" w:cs="Arial"/>
          <w:sz w:val="24"/>
          <w:szCs w:val="24"/>
        </w:rPr>
        <w:t xml:space="preserve">Parimenti infondata è l’asserita carenza di motivazione dell’atto impugnato. L’avviso di accertamento, infatti, dà puntualmente atto che la società, previamente contattata a mezzo PEC al fine di presentare la dichiarazione relativa alle utenze attive nel territorio comunale, non ha provveduto a trasmettere </w:t>
      </w:r>
      <w:r w:rsidR="00B80C44">
        <w:rPr>
          <w:rFonts w:ascii="Arial" w:eastAsia="Calibri" w:hAnsi="Arial" w:cs="Arial"/>
          <w:sz w:val="24"/>
          <w:szCs w:val="24"/>
        </w:rPr>
        <w:t>i dati richiesti</w:t>
      </w:r>
      <w:r w:rsidRPr="00AA52E2">
        <w:rPr>
          <w:rFonts w:ascii="Arial" w:eastAsia="Calibri" w:hAnsi="Arial" w:cs="Arial"/>
          <w:sz w:val="24"/>
          <w:szCs w:val="24"/>
        </w:rPr>
        <w:t>, ritenendosi indebitamente esonerata dal versamento del canone.</w:t>
      </w:r>
      <w:r w:rsidR="00B80C44">
        <w:rPr>
          <w:rFonts w:ascii="Arial" w:eastAsia="Calibri" w:hAnsi="Arial" w:cs="Arial"/>
          <w:sz w:val="24"/>
          <w:szCs w:val="24"/>
        </w:rPr>
        <w:t xml:space="preserve"> (cfr. All. 3</w:t>
      </w:r>
      <w:r w:rsidR="00DA6760">
        <w:rPr>
          <w:rFonts w:ascii="Arial" w:eastAsia="Calibri" w:hAnsi="Arial" w:cs="Arial"/>
          <w:sz w:val="24"/>
          <w:szCs w:val="24"/>
        </w:rPr>
        <w:t>, 4, 5 e 6</w:t>
      </w:r>
      <w:r w:rsidR="00B80C44">
        <w:rPr>
          <w:rFonts w:ascii="Arial" w:eastAsia="Calibri" w:hAnsi="Arial" w:cs="Arial"/>
          <w:sz w:val="24"/>
          <w:szCs w:val="24"/>
        </w:rPr>
        <w:t>)</w:t>
      </w:r>
    </w:p>
    <w:p w14:paraId="668E48CB" w14:textId="22616F79" w:rsidR="00836A86" w:rsidRPr="00AA52E2" w:rsidRDefault="00836A86" w:rsidP="00AA52E2">
      <w:pPr>
        <w:spacing w:line="360" w:lineRule="auto"/>
        <w:ind w:firstLine="708"/>
        <w:jc w:val="both"/>
        <w:rPr>
          <w:rFonts w:ascii="Arial" w:eastAsia="Calibri" w:hAnsi="Arial" w:cs="Arial"/>
          <w:sz w:val="24"/>
          <w:szCs w:val="24"/>
        </w:rPr>
      </w:pPr>
      <w:r w:rsidRPr="00AA52E2">
        <w:rPr>
          <w:rFonts w:ascii="Arial" w:eastAsia="Calibri" w:hAnsi="Arial" w:cs="Arial"/>
          <w:sz w:val="24"/>
          <w:szCs w:val="24"/>
        </w:rPr>
        <w:t>Tale circostanza non solo è correttamente rappresentata nell’atto, ma costituisce essa stessa il presupposto logico-giuridico che legittima l’emissione dell’avviso di accertamento</w:t>
      </w:r>
      <w:r w:rsidR="005D625E" w:rsidRPr="00AA52E2">
        <w:rPr>
          <w:rFonts w:ascii="Arial" w:eastAsia="Calibri" w:hAnsi="Arial" w:cs="Arial"/>
          <w:sz w:val="24"/>
          <w:szCs w:val="24"/>
        </w:rPr>
        <w:t>,</w:t>
      </w:r>
      <w:r w:rsidRPr="00AA52E2">
        <w:rPr>
          <w:rFonts w:ascii="Arial" w:eastAsia="Calibri" w:hAnsi="Arial" w:cs="Arial"/>
          <w:sz w:val="24"/>
          <w:szCs w:val="24"/>
        </w:rPr>
        <w:t xml:space="preserve"> ai sensi del comma 792 della Legge n. 160/2019, finalizzato al recupero delle somme dovute a titolo di Canone Unico Patrimoniale</w:t>
      </w:r>
      <w:r w:rsidR="005D625E" w:rsidRPr="00AA52E2">
        <w:rPr>
          <w:rFonts w:ascii="Arial" w:eastAsia="Calibri" w:hAnsi="Arial" w:cs="Arial"/>
          <w:sz w:val="24"/>
          <w:szCs w:val="24"/>
        </w:rPr>
        <w:t>,</w:t>
      </w:r>
      <w:r w:rsidRPr="00AA52E2">
        <w:rPr>
          <w:rFonts w:ascii="Arial" w:eastAsia="Calibri" w:hAnsi="Arial" w:cs="Arial"/>
          <w:sz w:val="24"/>
          <w:szCs w:val="24"/>
        </w:rPr>
        <w:t xml:space="preserve"> </w:t>
      </w:r>
      <w:r w:rsidR="005D625E" w:rsidRPr="00AA52E2">
        <w:rPr>
          <w:rFonts w:ascii="Arial" w:eastAsia="Calibri" w:hAnsi="Arial" w:cs="Arial"/>
          <w:sz w:val="24"/>
          <w:szCs w:val="24"/>
        </w:rPr>
        <w:t xml:space="preserve">come </w:t>
      </w:r>
      <w:r w:rsidRPr="00AA52E2">
        <w:rPr>
          <w:rFonts w:ascii="Arial" w:eastAsia="Calibri" w:hAnsi="Arial" w:cs="Arial"/>
          <w:sz w:val="24"/>
          <w:szCs w:val="24"/>
        </w:rPr>
        <w:t xml:space="preserve">conseguenza </w:t>
      </w:r>
      <w:r w:rsidRPr="00AA52E2">
        <w:rPr>
          <w:rFonts w:ascii="Arial" w:eastAsia="Calibri" w:hAnsi="Arial" w:cs="Arial"/>
          <w:sz w:val="24"/>
          <w:szCs w:val="24"/>
        </w:rPr>
        <w:lastRenderedPageBreak/>
        <w:t xml:space="preserve">dell’omessa dichiarazione delle utenze attive e del mancato versamento entro il termine del 30 aprile </w:t>
      </w:r>
      <w:r w:rsidR="00B80C44">
        <w:rPr>
          <w:rFonts w:ascii="Arial" w:eastAsia="Calibri" w:hAnsi="Arial" w:cs="Arial"/>
          <w:sz w:val="24"/>
          <w:szCs w:val="24"/>
        </w:rPr>
        <w:t>di ogni anno accertato</w:t>
      </w:r>
      <w:r w:rsidRPr="00AA52E2">
        <w:rPr>
          <w:rFonts w:ascii="Arial" w:eastAsia="Calibri" w:hAnsi="Arial" w:cs="Arial"/>
          <w:sz w:val="24"/>
          <w:szCs w:val="24"/>
        </w:rPr>
        <w:t>.</w:t>
      </w:r>
    </w:p>
    <w:p w14:paraId="7B8B7FDD" w14:textId="19698A74" w:rsidR="00836A86" w:rsidRPr="00AA52E2" w:rsidRDefault="005D625E" w:rsidP="00AA52E2">
      <w:pPr>
        <w:spacing w:line="360" w:lineRule="auto"/>
        <w:ind w:firstLine="360"/>
        <w:rPr>
          <w:rFonts w:ascii="Arial" w:eastAsia="Calibri" w:hAnsi="Arial" w:cs="Arial"/>
          <w:sz w:val="24"/>
          <w:szCs w:val="24"/>
        </w:rPr>
      </w:pPr>
      <w:r w:rsidRPr="00AA52E2">
        <w:rPr>
          <w:rFonts w:ascii="Arial" w:eastAsia="Calibri" w:hAnsi="Arial" w:cs="Arial"/>
          <w:sz w:val="24"/>
          <w:szCs w:val="24"/>
        </w:rPr>
        <w:t>In ogni caso, l</w:t>
      </w:r>
      <w:r w:rsidR="00836A86" w:rsidRPr="00AA52E2">
        <w:rPr>
          <w:rFonts w:ascii="Arial" w:eastAsia="Calibri" w:hAnsi="Arial" w:cs="Arial"/>
          <w:sz w:val="24"/>
          <w:szCs w:val="24"/>
        </w:rPr>
        <w:t>’avviso contiene tutti i dati essenziali richiesti dalla legge:</w:t>
      </w:r>
    </w:p>
    <w:p w14:paraId="31B5459C" w14:textId="77777777" w:rsidR="00836A86" w:rsidRPr="00AA52E2" w:rsidRDefault="00836A86" w:rsidP="00AA52E2">
      <w:pPr>
        <w:pStyle w:val="Paragrafoelenco"/>
        <w:numPr>
          <w:ilvl w:val="0"/>
          <w:numId w:val="3"/>
        </w:numPr>
        <w:spacing w:line="360" w:lineRule="auto"/>
        <w:ind w:left="0"/>
        <w:rPr>
          <w:rFonts w:ascii="Arial" w:eastAsia="Calibri" w:hAnsi="Arial" w:cs="Arial"/>
          <w:sz w:val="24"/>
          <w:szCs w:val="24"/>
        </w:rPr>
      </w:pPr>
      <w:r w:rsidRPr="00AA52E2">
        <w:rPr>
          <w:rFonts w:ascii="Arial" w:eastAsia="Calibri" w:hAnsi="Arial" w:cs="Arial"/>
          <w:sz w:val="24"/>
          <w:szCs w:val="24"/>
        </w:rPr>
        <w:t>Identificazione del soggetto passivo;</w:t>
      </w:r>
    </w:p>
    <w:p w14:paraId="123C42F9" w14:textId="77777777" w:rsidR="00836A86" w:rsidRPr="00AA52E2" w:rsidRDefault="00836A86" w:rsidP="00AA52E2">
      <w:pPr>
        <w:pStyle w:val="Paragrafoelenco"/>
        <w:numPr>
          <w:ilvl w:val="0"/>
          <w:numId w:val="3"/>
        </w:numPr>
        <w:spacing w:line="360" w:lineRule="auto"/>
        <w:ind w:left="0"/>
        <w:rPr>
          <w:rFonts w:ascii="Arial" w:eastAsia="Calibri" w:hAnsi="Arial" w:cs="Arial"/>
          <w:sz w:val="24"/>
          <w:szCs w:val="24"/>
        </w:rPr>
      </w:pPr>
      <w:r w:rsidRPr="00AA52E2">
        <w:rPr>
          <w:rFonts w:ascii="Arial" w:eastAsia="Calibri" w:hAnsi="Arial" w:cs="Arial"/>
          <w:sz w:val="24"/>
          <w:szCs w:val="24"/>
        </w:rPr>
        <w:t>Riferimento normativo (art. 1, comma 831, L. 160/2019);</w:t>
      </w:r>
    </w:p>
    <w:p w14:paraId="2CE20102" w14:textId="77777777" w:rsidR="00836A86" w:rsidRPr="00AA52E2" w:rsidRDefault="00836A86" w:rsidP="00AA52E2">
      <w:pPr>
        <w:pStyle w:val="Paragrafoelenco"/>
        <w:numPr>
          <w:ilvl w:val="0"/>
          <w:numId w:val="3"/>
        </w:numPr>
        <w:spacing w:line="360" w:lineRule="auto"/>
        <w:ind w:left="0"/>
        <w:rPr>
          <w:rFonts w:ascii="Arial" w:eastAsia="Calibri" w:hAnsi="Arial" w:cs="Arial"/>
          <w:sz w:val="24"/>
          <w:szCs w:val="24"/>
        </w:rPr>
      </w:pPr>
      <w:r w:rsidRPr="00AA52E2">
        <w:rPr>
          <w:rFonts w:ascii="Arial" w:eastAsia="Calibri" w:hAnsi="Arial" w:cs="Arial"/>
          <w:sz w:val="24"/>
          <w:szCs w:val="24"/>
        </w:rPr>
        <w:t>Periodo di riferimento (anni 2021-2025);</w:t>
      </w:r>
    </w:p>
    <w:p w14:paraId="754D6631" w14:textId="77777777" w:rsidR="00836A86" w:rsidRPr="00AA52E2" w:rsidRDefault="00836A86" w:rsidP="00AA52E2">
      <w:pPr>
        <w:pStyle w:val="Paragrafoelenco"/>
        <w:numPr>
          <w:ilvl w:val="0"/>
          <w:numId w:val="3"/>
        </w:numPr>
        <w:spacing w:line="360" w:lineRule="auto"/>
        <w:ind w:left="0"/>
        <w:rPr>
          <w:rFonts w:ascii="Arial" w:eastAsia="Calibri" w:hAnsi="Arial" w:cs="Arial"/>
          <w:sz w:val="24"/>
          <w:szCs w:val="24"/>
        </w:rPr>
      </w:pPr>
      <w:r w:rsidRPr="00AA52E2">
        <w:rPr>
          <w:rFonts w:ascii="Arial" w:eastAsia="Calibri" w:hAnsi="Arial" w:cs="Arial"/>
          <w:sz w:val="24"/>
          <w:szCs w:val="24"/>
        </w:rPr>
        <w:t>Importo complessivo comprensivo di sanzioni, interessi e spese;</w:t>
      </w:r>
    </w:p>
    <w:p w14:paraId="3556560B" w14:textId="77777777" w:rsidR="00836A86" w:rsidRPr="00AA52E2" w:rsidRDefault="00836A86" w:rsidP="00AA52E2">
      <w:pPr>
        <w:pStyle w:val="Paragrafoelenco"/>
        <w:numPr>
          <w:ilvl w:val="0"/>
          <w:numId w:val="3"/>
        </w:numPr>
        <w:spacing w:line="360" w:lineRule="auto"/>
        <w:ind w:left="0"/>
        <w:rPr>
          <w:rFonts w:ascii="Arial" w:eastAsia="Calibri" w:hAnsi="Arial" w:cs="Arial"/>
          <w:sz w:val="24"/>
          <w:szCs w:val="24"/>
        </w:rPr>
      </w:pPr>
      <w:r w:rsidRPr="00AA52E2">
        <w:rPr>
          <w:rFonts w:ascii="Arial" w:eastAsia="Calibri" w:hAnsi="Arial" w:cs="Arial"/>
          <w:sz w:val="24"/>
          <w:szCs w:val="24"/>
        </w:rPr>
        <w:t>Istruzioni per il pagamento e termini di impugnazione.</w:t>
      </w:r>
    </w:p>
    <w:p w14:paraId="4C2FC195" w14:textId="77777777" w:rsidR="00836A86" w:rsidRPr="00AA52E2" w:rsidRDefault="00836A86" w:rsidP="00AA52E2">
      <w:pPr>
        <w:pStyle w:val="Paragrafoelenco"/>
        <w:numPr>
          <w:ilvl w:val="0"/>
          <w:numId w:val="3"/>
        </w:numPr>
        <w:spacing w:line="360" w:lineRule="auto"/>
        <w:ind w:left="0"/>
        <w:rPr>
          <w:rFonts w:ascii="Arial" w:eastAsia="Calibri" w:hAnsi="Arial" w:cs="Arial"/>
          <w:sz w:val="24"/>
          <w:szCs w:val="24"/>
        </w:rPr>
      </w:pPr>
      <w:r w:rsidRPr="00AA52E2">
        <w:rPr>
          <w:rFonts w:ascii="Arial" w:eastAsia="Calibri" w:hAnsi="Arial" w:cs="Arial"/>
          <w:sz w:val="24"/>
          <w:szCs w:val="24"/>
        </w:rPr>
        <w:t>Pertanto, non sussistono vizi di forma che possano comportare l’illegittimità dell’atto.</w:t>
      </w:r>
    </w:p>
    <w:p w14:paraId="40E2466E" w14:textId="453EE8AB" w:rsidR="00836A86" w:rsidRPr="00AA52E2" w:rsidRDefault="00836A86" w:rsidP="00AA52E2">
      <w:pPr>
        <w:spacing w:line="360" w:lineRule="auto"/>
        <w:ind w:firstLine="360"/>
        <w:jc w:val="both"/>
        <w:rPr>
          <w:rFonts w:ascii="Arial" w:eastAsia="Calibri" w:hAnsi="Arial" w:cs="Arial"/>
          <w:sz w:val="24"/>
          <w:szCs w:val="24"/>
        </w:rPr>
      </w:pPr>
      <w:r w:rsidRPr="00AA52E2">
        <w:rPr>
          <w:rFonts w:ascii="Arial" w:eastAsia="Calibri" w:hAnsi="Arial" w:cs="Arial"/>
          <w:sz w:val="24"/>
          <w:szCs w:val="24"/>
        </w:rPr>
        <w:t>Nel caso di specie</w:t>
      </w:r>
      <w:r w:rsidR="00B80C44">
        <w:rPr>
          <w:rFonts w:ascii="Arial" w:eastAsia="Calibri" w:hAnsi="Arial" w:cs="Arial"/>
          <w:sz w:val="24"/>
          <w:szCs w:val="24"/>
        </w:rPr>
        <w:t>,</w:t>
      </w:r>
      <w:r w:rsidRPr="00AA52E2">
        <w:rPr>
          <w:rFonts w:ascii="Arial" w:eastAsia="Calibri" w:hAnsi="Arial" w:cs="Arial"/>
          <w:sz w:val="24"/>
          <w:szCs w:val="24"/>
        </w:rPr>
        <w:t xml:space="preserve"> dunque, AQP ha ricevuto l’avviso completo </w:t>
      </w:r>
      <w:r w:rsidR="00B80C44">
        <w:rPr>
          <w:rFonts w:ascii="Arial" w:eastAsia="Calibri" w:hAnsi="Arial" w:cs="Arial"/>
          <w:sz w:val="24"/>
          <w:szCs w:val="24"/>
        </w:rPr>
        <w:t>in ogni sua parte e debitamente motivato e</w:t>
      </w:r>
      <w:r w:rsidRPr="00AA52E2">
        <w:rPr>
          <w:rFonts w:ascii="Arial" w:eastAsia="Calibri" w:hAnsi="Arial" w:cs="Arial"/>
          <w:sz w:val="24"/>
          <w:szCs w:val="24"/>
        </w:rPr>
        <w:t xml:space="preserve"> ha potuto esercitare tutti i propri diritti di difesa.</w:t>
      </w:r>
    </w:p>
    <w:p w14:paraId="09D974DD" w14:textId="1723D845" w:rsidR="00E46D11" w:rsidRPr="00AA52E2" w:rsidRDefault="00836A86" w:rsidP="00F85795">
      <w:pPr>
        <w:spacing w:line="360" w:lineRule="auto"/>
        <w:ind w:firstLine="567"/>
        <w:jc w:val="both"/>
        <w:rPr>
          <w:rFonts w:ascii="Arial" w:eastAsia="Calibri" w:hAnsi="Arial" w:cs="Arial"/>
          <w:b/>
          <w:bCs/>
          <w:sz w:val="24"/>
          <w:szCs w:val="24"/>
        </w:rPr>
      </w:pPr>
      <w:r w:rsidRPr="00AA52E2">
        <w:rPr>
          <w:rFonts w:ascii="Arial" w:eastAsia="Calibri" w:hAnsi="Arial" w:cs="Arial"/>
          <w:b/>
          <w:bCs/>
          <w:sz w:val="24"/>
          <w:szCs w:val="24"/>
        </w:rPr>
        <w:t>2.</w:t>
      </w:r>
      <w:r w:rsidR="00E46D11" w:rsidRPr="00AA52E2">
        <w:rPr>
          <w:rFonts w:ascii="Arial" w:eastAsia="Calibri" w:hAnsi="Arial" w:cs="Arial"/>
          <w:b/>
          <w:bCs/>
          <w:sz w:val="24"/>
          <w:szCs w:val="24"/>
        </w:rPr>
        <w:t xml:space="preserve"> </w:t>
      </w:r>
      <w:r w:rsidR="005D625E" w:rsidRPr="00AA52E2">
        <w:rPr>
          <w:rFonts w:ascii="Arial" w:eastAsia="Calibri" w:hAnsi="Arial" w:cs="Arial"/>
          <w:b/>
          <w:bCs/>
          <w:sz w:val="24"/>
          <w:szCs w:val="24"/>
        </w:rPr>
        <w:t>SULL’</w:t>
      </w:r>
      <w:r w:rsidR="00E46D11" w:rsidRPr="00AA52E2">
        <w:rPr>
          <w:rFonts w:ascii="Arial" w:eastAsia="Calibri" w:hAnsi="Arial" w:cs="Arial"/>
          <w:b/>
          <w:bCs/>
          <w:sz w:val="24"/>
          <w:szCs w:val="24"/>
        </w:rPr>
        <w:t xml:space="preserve">INSUSSISTENZA DEI VIZI SOSTANZIALI </w:t>
      </w:r>
    </w:p>
    <w:p w14:paraId="7664ED71" w14:textId="113D4818" w:rsidR="00773E34" w:rsidRPr="00AA52E2" w:rsidRDefault="005D625E" w:rsidP="00F85795">
      <w:pPr>
        <w:spacing w:line="360" w:lineRule="auto"/>
        <w:ind w:firstLine="567"/>
        <w:jc w:val="both"/>
        <w:rPr>
          <w:rFonts w:ascii="Arial" w:eastAsia="Calibri" w:hAnsi="Arial" w:cs="Arial"/>
          <w:b/>
          <w:bCs/>
          <w:sz w:val="24"/>
          <w:szCs w:val="24"/>
          <w:u w:val="single"/>
        </w:rPr>
      </w:pPr>
      <w:r w:rsidRPr="00AA52E2">
        <w:rPr>
          <w:rFonts w:ascii="Arial" w:eastAsia="Calibri" w:hAnsi="Arial" w:cs="Arial"/>
          <w:b/>
          <w:bCs/>
          <w:sz w:val="24"/>
          <w:szCs w:val="24"/>
          <w:u w:val="single"/>
        </w:rPr>
        <w:t xml:space="preserve">1) </w:t>
      </w:r>
      <w:r w:rsidR="00E46D11" w:rsidRPr="00AA52E2">
        <w:rPr>
          <w:rFonts w:ascii="Arial" w:eastAsia="Calibri" w:hAnsi="Arial" w:cs="Arial"/>
          <w:b/>
          <w:bCs/>
          <w:sz w:val="24"/>
          <w:szCs w:val="24"/>
          <w:u w:val="single"/>
        </w:rPr>
        <w:t>Legittimità dell'avviso di accertamento</w:t>
      </w:r>
    </w:p>
    <w:p w14:paraId="18F5F9DF" w14:textId="5AD824E0" w:rsidR="001A1496" w:rsidRPr="00AA52E2" w:rsidRDefault="005D625E" w:rsidP="00F85795">
      <w:pPr>
        <w:spacing w:line="360" w:lineRule="auto"/>
        <w:ind w:firstLine="567"/>
        <w:jc w:val="both"/>
        <w:rPr>
          <w:rFonts w:ascii="Arial" w:eastAsia="Calibri" w:hAnsi="Arial" w:cs="Arial"/>
          <w:sz w:val="24"/>
          <w:szCs w:val="24"/>
        </w:rPr>
      </w:pPr>
      <w:r w:rsidRPr="00AA52E2">
        <w:rPr>
          <w:rFonts w:ascii="Arial" w:eastAsia="Calibri" w:hAnsi="Arial" w:cs="Arial"/>
          <w:sz w:val="24"/>
          <w:szCs w:val="24"/>
        </w:rPr>
        <w:t>Come anticipato,</w:t>
      </w:r>
      <w:r w:rsidR="001A1496" w:rsidRPr="00AA52E2">
        <w:rPr>
          <w:rFonts w:ascii="Arial" w:eastAsia="Calibri" w:hAnsi="Arial" w:cs="Arial"/>
          <w:sz w:val="24"/>
          <w:szCs w:val="24"/>
        </w:rPr>
        <w:t xml:space="preserve"> l’avviso impugnato n. </w:t>
      </w:r>
      <w:r w:rsidR="001A1496" w:rsidRPr="00AA52E2">
        <w:rPr>
          <w:rFonts w:ascii="Arial" w:eastAsia="Calibri" w:hAnsi="Arial" w:cs="Arial"/>
          <w:b/>
          <w:bCs/>
          <w:sz w:val="24"/>
          <w:szCs w:val="24"/>
        </w:rPr>
        <w:t>1 del 24 novembre 2025, notificato in data 1° dicembre 2025 con prot. n. 34374</w:t>
      </w:r>
      <w:r w:rsidR="001A1496" w:rsidRPr="00AA52E2">
        <w:rPr>
          <w:rFonts w:ascii="Arial" w:eastAsia="Calibri" w:hAnsi="Arial" w:cs="Arial"/>
          <w:sz w:val="24"/>
          <w:szCs w:val="24"/>
        </w:rPr>
        <w:t>, è stato emesso ai sensi dell’art. 1, comma 831, Legge 160/2019, per il pagamento del Canone Unico Patrimoniale relativo agli anni 2021-2025, per un importo complessivo di € 119.499,00, incluse sanzioni, interessi e spese.</w:t>
      </w:r>
    </w:p>
    <w:p w14:paraId="2F7F9031" w14:textId="4D23F9AC" w:rsidR="001A1496" w:rsidRPr="00AA52E2" w:rsidRDefault="005D625E" w:rsidP="00F85795">
      <w:pPr>
        <w:spacing w:line="360" w:lineRule="auto"/>
        <w:ind w:firstLine="567"/>
        <w:jc w:val="both"/>
        <w:rPr>
          <w:rFonts w:ascii="Arial" w:eastAsia="Calibri" w:hAnsi="Arial" w:cs="Arial"/>
          <w:sz w:val="24"/>
          <w:szCs w:val="24"/>
        </w:rPr>
      </w:pPr>
      <w:r w:rsidRPr="00AA52E2">
        <w:rPr>
          <w:rFonts w:ascii="Arial" w:eastAsia="Calibri" w:hAnsi="Arial" w:cs="Arial"/>
          <w:sz w:val="24"/>
          <w:szCs w:val="24"/>
        </w:rPr>
        <w:t xml:space="preserve">L’attrice </w:t>
      </w:r>
      <w:r w:rsidR="001A1496" w:rsidRPr="00AA52E2">
        <w:rPr>
          <w:rFonts w:ascii="Arial" w:eastAsia="Calibri" w:hAnsi="Arial" w:cs="Arial"/>
          <w:sz w:val="24"/>
          <w:szCs w:val="24"/>
        </w:rPr>
        <w:t>rientra pienamente nella soggettività passiva prevista dalla legge per i gestori d</w:t>
      </w:r>
      <w:r w:rsidR="00F85795">
        <w:rPr>
          <w:rFonts w:ascii="Arial" w:eastAsia="Calibri" w:hAnsi="Arial" w:cs="Arial"/>
          <w:sz w:val="24"/>
          <w:szCs w:val="24"/>
        </w:rPr>
        <w:t>e</w:t>
      </w:r>
      <w:r w:rsidR="001A1496" w:rsidRPr="00AA52E2">
        <w:rPr>
          <w:rFonts w:ascii="Arial" w:eastAsia="Calibri" w:hAnsi="Arial" w:cs="Arial"/>
          <w:sz w:val="24"/>
          <w:szCs w:val="24"/>
        </w:rPr>
        <w:t xml:space="preserve">i </w:t>
      </w:r>
      <w:r w:rsidR="001A1496" w:rsidRPr="00F85795">
        <w:rPr>
          <w:rFonts w:ascii="Arial" w:eastAsia="Calibri" w:hAnsi="Arial" w:cs="Arial"/>
          <w:sz w:val="24"/>
          <w:szCs w:val="24"/>
        </w:rPr>
        <w:t>servizi pubblici a rete</w:t>
      </w:r>
      <w:r w:rsidR="001A1496" w:rsidRPr="00AA52E2">
        <w:rPr>
          <w:rFonts w:ascii="Arial" w:eastAsia="Calibri" w:hAnsi="Arial" w:cs="Arial"/>
          <w:sz w:val="24"/>
          <w:szCs w:val="24"/>
        </w:rPr>
        <w:t>, come il servizio idrico integrato, e non può essere esclus</w:t>
      </w:r>
      <w:r w:rsidR="00F85795">
        <w:rPr>
          <w:rFonts w:ascii="Arial" w:eastAsia="Calibri" w:hAnsi="Arial" w:cs="Arial"/>
          <w:sz w:val="24"/>
          <w:szCs w:val="24"/>
        </w:rPr>
        <w:t>a</w:t>
      </w:r>
      <w:r w:rsidR="001A1496" w:rsidRPr="00AA52E2">
        <w:rPr>
          <w:rFonts w:ascii="Arial" w:eastAsia="Calibri" w:hAnsi="Arial" w:cs="Arial"/>
          <w:sz w:val="24"/>
          <w:szCs w:val="24"/>
        </w:rPr>
        <w:t xml:space="preserve"> per la sola esistenza di convenzioni che preved</w:t>
      </w:r>
      <w:r w:rsidR="00F85795">
        <w:rPr>
          <w:rFonts w:ascii="Arial" w:eastAsia="Calibri" w:hAnsi="Arial" w:cs="Arial"/>
          <w:sz w:val="24"/>
          <w:szCs w:val="24"/>
        </w:rPr>
        <w:t>erebbero</w:t>
      </w:r>
      <w:r w:rsidR="001A1496" w:rsidRPr="00AA52E2">
        <w:rPr>
          <w:rFonts w:ascii="Arial" w:eastAsia="Calibri" w:hAnsi="Arial" w:cs="Arial"/>
          <w:sz w:val="24"/>
          <w:szCs w:val="24"/>
        </w:rPr>
        <w:t xml:space="preserve"> l’uso gratuito della rete pubblica</w:t>
      </w:r>
      <w:r w:rsidR="00F85795">
        <w:rPr>
          <w:rFonts w:ascii="Arial" w:eastAsia="Calibri" w:hAnsi="Arial" w:cs="Arial"/>
          <w:sz w:val="24"/>
          <w:szCs w:val="24"/>
        </w:rPr>
        <w:t>, come pretende di sostenere controparte</w:t>
      </w:r>
      <w:r w:rsidR="001A1496" w:rsidRPr="00AA52E2">
        <w:rPr>
          <w:rFonts w:ascii="Arial" w:eastAsia="Calibri" w:hAnsi="Arial" w:cs="Arial"/>
          <w:sz w:val="24"/>
          <w:szCs w:val="24"/>
        </w:rPr>
        <w:t>.</w:t>
      </w:r>
    </w:p>
    <w:p w14:paraId="0E4E5CCD" w14:textId="77777777" w:rsidR="00F84EF0" w:rsidRPr="00AA52E2" w:rsidRDefault="001A1496" w:rsidP="00F85795">
      <w:pPr>
        <w:spacing w:line="360" w:lineRule="auto"/>
        <w:ind w:firstLine="567"/>
        <w:jc w:val="both"/>
        <w:rPr>
          <w:rFonts w:ascii="Arial" w:eastAsia="Calibri" w:hAnsi="Arial" w:cs="Arial"/>
          <w:sz w:val="24"/>
          <w:szCs w:val="24"/>
        </w:rPr>
      </w:pPr>
      <w:r w:rsidRPr="00AA52E2">
        <w:rPr>
          <w:rFonts w:ascii="Arial" w:eastAsia="Calibri" w:hAnsi="Arial" w:cs="Arial"/>
          <w:sz w:val="24"/>
          <w:szCs w:val="24"/>
        </w:rPr>
        <w:t xml:space="preserve">Ed infatti, </w:t>
      </w:r>
      <w:r w:rsidR="006816B7" w:rsidRPr="00AA52E2">
        <w:rPr>
          <w:rFonts w:ascii="Arial" w:eastAsia="Calibri" w:hAnsi="Arial" w:cs="Arial"/>
          <w:sz w:val="24"/>
          <w:szCs w:val="24"/>
        </w:rPr>
        <w:t>a</w:t>
      </w:r>
      <w:r w:rsidRPr="00AA52E2">
        <w:rPr>
          <w:rFonts w:ascii="Arial" w:eastAsia="Calibri" w:hAnsi="Arial" w:cs="Arial"/>
          <w:sz w:val="24"/>
          <w:szCs w:val="24"/>
        </w:rPr>
        <w:t xml:space="preserve">i sensi dell’art. 1, comma 831, della Legge 160/2019, il Canone Unico Patrimoniale è dovuto a favore di Comuni e Province da parte delle aziende che erogano servizi di pubblica utilità e che, a qualunque titolo, anche gratuito, occupano o conducono le infrastrutture destinate all’erogazione di servizi quali energia elettrica, gas, acqua, calore, servizi di telecomunicazione, radiotelevisivi e altri servizi a rete. </w:t>
      </w:r>
    </w:p>
    <w:p w14:paraId="4BCB79C6" w14:textId="65C2C427" w:rsidR="00773E34" w:rsidRPr="00AA52E2" w:rsidRDefault="001A1496" w:rsidP="00F85795">
      <w:pPr>
        <w:spacing w:line="360" w:lineRule="auto"/>
        <w:ind w:firstLine="567"/>
        <w:jc w:val="both"/>
        <w:rPr>
          <w:rFonts w:ascii="Arial" w:eastAsia="Calibri" w:hAnsi="Arial" w:cs="Arial"/>
          <w:b/>
          <w:bCs/>
          <w:sz w:val="24"/>
          <w:szCs w:val="24"/>
        </w:rPr>
      </w:pPr>
      <w:r w:rsidRPr="00AA52E2">
        <w:rPr>
          <w:rFonts w:ascii="Arial" w:eastAsia="Calibri" w:hAnsi="Arial" w:cs="Arial"/>
          <w:b/>
          <w:bCs/>
          <w:sz w:val="24"/>
          <w:szCs w:val="24"/>
        </w:rPr>
        <w:t>Il Legislatore ha</w:t>
      </w:r>
      <w:r w:rsidR="00F85795">
        <w:rPr>
          <w:rFonts w:ascii="Arial" w:eastAsia="Calibri" w:hAnsi="Arial" w:cs="Arial"/>
          <w:b/>
          <w:bCs/>
          <w:sz w:val="24"/>
          <w:szCs w:val="24"/>
        </w:rPr>
        <w:t>,</w:t>
      </w:r>
      <w:r w:rsidRPr="00AA52E2">
        <w:rPr>
          <w:rFonts w:ascii="Arial" w:eastAsia="Calibri" w:hAnsi="Arial" w:cs="Arial"/>
          <w:b/>
          <w:bCs/>
          <w:sz w:val="24"/>
          <w:szCs w:val="24"/>
        </w:rPr>
        <w:t xml:space="preserve"> quindi</w:t>
      </w:r>
      <w:r w:rsidR="00F85795">
        <w:rPr>
          <w:rFonts w:ascii="Arial" w:eastAsia="Calibri" w:hAnsi="Arial" w:cs="Arial"/>
          <w:b/>
          <w:bCs/>
          <w:sz w:val="24"/>
          <w:szCs w:val="24"/>
        </w:rPr>
        <w:t>,</w:t>
      </w:r>
      <w:r w:rsidRPr="00AA52E2">
        <w:rPr>
          <w:rFonts w:ascii="Arial" w:eastAsia="Calibri" w:hAnsi="Arial" w:cs="Arial"/>
          <w:b/>
          <w:bCs/>
          <w:sz w:val="24"/>
          <w:szCs w:val="24"/>
        </w:rPr>
        <w:t xml:space="preserve"> espressamente previsto il pagamento del canone anche per i servizi idrici, la cui rete, secondo la normativa, rimane di proprietà pubblica e viene concessa in uso gratuito al gestore del servizio.</w:t>
      </w:r>
    </w:p>
    <w:p w14:paraId="580B6FD4" w14:textId="6B2238D3" w:rsidR="00E43CF7" w:rsidRPr="00AA52E2" w:rsidRDefault="00F84EF0" w:rsidP="00F85795">
      <w:pPr>
        <w:spacing w:line="360" w:lineRule="auto"/>
        <w:ind w:firstLine="567"/>
        <w:jc w:val="both"/>
        <w:rPr>
          <w:rFonts w:ascii="Arial" w:eastAsia="Calibri" w:hAnsi="Arial" w:cs="Arial"/>
          <w:b/>
          <w:bCs/>
          <w:sz w:val="24"/>
          <w:szCs w:val="24"/>
          <w:u w:val="single"/>
        </w:rPr>
      </w:pPr>
      <w:r w:rsidRPr="00AA52E2">
        <w:rPr>
          <w:rFonts w:ascii="Arial" w:eastAsia="Calibri" w:hAnsi="Arial" w:cs="Arial"/>
          <w:b/>
          <w:bCs/>
          <w:sz w:val="24"/>
          <w:szCs w:val="24"/>
          <w:u w:val="single"/>
        </w:rPr>
        <w:t xml:space="preserve">2) </w:t>
      </w:r>
      <w:r w:rsidR="00E43CF7" w:rsidRPr="00AA52E2">
        <w:rPr>
          <w:rFonts w:ascii="Arial" w:eastAsia="Calibri" w:hAnsi="Arial" w:cs="Arial"/>
          <w:b/>
          <w:bCs/>
          <w:sz w:val="24"/>
          <w:szCs w:val="24"/>
          <w:u w:val="single"/>
        </w:rPr>
        <w:t>Irrilevanza della natura pubblicistica del servizio ai fini del canone</w:t>
      </w:r>
    </w:p>
    <w:p w14:paraId="7BE11436" w14:textId="77777777" w:rsidR="00F85795" w:rsidRDefault="00E43CF7" w:rsidP="00F85795">
      <w:pPr>
        <w:spacing w:line="360" w:lineRule="auto"/>
        <w:ind w:firstLine="567"/>
        <w:jc w:val="both"/>
        <w:rPr>
          <w:rFonts w:ascii="Arial" w:eastAsia="Calibri" w:hAnsi="Arial" w:cs="Arial"/>
          <w:sz w:val="24"/>
          <w:szCs w:val="24"/>
        </w:rPr>
      </w:pPr>
      <w:r w:rsidRPr="00AA52E2">
        <w:rPr>
          <w:rFonts w:ascii="Arial" w:eastAsia="Calibri" w:hAnsi="Arial" w:cs="Arial"/>
          <w:sz w:val="24"/>
          <w:szCs w:val="24"/>
        </w:rPr>
        <w:t xml:space="preserve">La natura pubblicistica del servizio, invocata da controparte, non rileva ai fini dell’applicazione dello speciale canone </w:t>
      </w:r>
      <w:r w:rsidR="00F84EF0" w:rsidRPr="00AA52E2">
        <w:rPr>
          <w:rFonts w:ascii="Arial" w:eastAsia="Calibri" w:hAnsi="Arial" w:cs="Arial"/>
          <w:sz w:val="24"/>
          <w:szCs w:val="24"/>
        </w:rPr>
        <w:t xml:space="preserve">di cui </w:t>
      </w:r>
      <w:r w:rsidRPr="00AA52E2">
        <w:rPr>
          <w:rFonts w:ascii="Arial" w:eastAsia="Calibri" w:hAnsi="Arial" w:cs="Arial"/>
          <w:sz w:val="24"/>
          <w:szCs w:val="24"/>
        </w:rPr>
        <w:t>all’art. 1, comma 831, della Legge n. 160/2019</w:t>
      </w:r>
      <w:r w:rsidR="00F84EF0" w:rsidRPr="00AA52E2">
        <w:rPr>
          <w:rFonts w:ascii="Arial" w:eastAsia="Calibri" w:hAnsi="Arial" w:cs="Arial"/>
          <w:sz w:val="24"/>
          <w:szCs w:val="24"/>
        </w:rPr>
        <w:t xml:space="preserve">. </w:t>
      </w:r>
    </w:p>
    <w:p w14:paraId="7E4DFE82" w14:textId="40258EB9" w:rsidR="00E43CF7" w:rsidRPr="00AA52E2" w:rsidRDefault="00F84EF0" w:rsidP="00F85795">
      <w:pPr>
        <w:spacing w:line="360" w:lineRule="auto"/>
        <w:ind w:firstLine="567"/>
        <w:jc w:val="both"/>
        <w:rPr>
          <w:rFonts w:ascii="Arial" w:eastAsia="Calibri" w:hAnsi="Arial" w:cs="Arial"/>
          <w:sz w:val="24"/>
          <w:szCs w:val="24"/>
        </w:rPr>
      </w:pPr>
      <w:r w:rsidRPr="00AA52E2">
        <w:rPr>
          <w:rFonts w:ascii="Arial" w:eastAsia="Calibri" w:hAnsi="Arial" w:cs="Arial"/>
          <w:sz w:val="24"/>
          <w:szCs w:val="24"/>
        </w:rPr>
        <w:lastRenderedPageBreak/>
        <w:t>Sul punto va dato ril</w:t>
      </w:r>
      <w:r w:rsidR="00F85795">
        <w:rPr>
          <w:rFonts w:ascii="Arial" w:eastAsia="Calibri" w:hAnsi="Arial" w:cs="Arial"/>
          <w:sz w:val="24"/>
          <w:szCs w:val="24"/>
        </w:rPr>
        <w:t>i</w:t>
      </w:r>
      <w:r w:rsidRPr="00AA52E2">
        <w:rPr>
          <w:rFonts w:ascii="Arial" w:eastAsia="Calibri" w:hAnsi="Arial" w:cs="Arial"/>
          <w:sz w:val="24"/>
          <w:szCs w:val="24"/>
        </w:rPr>
        <w:t xml:space="preserve">evo alla circostanza che </w:t>
      </w:r>
      <w:r w:rsidR="00E43CF7" w:rsidRPr="00AA52E2">
        <w:rPr>
          <w:rFonts w:ascii="Arial" w:eastAsia="Calibri" w:hAnsi="Arial" w:cs="Arial"/>
          <w:b/>
          <w:bCs/>
          <w:sz w:val="24"/>
          <w:szCs w:val="24"/>
        </w:rPr>
        <w:t>lo stesso legislatore richiam</w:t>
      </w:r>
      <w:r w:rsidRPr="00AA52E2">
        <w:rPr>
          <w:rFonts w:ascii="Arial" w:eastAsia="Calibri" w:hAnsi="Arial" w:cs="Arial"/>
          <w:b/>
          <w:bCs/>
          <w:sz w:val="24"/>
          <w:szCs w:val="24"/>
        </w:rPr>
        <w:t>a</w:t>
      </w:r>
      <w:r w:rsidR="00E43CF7" w:rsidRPr="00AA52E2">
        <w:rPr>
          <w:rFonts w:ascii="Arial" w:eastAsia="Calibri" w:hAnsi="Arial" w:cs="Arial"/>
          <w:b/>
          <w:bCs/>
          <w:sz w:val="24"/>
          <w:szCs w:val="24"/>
        </w:rPr>
        <w:t xml:space="preserve"> espressamente, tra i servizi soggetti al pagamento del canone, anche quello della distribuzione dell’acqua</w:t>
      </w:r>
      <w:r w:rsidR="00E43CF7" w:rsidRPr="00AA52E2">
        <w:rPr>
          <w:rFonts w:ascii="Arial" w:eastAsia="Calibri" w:hAnsi="Arial" w:cs="Arial"/>
          <w:sz w:val="24"/>
          <w:szCs w:val="24"/>
        </w:rPr>
        <w:t>.</w:t>
      </w:r>
      <w:r w:rsidRPr="00AA52E2">
        <w:rPr>
          <w:rFonts w:ascii="Arial" w:eastAsia="Calibri" w:hAnsi="Arial" w:cs="Arial"/>
          <w:sz w:val="24"/>
          <w:szCs w:val="24"/>
        </w:rPr>
        <w:t xml:space="preserve">  </w:t>
      </w:r>
      <w:r w:rsidR="00E43CF7" w:rsidRPr="00AA52E2">
        <w:rPr>
          <w:rFonts w:ascii="Arial" w:eastAsia="Calibri" w:hAnsi="Arial" w:cs="Arial"/>
          <w:sz w:val="24"/>
          <w:szCs w:val="24"/>
        </w:rPr>
        <w:t>La norma dispone infatti:</w:t>
      </w:r>
      <w:r w:rsidRPr="00AA52E2">
        <w:rPr>
          <w:rFonts w:ascii="Arial" w:eastAsia="Calibri" w:hAnsi="Arial" w:cs="Arial"/>
          <w:sz w:val="24"/>
          <w:szCs w:val="24"/>
        </w:rPr>
        <w:t xml:space="preserve"> </w:t>
      </w:r>
      <w:r w:rsidR="00E43CF7" w:rsidRPr="00AA52E2">
        <w:rPr>
          <w:rFonts w:ascii="Arial" w:eastAsia="Calibri" w:hAnsi="Arial" w:cs="Arial"/>
          <w:i/>
          <w:iCs/>
          <w:sz w:val="24"/>
          <w:szCs w:val="24"/>
        </w:rPr>
        <w:t xml:space="preserve">“Per le occupazioni permanenti del territorio comunale, con cavi e condutture, da chiunque effettuata per la fornitura di servizi di pubblica utilità, quali la distribuzione ed erogazione di energia elettrica, gas, </w:t>
      </w:r>
      <w:r w:rsidR="00E43CF7" w:rsidRPr="00F85795">
        <w:rPr>
          <w:rFonts w:ascii="Arial" w:eastAsia="Calibri" w:hAnsi="Arial" w:cs="Arial"/>
          <w:b/>
          <w:bCs/>
          <w:i/>
          <w:iCs/>
          <w:sz w:val="24"/>
          <w:szCs w:val="24"/>
          <w:u w:val="single"/>
        </w:rPr>
        <w:t>acqua</w:t>
      </w:r>
      <w:r w:rsidR="00E43CF7" w:rsidRPr="00AA52E2">
        <w:rPr>
          <w:rFonts w:ascii="Arial" w:eastAsia="Calibri" w:hAnsi="Arial" w:cs="Arial"/>
          <w:i/>
          <w:iCs/>
          <w:sz w:val="24"/>
          <w:szCs w:val="24"/>
        </w:rPr>
        <w:t>, calore, di servizi di telecomunicazione e radiotelevisivi e di altri servizi a rete, il canone è dovuto…”.</w:t>
      </w:r>
    </w:p>
    <w:p w14:paraId="1129CBD9" w14:textId="77777777" w:rsidR="00E43CF7" w:rsidRPr="00AA52E2" w:rsidRDefault="00E43CF7" w:rsidP="00F85795">
      <w:pPr>
        <w:spacing w:line="360" w:lineRule="auto"/>
        <w:ind w:firstLine="567"/>
        <w:jc w:val="both"/>
        <w:rPr>
          <w:rFonts w:ascii="Arial" w:eastAsia="Calibri" w:hAnsi="Arial" w:cs="Arial"/>
          <w:sz w:val="24"/>
          <w:szCs w:val="24"/>
        </w:rPr>
      </w:pPr>
      <w:r w:rsidRPr="00AA52E2">
        <w:rPr>
          <w:rFonts w:ascii="Arial" w:eastAsia="Calibri" w:hAnsi="Arial" w:cs="Arial"/>
          <w:sz w:val="24"/>
          <w:szCs w:val="24"/>
        </w:rPr>
        <w:t>Ne consegue che non esiste, né in materia fiscale né con specifico riferimento al canone unico patrimoniale, alcuna volontà del legislatore di riconoscere una specialità del servizio idrico integrato rispetto agli altri servizi a rete o di introdurre un regime di favore per le relative infrastrutture. Al contrario, l’erogazione dell’acqua potabile è espressamente inclusa tra le attività assoggettate al canone.</w:t>
      </w:r>
    </w:p>
    <w:p w14:paraId="0B7DF8A9" w14:textId="5349AEA3" w:rsidR="00E43CF7" w:rsidRPr="00AA52E2" w:rsidRDefault="00F84EF0" w:rsidP="00F85795">
      <w:pPr>
        <w:spacing w:line="360" w:lineRule="auto"/>
        <w:ind w:firstLine="567"/>
        <w:jc w:val="both"/>
        <w:rPr>
          <w:rFonts w:ascii="Arial" w:eastAsia="Calibri" w:hAnsi="Arial" w:cs="Arial"/>
          <w:b/>
          <w:bCs/>
          <w:sz w:val="24"/>
          <w:szCs w:val="24"/>
          <w:u w:val="single"/>
        </w:rPr>
      </w:pPr>
      <w:r w:rsidRPr="00AA52E2">
        <w:rPr>
          <w:rFonts w:ascii="Arial" w:eastAsia="Calibri" w:hAnsi="Arial" w:cs="Arial"/>
          <w:b/>
          <w:bCs/>
          <w:sz w:val="24"/>
          <w:szCs w:val="24"/>
          <w:u w:val="single"/>
        </w:rPr>
        <w:t xml:space="preserve">3) </w:t>
      </w:r>
      <w:r w:rsidR="00E43CF7" w:rsidRPr="00AA52E2">
        <w:rPr>
          <w:rFonts w:ascii="Arial" w:eastAsia="Calibri" w:hAnsi="Arial" w:cs="Arial"/>
          <w:b/>
          <w:bCs/>
          <w:sz w:val="24"/>
          <w:szCs w:val="24"/>
          <w:u w:val="single"/>
        </w:rPr>
        <w:t>Inapplicabilità dell’esenzione di cui alla lettera d) del comma 833</w:t>
      </w:r>
      <w:r w:rsidR="00D10FAC" w:rsidRPr="00AA52E2">
        <w:rPr>
          <w:rFonts w:ascii="Arial" w:eastAsia="Calibri" w:hAnsi="Arial" w:cs="Arial"/>
          <w:b/>
          <w:bCs/>
          <w:sz w:val="24"/>
          <w:szCs w:val="24"/>
          <w:u w:val="single"/>
        </w:rPr>
        <w:t xml:space="preserve"> e della lettera a)</w:t>
      </w:r>
    </w:p>
    <w:p w14:paraId="7AB9210A" w14:textId="77777777" w:rsidR="00E43CF7" w:rsidRPr="00AA52E2" w:rsidRDefault="00E43CF7" w:rsidP="00430E47">
      <w:pPr>
        <w:spacing w:line="360" w:lineRule="auto"/>
        <w:ind w:firstLine="567"/>
        <w:jc w:val="both"/>
        <w:rPr>
          <w:rFonts w:ascii="Arial" w:hAnsi="Arial" w:cs="Arial"/>
          <w:sz w:val="24"/>
          <w:szCs w:val="24"/>
        </w:rPr>
      </w:pPr>
      <w:r w:rsidRPr="00AA52E2">
        <w:rPr>
          <w:rFonts w:ascii="Arial" w:hAnsi="Arial" w:cs="Arial"/>
          <w:sz w:val="24"/>
          <w:szCs w:val="24"/>
        </w:rPr>
        <w:t xml:space="preserve">È parimenti infondato il richiamo all’ipotesi di esenzione di cui alla lettera d) del comma 833, che presuppone la </w:t>
      </w:r>
      <w:r w:rsidRPr="00AA52E2">
        <w:rPr>
          <w:rFonts w:ascii="Arial" w:hAnsi="Arial" w:cs="Arial"/>
          <w:b/>
          <w:bCs/>
          <w:sz w:val="24"/>
          <w:szCs w:val="24"/>
        </w:rPr>
        <w:t>devoluzione gratuita</w:t>
      </w:r>
      <w:r w:rsidRPr="00AA52E2">
        <w:rPr>
          <w:rFonts w:ascii="Arial" w:hAnsi="Arial" w:cs="Arial"/>
          <w:sz w:val="24"/>
          <w:szCs w:val="24"/>
        </w:rPr>
        <w:t xml:space="preserve"> dell’infrastruttura a favore del Comune al termine della concessione.</w:t>
      </w:r>
    </w:p>
    <w:p w14:paraId="2B357EEF" w14:textId="1D0ABE73" w:rsidR="00E43CF7" w:rsidRPr="00AA52E2" w:rsidRDefault="00E43CF7" w:rsidP="00430E47">
      <w:pPr>
        <w:spacing w:line="360" w:lineRule="auto"/>
        <w:ind w:firstLine="567"/>
        <w:jc w:val="both"/>
        <w:rPr>
          <w:rFonts w:ascii="Arial" w:hAnsi="Arial" w:cs="Arial"/>
          <w:b/>
          <w:bCs/>
          <w:sz w:val="24"/>
          <w:szCs w:val="24"/>
        </w:rPr>
      </w:pPr>
      <w:r w:rsidRPr="00AA52E2">
        <w:rPr>
          <w:rFonts w:ascii="Arial" w:hAnsi="Arial" w:cs="Arial"/>
          <w:b/>
          <w:bCs/>
          <w:sz w:val="24"/>
          <w:szCs w:val="24"/>
        </w:rPr>
        <w:t>Nel caso del servizio idrico integrato</w:t>
      </w:r>
      <w:r w:rsidR="00430E47">
        <w:rPr>
          <w:rFonts w:ascii="Arial" w:hAnsi="Arial" w:cs="Arial"/>
          <w:b/>
          <w:bCs/>
          <w:sz w:val="24"/>
          <w:szCs w:val="24"/>
        </w:rPr>
        <w:t>, oggetto del presente contenzioso,</w:t>
      </w:r>
      <w:r w:rsidRPr="00AA52E2">
        <w:rPr>
          <w:rFonts w:ascii="Arial" w:hAnsi="Arial" w:cs="Arial"/>
          <w:b/>
          <w:bCs/>
          <w:sz w:val="24"/>
          <w:szCs w:val="24"/>
        </w:rPr>
        <w:t xml:space="preserve"> non si realizza alcuna devoluzione gratuita, bensì una mera restituzione</w:t>
      </w:r>
      <w:r w:rsidRPr="00AA52E2">
        <w:rPr>
          <w:rFonts w:ascii="Arial" w:hAnsi="Arial" w:cs="Arial"/>
          <w:sz w:val="24"/>
          <w:szCs w:val="24"/>
        </w:rPr>
        <w:t xml:space="preserve">, </w:t>
      </w:r>
      <w:r w:rsidRPr="00AA52E2">
        <w:rPr>
          <w:rFonts w:ascii="Arial" w:hAnsi="Arial" w:cs="Arial"/>
          <w:b/>
          <w:bCs/>
          <w:sz w:val="24"/>
          <w:szCs w:val="24"/>
        </w:rPr>
        <w:t>atteso che la rete idrica è già di proprietà pubblica fin dall’origine e viene semplicemente concessa in uso al gestore sulla base di specifici accordi contrattuali. Manca, pertanto, qualsiasi attribuzione patrimoniale in favore del Comune idonea a giustificare l’esenzione dal canone.</w:t>
      </w:r>
    </w:p>
    <w:p w14:paraId="3E536BDE" w14:textId="7BCDA910" w:rsidR="00E43CF7" w:rsidRPr="00AA52E2" w:rsidRDefault="00E43CF7" w:rsidP="00BB697F">
      <w:pPr>
        <w:spacing w:line="360" w:lineRule="auto"/>
        <w:ind w:firstLine="567"/>
        <w:jc w:val="both"/>
        <w:rPr>
          <w:rFonts w:ascii="Arial" w:hAnsi="Arial" w:cs="Arial"/>
          <w:b/>
          <w:bCs/>
          <w:sz w:val="24"/>
          <w:szCs w:val="24"/>
        </w:rPr>
      </w:pPr>
      <w:r w:rsidRPr="00AA52E2">
        <w:rPr>
          <w:rFonts w:ascii="Arial" w:hAnsi="Arial" w:cs="Arial"/>
          <w:sz w:val="24"/>
          <w:szCs w:val="24"/>
        </w:rPr>
        <w:t xml:space="preserve">La stessa controparte richiama il contenuto della convenzione, la quale prevede che, alla scadenza della concessione, le opere e le attrezzature affidate al gestore saranno </w:t>
      </w:r>
      <w:r w:rsidRPr="00AA52E2">
        <w:rPr>
          <w:rFonts w:ascii="Arial" w:hAnsi="Arial" w:cs="Arial"/>
          <w:b/>
          <w:bCs/>
          <w:sz w:val="24"/>
          <w:szCs w:val="24"/>
        </w:rPr>
        <w:t>restituite gratuitamente</w:t>
      </w:r>
      <w:r w:rsidRPr="00AA52E2">
        <w:rPr>
          <w:rFonts w:ascii="Arial" w:hAnsi="Arial" w:cs="Arial"/>
          <w:sz w:val="24"/>
          <w:szCs w:val="24"/>
        </w:rPr>
        <w:t xml:space="preserve"> all’Autorità concedente: </w:t>
      </w:r>
      <w:r w:rsidRPr="00AA52E2">
        <w:rPr>
          <w:rFonts w:ascii="Arial" w:hAnsi="Arial" w:cs="Arial"/>
          <w:i/>
          <w:iCs/>
          <w:sz w:val="24"/>
          <w:szCs w:val="24"/>
        </w:rPr>
        <w:t xml:space="preserve">“Ebbene, l’AIP all’art. 29 della convenzione di gestione del servizio, sopra richiamata, impone ad AQP, “alla scadenza della concessione“che “tutte le opere ed attrezzature affidate al gestore.. </w:t>
      </w:r>
      <w:r w:rsidRPr="00BB697F">
        <w:rPr>
          <w:rFonts w:ascii="Arial" w:hAnsi="Arial" w:cs="Arial"/>
          <w:b/>
          <w:bCs/>
          <w:i/>
          <w:iCs/>
          <w:sz w:val="24"/>
          <w:szCs w:val="24"/>
          <w:u w:val="single"/>
        </w:rPr>
        <w:t>saranno restituite</w:t>
      </w:r>
      <w:r w:rsidRPr="00AA52E2">
        <w:rPr>
          <w:rFonts w:ascii="Arial" w:hAnsi="Arial" w:cs="Arial"/>
          <w:i/>
          <w:iCs/>
          <w:sz w:val="24"/>
          <w:szCs w:val="24"/>
        </w:rPr>
        <w:t xml:space="preserve"> gratuitamente all’Autorità in normale stato di manutenzione, in condizioni di efficienza e in buono stato di conservazione</w:t>
      </w:r>
      <w:r w:rsidRPr="00AA52E2">
        <w:rPr>
          <w:rFonts w:ascii="Arial" w:hAnsi="Arial" w:cs="Arial"/>
          <w:sz w:val="24"/>
          <w:szCs w:val="24"/>
        </w:rPr>
        <w:t xml:space="preserve">”. </w:t>
      </w:r>
      <w:r w:rsidRPr="00AA52E2">
        <w:rPr>
          <w:rFonts w:ascii="Arial" w:hAnsi="Arial" w:cs="Arial"/>
          <w:b/>
          <w:bCs/>
          <w:sz w:val="24"/>
          <w:szCs w:val="24"/>
        </w:rPr>
        <w:t>Il dato letterale è dirimente: si tratta di RESTITUZIONE E NON DI DEVOLUZIONE.</w:t>
      </w:r>
    </w:p>
    <w:p w14:paraId="5E9DF7AE" w14:textId="02C6C8DA" w:rsidR="00636DD4" w:rsidRPr="00AA52E2" w:rsidRDefault="00E43CF7" w:rsidP="00BB697F">
      <w:pPr>
        <w:spacing w:line="360" w:lineRule="auto"/>
        <w:ind w:firstLine="567"/>
        <w:jc w:val="both"/>
        <w:rPr>
          <w:rFonts w:ascii="Arial" w:hAnsi="Arial" w:cs="Arial"/>
          <w:b/>
          <w:bCs/>
          <w:sz w:val="24"/>
          <w:szCs w:val="24"/>
        </w:rPr>
      </w:pPr>
      <w:r w:rsidRPr="00AA52E2">
        <w:rPr>
          <w:rFonts w:ascii="Arial" w:hAnsi="Arial" w:cs="Arial"/>
          <w:sz w:val="24"/>
          <w:szCs w:val="24"/>
        </w:rPr>
        <w:t>Come chiarito dalla</w:t>
      </w:r>
      <w:r w:rsidR="00F84EF0" w:rsidRPr="00AA52E2">
        <w:rPr>
          <w:rFonts w:ascii="Arial" w:hAnsi="Arial" w:cs="Arial"/>
          <w:sz w:val="24"/>
          <w:szCs w:val="24"/>
        </w:rPr>
        <w:t xml:space="preserve"> copiosa giurisprudenza</w:t>
      </w:r>
      <w:r w:rsidRPr="00AA52E2">
        <w:rPr>
          <w:rFonts w:ascii="Arial" w:hAnsi="Arial" w:cs="Arial"/>
          <w:sz w:val="24"/>
          <w:szCs w:val="24"/>
        </w:rPr>
        <w:t>, le ipotesi di esenzione</w:t>
      </w:r>
      <w:r w:rsidR="00636DD4" w:rsidRPr="00AA52E2">
        <w:rPr>
          <w:rFonts w:ascii="Arial" w:hAnsi="Arial" w:cs="Arial"/>
          <w:sz w:val="24"/>
          <w:szCs w:val="24"/>
        </w:rPr>
        <w:t>,</w:t>
      </w:r>
      <w:r w:rsidRPr="00AA52E2">
        <w:rPr>
          <w:rFonts w:ascii="Arial" w:hAnsi="Arial" w:cs="Arial"/>
          <w:sz w:val="24"/>
          <w:szCs w:val="24"/>
        </w:rPr>
        <w:t xml:space="preserve"> </w:t>
      </w:r>
      <w:r w:rsidR="00636DD4" w:rsidRPr="00AA52E2">
        <w:rPr>
          <w:rFonts w:ascii="Arial" w:hAnsi="Arial" w:cs="Arial"/>
          <w:b/>
          <w:bCs/>
          <w:sz w:val="24"/>
          <w:szCs w:val="24"/>
        </w:rPr>
        <w:t xml:space="preserve">per tutte le entrate di natura fiscale, </w:t>
      </w:r>
      <w:r w:rsidRPr="00AA52E2">
        <w:rPr>
          <w:rFonts w:ascii="Arial" w:hAnsi="Arial" w:cs="Arial"/>
          <w:sz w:val="24"/>
          <w:szCs w:val="24"/>
        </w:rPr>
        <w:t>devono essere interpretate in modo rigoroso e letterale</w:t>
      </w:r>
      <w:r w:rsidR="00636DD4" w:rsidRPr="00AA52E2">
        <w:rPr>
          <w:rFonts w:ascii="Arial" w:hAnsi="Arial" w:cs="Arial"/>
          <w:sz w:val="24"/>
          <w:szCs w:val="24"/>
        </w:rPr>
        <w:t xml:space="preserve"> “c.d. </w:t>
      </w:r>
      <w:r w:rsidR="00636DD4" w:rsidRPr="00BB697F">
        <w:rPr>
          <w:rFonts w:ascii="Arial" w:hAnsi="Arial" w:cs="Arial"/>
          <w:i/>
          <w:iCs/>
          <w:sz w:val="24"/>
          <w:szCs w:val="24"/>
        </w:rPr>
        <w:t>Stretta interpretazione</w:t>
      </w:r>
      <w:r w:rsidR="00636DD4" w:rsidRPr="00AA52E2">
        <w:rPr>
          <w:rFonts w:ascii="Arial" w:hAnsi="Arial" w:cs="Arial"/>
          <w:sz w:val="24"/>
          <w:szCs w:val="24"/>
        </w:rPr>
        <w:t>”</w:t>
      </w:r>
      <w:r w:rsidRPr="00AA52E2">
        <w:rPr>
          <w:rFonts w:ascii="Arial" w:hAnsi="Arial" w:cs="Arial"/>
          <w:sz w:val="24"/>
          <w:szCs w:val="24"/>
        </w:rPr>
        <w:t xml:space="preserve">, </w:t>
      </w:r>
      <w:r w:rsidR="00636DD4" w:rsidRPr="00AA52E2">
        <w:rPr>
          <w:rFonts w:ascii="Arial" w:hAnsi="Arial" w:cs="Arial"/>
          <w:b/>
          <w:bCs/>
          <w:sz w:val="24"/>
          <w:szCs w:val="24"/>
        </w:rPr>
        <w:t xml:space="preserve">rappresentando eccezioni alla regola generale dell’onerosità </w:t>
      </w:r>
      <w:r w:rsidR="00636DD4" w:rsidRPr="00AA52E2">
        <w:rPr>
          <w:rFonts w:ascii="Arial" w:hAnsi="Arial" w:cs="Arial"/>
          <w:b/>
          <w:bCs/>
          <w:sz w:val="24"/>
          <w:szCs w:val="24"/>
        </w:rPr>
        <w:lastRenderedPageBreak/>
        <w:t xml:space="preserve">dell’occupazione (cfr. tra le molte, Cass. civ., Sez. I, 05/11/2024, n. 28378; Cass. civ., Sez. I, 25/09/2024, n. 25614). </w:t>
      </w:r>
    </w:p>
    <w:p w14:paraId="5B5B6AE1" w14:textId="514CEF71" w:rsidR="00636DD4" w:rsidRPr="00636DD4" w:rsidRDefault="00636DD4" w:rsidP="00BB697F">
      <w:pPr>
        <w:spacing w:line="360" w:lineRule="auto"/>
        <w:ind w:firstLine="567"/>
        <w:jc w:val="both"/>
        <w:rPr>
          <w:rFonts w:ascii="Arial" w:eastAsia="Calibri" w:hAnsi="Arial" w:cs="Arial"/>
          <w:kern w:val="2"/>
          <w:sz w:val="24"/>
          <w:szCs w:val="24"/>
          <w:lang w:eastAsia="en-US"/>
          <w14:ligatures w14:val="standardContextual"/>
        </w:rPr>
      </w:pPr>
      <w:r w:rsidRPr="00636DD4">
        <w:rPr>
          <w:rFonts w:ascii="Arial" w:eastAsia="Calibri" w:hAnsi="Arial" w:cs="Arial"/>
          <w:kern w:val="2"/>
          <w:sz w:val="24"/>
          <w:szCs w:val="24"/>
          <w:lang w:eastAsia="en-US"/>
          <w14:ligatures w14:val="standardContextual"/>
        </w:rPr>
        <w:t xml:space="preserve">Anche con specifico riferimento al canone unico di cui all’art. 1, commi 816 e ss., della L. 160/2019 (che, al pari del COSAP, non ha natura tributaria) è stato sottolineato come le norme di agevolazione o esenzione costituiscano una deroga sostanziale al principio generale posto dalla legge ordinaria, cosicché non trovano applicazione al di fuori delle ipotesi specificamente e tassativamente indicate, atteso il divieto di interpretazione analogica ed estensiva (cfr., </w:t>
      </w:r>
      <w:r w:rsidR="00E611E0">
        <w:rPr>
          <w:rFonts w:ascii="Arial" w:eastAsia="Calibri" w:hAnsi="Arial" w:cs="Arial"/>
          <w:kern w:val="2"/>
          <w:sz w:val="24"/>
          <w:szCs w:val="24"/>
          <w:lang w:eastAsia="en-US"/>
          <w14:ligatures w14:val="standardContextual"/>
        </w:rPr>
        <w:t xml:space="preserve">sul punto </w:t>
      </w:r>
      <w:r w:rsidRPr="00636DD4">
        <w:rPr>
          <w:rFonts w:ascii="Arial" w:eastAsia="Calibri" w:hAnsi="Arial" w:cs="Arial"/>
          <w:kern w:val="2"/>
          <w:sz w:val="24"/>
          <w:szCs w:val="24"/>
          <w:lang w:eastAsia="en-US"/>
          <w14:ligatures w14:val="standardContextual"/>
        </w:rPr>
        <w:t>relativ</w:t>
      </w:r>
      <w:r w:rsidR="000004F0">
        <w:rPr>
          <w:rFonts w:ascii="Arial" w:eastAsia="Calibri" w:hAnsi="Arial" w:cs="Arial"/>
          <w:kern w:val="2"/>
          <w:sz w:val="24"/>
          <w:szCs w:val="24"/>
          <w:lang w:eastAsia="en-US"/>
          <w14:ligatures w14:val="standardContextual"/>
        </w:rPr>
        <w:t xml:space="preserve">o ai limiti </w:t>
      </w:r>
      <w:r w:rsidRPr="00636DD4">
        <w:rPr>
          <w:rFonts w:ascii="Arial" w:eastAsia="Calibri" w:hAnsi="Arial" w:cs="Arial"/>
          <w:kern w:val="2"/>
          <w:sz w:val="24"/>
          <w:szCs w:val="24"/>
          <w:lang w:eastAsia="en-US"/>
          <w14:ligatures w14:val="standardContextual"/>
        </w:rPr>
        <w:t xml:space="preserve">all’esenzione di cui all’art. 1, comma 833, lett. a, della L. 160/2019, </w:t>
      </w:r>
      <w:r w:rsidR="000004F0">
        <w:rPr>
          <w:rFonts w:ascii="Arial" w:eastAsia="Calibri" w:hAnsi="Arial" w:cs="Arial"/>
          <w:kern w:val="2"/>
          <w:sz w:val="24"/>
          <w:szCs w:val="24"/>
          <w:lang w:eastAsia="en-US"/>
          <w14:ligatures w14:val="standardContextual"/>
        </w:rPr>
        <w:t xml:space="preserve">in particolare per gli Enti pubblici diversi dallo Stato e dagli Enti Locali, si veda </w:t>
      </w:r>
      <w:r w:rsidRPr="00636DD4">
        <w:rPr>
          <w:rFonts w:ascii="Arial" w:eastAsia="Calibri" w:hAnsi="Arial" w:cs="Arial"/>
          <w:kern w:val="2"/>
          <w:sz w:val="24"/>
          <w:szCs w:val="24"/>
          <w:lang w:eastAsia="en-US"/>
          <w14:ligatures w14:val="standardContextual"/>
        </w:rPr>
        <w:t xml:space="preserve">Cons. Stato, Sez. VII, 27/11/2024, n. 9553). </w:t>
      </w:r>
    </w:p>
    <w:p w14:paraId="333CDF32" w14:textId="2459A273" w:rsidR="00636DD4" w:rsidRPr="00636DD4" w:rsidRDefault="00636DD4" w:rsidP="00E611E0">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kern w:val="2"/>
          <w:sz w:val="24"/>
          <w:szCs w:val="24"/>
          <w:lang w:eastAsia="en-US"/>
          <w14:ligatures w14:val="standardContextual"/>
        </w:rPr>
        <w:t>Ma vi è di più, la Corte dei Conti precisa</w:t>
      </w:r>
      <w:r w:rsidR="000004F0">
        <w:rPr>
          <w:rFonts w:ascii="Arial" w:eastAsia="Calibri" w:hAnsi="Arial" w:cs="Arial"/>
          <w:kern w:val="2"/>
          <w:sz w:val="24"/>
          <w:szCs w:val="24"/>
          <w:lang w:eastAsia="en-US"/>
          <w14:ligatures w14:val="standardContextual"/>
        </w:rPr>
        <w:t>, anche,</w:t>
      </w:r>
      <w:r w:rsidRPr="00636DD4">
        <w:rPr>
          <w:rFonts w:ascii="Arial" w:eastAsia="Calibri" w:hAnsi="Arial" w:cs="Arial"/>
          <w:kern w:val="2"/>
          <w:sz w:val="24"/>
          <w:szCs w:val="24"/>
          <w:lang w:eastAsia="en-US"/>
          <w14:ligatures w14:val="standardContextual"/>
        </w:rPr>
        <w:t xml:space="preserve"> come non giochi a favore del soggetto occupante che l’occupazione sia riconducibile all’esecuzione di un lavoro per conto di uno dei soggetti destinatari dell’agevolazione fiscale. Sono diverse le sentenze orientate in questo senso, come quella emessa dalla </w:t>
      </w:r>
      <w:r w:rsidRPr="00636DD4">
        <w:rPr>
          <w:rFonts w:ascii="Arial" w:eastAsia="Calibri" w:hAnsi="Arial" w:cs="Arial"/>
          <w:b/>
          <w:bCs/>
          <w:kern w:val="2"/>
          <w:sz w:val="24"/>
          <w:szCs w:val="24"/>
          <w:lang w:eastAsia="en-US"/>
          <w14:ligatures w14:val="standardContextual"/>
        </w:rPr>
        <w:t xml:space="preserve">Sezione 5 di Corte di Cassazione, nell’ordinanza n. 2653 del 2020 </w:t>
      </w:r>
      <w:r w:rsidRPr="00636DD4">
        <w:rPr>
          <w:rFonts w:ascii="Arial" w:eastAsia="Calibri" w:hAnsi="Arial" w:cs="Arial"/>
          <w:kern w:val="2"/>
          <w:sz w:val="24"/>
          <w:szCs w:val="24"/>
          <w:lang w:eastAsia="en-US"/>
          <w14:ligatures w14:val="standardContextual"/>
        </w:rPr>
        <w:t>nella quale si legge che: “</w:t>
      </w:r>
      <w:r w:rsidRPr="00636DD4">
        <w:rPr>
          <w:rFonts w:ascii="Arial" w:eastAsia="Calibri" w:hAnsi="Arial" w:cs="Arial"/>
          <w:i/>
          <w:iCs/>
          <w:kern w:val="2"/>
          <w:sz w:val="24"/>
          <w:szCs w:val="24"/>
          <w:lang w:eastAsia="en-US"/>
          <w14:ligatures w14:val="standardContextual"/>
        </w:rPr>
        <w:t>Secondo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p>
    <w:p w14:paraId="414B59F4" w14:textId="18F586DB" w:rsidR="00636DD4" w:rsidRPr="00AA52E2" w:rsidRDefault="00636DD4" w:rsidP="00C93D9E">
      <w:pPr>
        <w:spacing w:line="360" w:lineRule="auto"/>
        <w:ind w:firstLine="567"/>
        <w:jc w:val="both"/>
        <w:rPr>
          <w:rFonts w:ascii="Arial" w:eastAsia="Calibri" w:hAnsi="Arial" w:cs="Arial"/>
          <w:kern w:val="2"/>
          <w:sz w:val="24"/>
          <w:szCs w:val="24"/>
          <w:lang w:eastAsia="en-US"/>
          <w14:ligatures w14:val="standardContextual"/>
        </w:rPr>
      </w:pPr>
      <w:r w:rsidRPr="00636DD4">
        <w:rPr>
          <w:rFonts w:ascii="Arial" w:eastAsia="Calibri" w:hAnsi="Arial" w:cs="Arial"/>
          <w:kern w:val="2"/>
          <w:sz w:val="24"/>
          <w:szCs w:val="24"/>
          <w:lang w:eastAsia="en-US"/>
          <w14:ligatures w14:val="standardContextual"/>
        </w:rPr>
        <w:t>La recente giurisprudenza sta confermando questa linea guida che vede le società, ancorché municipalizzate, soggetto passivo del CUP per la speciale tariffa prevista per l’erogazione dei servizi di rete.</w:t>
      </w:r>
    </w:p>
    <w:p w14:paraId="5953E481" w14:textId="4F897BD8" w:rsidR="00636DD4" w:rsidRPr="00636DD4" w:rsidRDefault="00C93D9E" w:rsidP="00C93D9E">
      <w:pPr>
        <w:spacing w:line="360" w:lineRule="auto"/>
        <w:ind w:firstLine="567"/>
        <w:jc w:val="both"/>
        <w:rPr>
          <w:rFonts w:ascii="Arial" w:eastAsia="Calibri" w:hAnsi="Arial" w:cs="Arial"/>
          <w:b/>
          <w:bCs/>
          <w:kern w:val="2"/>
          <w:sz w:val="24"/>
          <w:szCs w:val="24"/>
          <w:lang w:eastAsia="en-US"/>
          <w14:ligatures w14:val="standardContextual"/>
        </w:rPr>
      </w:pPr>
      <w:r>
        <w:rPr>
          <w:rFonts w:ascii="Arial" w:eastAsia="Calibri" w:hAnsi="Arial" w:cs="Arial"/>
          <w:b/>
          <w:bCs/>
          <w:kern w:val="2"/>
          <w:sz w:val="24"/>
          <w:szCs w:val="24"/>
          <w:lang w:eastAsia="en-US"/>
          <w14:ligatures w14:val="standardContextual"/>
        </w:rPr>
        <w:t>In particolare, l</w:t>
      </w:r>
      <w:r w:rsidR="00636DD4" w:rsidRPr="00636DD4">
        <w:rPr>
          <w:rFonts w:ascii="Arial" w:eastAsia="Calibri" w:hAnsi="Arial" w:cs="Arial"/>
          <w:b/>
          <w:bCs/>
          <w:kern w:val="2"/>
          <w:sz w:val="24"/>
          <w:szCs w:val="24"/>
          <w:lang w:eastAsia="en-US"/>
          <w14:ligatures w14:val="standardContextual"/>
        </w:rPr>
        <w:t xml:space="preserve">a seconda sezione della Corte d’Appello di Venezia con la sentenza 3441/2005 pubblicata il 19 dicembre 2025 ha deciso sulla soggettività passiva di un importante gestore del servizio idrico integrato per 107 Comuni delle province di Padova, Rovigo, Vicenza, Verona e Venezia. Un gestore che si occupa di prelevare l’acqua dalle fonti di produzione, renderla potabile e distribuirla a tutte le utenze, domestiche e non, utilizzando oltre 10.000 chilometri di condotte tra reti idriche e fognarie. </w:t>
      </w:r>
    </w:p>
    <w:p w14:paraId="02721F68" w14:textId="77777777" w:rsidR="00636DD4" w:rsidRPr="00636DD4" w:rsidRDefault="00636DD4" w:rsidP="00C22B09">
      <w:pPr>
        <w:spacing w:line="360" w:lineRule="auto"/>
        <w:ind w:firstLine="567"/>
        <w:jc w:val="both"/>
        <w:rPr>
          <w:rFonts w:ascii="Arial" w:eastAsia="Calibri" w:hAnsi="Arial" w:cs="Arial"/>
          <w:b/>
          <w:bCs/>
          <w:kern w:val="2"/>
          <w:sz w:val="24"/>
          <w:szCs w:val="24"/>
          <w:lang w:eastAsia="en-US"/>
          <w14:ligatures w14:val="standardContextual"/>
        </w:rPr>
      </w:pPr>
      <w:r w:rsidRPr="00636DD4">
        <w:rPr>
          <w:rFonts w:ascii="Arial" w:eastAsia="Calibri" w:hAnsi="Arial" w:cs="Arial"/>
          <w:b/>
          <w:bCs/>
          <w:kern w:val="2"/>
          <w:sz w:val="24"/>
          <w:szCs w:val="24"/>
          <w:lang w:eastAsia="en-US"/>
          <w14:ligatures w14:val="standardContextual"/>
        </w:rPr>
        <w:lastRenderedPageBreak/>
        <w:t>Il gestore, per i quali i giudici hanno riconosciuto la soggettività passiva al CUP, opera in regime di affidamento “</w:t>
      </w:r>
      <w:r w:rsidRPr="00C22B09">
        <w:rPr>
          <w:rFonts w:ascii="Arial" w:eastAsia="Calibri" w:hAnsi="Arial" w:cs="Arial"/>
          <w:b/>
          <w:bCs/>
          <w:i/>
          <w:iCs/>
          <w:kern w:val="2"/>
          <w:sz w:val="24"/>
          <w:szCs w:val="24"/>
          <w:lang w:eastAsia="en-US"/>
          <w14:ligatures w14:val="standardContextual"/>
        </w:rPr>
        <w:t>in house</w:t>
      </w:r>
      <w:r w:rsidRPr="00636DD4">
        <w:rPr>
          <w:rFonts w:ascii="Arial" w:eastAsia="Calibri" w:hAnsi="Arial" w:cs="Arial"/>
          <w:b/>
          <w:bCs/>
          <w:kern w:val="2"/>
          <w:sz w:val="24"/>
          <w:szCs w:val="24"/>
          <w:lang w:eastAsia="en-US"/>
          <w14:ligatures w14:val="standardContextual"/>
        </w:rPr>
        <w:t>” esattamente come avviene per ACQUEDOTTO PUGLIESE SPA</w:t>
      </w:r>
    </w:p>
    <w:p w14:paraId="6F2B81EA" w14:textId="77777777" w:rsidR="00636DD4" w:rsidRPr="00636DD4" w:rsidRDefault="00636DD4" w:rsidP="00C22B09">
      <w:pPr>
        <w:spacing w:line="360" w:lineRule="auto"/>
        <w:ind w:firstLine="567"/>
        <w:jc w:val="both"/>
        <w:rPr>
          <w:rFonts w:ascii="Arial" w:eastAsia="Calibri" w:hAnsi="Arial" w:cs="Arial"/>
          <w:kern w:val="2"/>
          <w:sz w:val="24"/>
          <w:szCs w:val="24"/>
          <w:lang w:eastAsia="en-US"/>
          <w14:ligatures w14:val="standardContextual"/>
        </w:rPr>
      </w:pPr>
      <w:r w:rsidRPr="00636DD4">
        <w:rPr>
          <w:rFonts w:ascii="Arial" w:eastAsia="Calibri" w:hAnsi="Arial" w:cs="Arial"/>
          <w:kern w:val="2"/>
          <w:sz w:val="24"/>
          <w:szCs w:val="24"/>
          <w:lang w:eastAsia="en-US"/>
          <w14:ligatures w14:val="standardContextual"/>
        </w:rPr>
        <w:t>Due le questioni principali valutate dai Giudici che sono essenzialmente riconducibili ad un ipotetico requisito “soggettivo” e ad uno “oggettivo”. Si discute infatti se operi nel caso di specie una delle ipotesi di esenzione previste rispettivamente alla lettera A) e lettera D) del comma 833, articolo 1 L. 160/2019.</w:t>
      </w:r>
    </w:p>
    <w:p w14:paraId="7323E37F" w14:textId="1558481E" w:rsidR="00636DD4" w:rsidRPr="00636DD4" w:rsidRDefault="00C22B09" w:rsidP="00C22B09">
      <w:pPr>
        <w:spacing w:line="360" w:lineRule="auto"/>
        <w:ind w:firstLine="567"/>
        <w:jc w:val="both"/>
        <w:rPr>
          <w:rFonts w:ascii="Arial" w:eastAsia="Calibri" w:hAnsi="Arial" w:cs="Arial"/>
          <w:kern w:val="2"/>
          <w:sz w:val="24"/>
          <w:szCs w:val="24"/>
          <w:lang w:eastAsia="en-US"/>
          <w14:ligatures w14:val="standardContextual"/>
        </w:rPr>
      </w:pPr>
      <w:r>
        <w:rPr>
          <w:rFonts w:ascii="Arial" w:eastAsia="Calibri" w:hAnsi="Arial" w:cs="Arial"/>
          <w:kern w:val="2"/>
          <w:sz w:val="24"/>
          <w:szCs w:val="24"/>
          <w:lang w:eastAsia="en-US"/>
          <w14:ligatures w14:val="standardContextual"/>
        </w:rPr>
        <w:t>Ebbene, su</w:t>
      </w:r>
      <w:r w:rsidR="00636DD4" w:rsidRPr="00636DD4">
        <w:rPr>
          <w:rFonts w:ascii="Arial" w:eastAsia="Calibri" w:hAnsi="Arial" w:cs="Arial"/>
          <w:kern w:val="2"/>
          <w:sz w:val="24"/>
          <w:szCs w:val="24"/>
          <w:lang w:eastAsia="en-US"/>
          <w14:ligatures w14:val="standardContextual"/>
        </w:rPr>
        <w:t xml:space="preserve">l tema del requisito soggettivo, ovvero se ricorrano le condizioni per applicare l’esenzione di cui alla lettera </w:t>
      </w:r>
      <w:r>
        <w:rPr>
          <w:rFonts w:ascii="Arial" w:eastAsia="Calibri" w:hAnsi="Arial" w:cs="Arial"/>
          <w:kern w:val="2"/>
          <w:sz w:val="24"/>
          <w:szCs w:val="24"/>
          <w:lang w:eastAsia="en-US"/>
          <w14:ligatures w14:val="standardContextual"/>
        </w:rPr>
        <w:t>a)</w:t>
      </w:r>
      <w:r w:rsidR="00636DD4" w:rsidRPr="00636DD4">
        <w:rPr>
          <w:rFonts w:ascii="Arial" w:eastAsia="Calibri" w:hAnsi="Arial" w:cs="Arial"/>
          <w:kern w:val="2"/>
          <w:sz w:val="24"/>
          <w:szCs w:val="24"/>
          <w:lang w:eastAsia="en-US"/>
          <w14:ligatures w14:val="standardContextual"/>
        </w:rPr>
        <w:t xml:space="preserve"> del comma 833</w:t>
      </w:r>
      <w:r>
        <w:rPr>
          <w:rFonts w:ascii="Arial" w:eastAsia="Calibri" w:hAnsi="Arial" w:cs="Arial"/>
          <w:kern w:val="2"/>
          <w:sz w:val="24"/>
          <w:szCs w:val="24"/>
          <w:lang w:eastAsia="en-US"/>
          <w14:ligatures w14:val="standardContextual"/>
        </w:rPr>
        <w:t>,</w:t>
      </w:r>
      <w:r w:rsidR="00636DD4" w:rsidRPr="00636DD4">
        <w:rPr>
          <w:rFonts w:ascii="Arial" w:eastAsia="Calibri" w:hAnsi="Arial" w:cs="Arial"/>
          <w:kern w:val="2"/>
          <w:sz w:val="24"/>
          <w:szCs w:val="24"/>
          <w:lang w:eastAsia="en-US"/>
          <w14:ligatures w14:val="standardContextual"/>
        </w:rPr>
        <w:t xml:space="preserve"> i giudici di Venezia </w:t>
      </w:r>
      <w:r>
        <w:rPr>
          <w:rFonts w:ascii="Arial" w:eastAsia="Calibri" w:hAnsi="Arial" w:cs="Arial"/>
          <w:kern w:val="2"/>
          <w:sz w:val="24"/>
          <w:szCs w:val="24"/>
          <w:lang w:eastAsia="en-US"/>
          <w14:ligatures w14:val="standardContextual"/>
        </w:rPr>
        <w:t>precisano</w:t>
      </w:r>
      <w:r w:rsidR="00636DD4" w:rsidRPr="00636DD4">
        <w:rPr>
          <w:rFonts w:ascii="Arial" w:eastAsia="Calibri" w:hAnsi="Arial" w:cs="Arial"/>
          <w:kern w:val="2"/>
          <w:sz w:val="24"/>
          <w:szCs w:val="24"/>
          <w:lang w:eastAsia="en-US"/>
          <w14:ligatures w14:val="standardContextual"/>
        </w:rPr>
        <w:t xml:space="preserve">: </w:t>
      </w:r>
    </w:p>
    <w:p w14:paraId="42DB68DC" w14:textId="77777777" w:rsidR="00636DD4" w:rsidRPr="00636DD4" w:rsidRDefault="00636DD4" w:rsidP="00C22B09">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 xml:space="preserve">“4.1. Va allora osservato che ai fini della lettera a) rileva unicamente la qualità soggettiva dell’ente e l’esenzione postula che l’occupazione sia fatta proprio da un soggetto esente tra quelli tassativamente individuati dalla norma ovvero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 </w:t>
      </w:r>
    </w:p>
    <w:p w14:paraId="7652A526" w14:textId="77777777" w:rsidR="00636DD4" w:rsidRPr="00636DD4" w:rsidRDefault="00636DD4" w:rsidP="00C22B09">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 xml:space="preserve">L’ipotesi di esenzione è di stretta interpretazione (in tal senso è pacifica la Cassazione formatasi in relazione alla analoga fattispecie prevista dall’art. 49 co. 1 A d.lgs. 507/1993, cfr. da ultimo Cass. sez. trib. n.3328 del 10/02/2025) e </w:t>
      </w:r>
      <w:r w:rsidRPr="00C22B09">
        <w:rPr>
          <w:rFonts w:ascii="Arial" w:eastAsia="Calibri" w:hAnsi="Arial" w:cs="Arial"/>
          <w:b/>
          <w:bCs/>
          <w:i/>
          <w:iCs/>
          <w:kern w:val="2"/>
          <w:sz w:val="24"/>
          <w:szCs w:val="24"/>
          <w:u w:val="single"/>
          <w:lang w:eastAsia="en-US"/>
          <w14:ligatures w14:val="standardContextual"/>
        </w:rPr>
        <w:t>non può essere estesa al soggetto gestore del servizio</w:t>
      </w:r>
      <w:r w:rsidRPr="00636DD4">
        <w:rPr>
          <w:rFonts w:ascii="Arial" w:eastAsia="Calibri" w:hAnsi="Arial" w:cs="Arial"/>
          <w:i/>
          <w:iCs/>
          <w:kern w:val="2"/>
          <w:sz w:val="24"/>
          <w:szCs w:val="24"/>
          <w:lang w:eastAsia="en-US"/>
          <w14:ligatures w14:val="standardContextual"/>
        </w:rPr>
        <w:t xml:space="preserve">,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(Cass. sez. trib. n.3636 del 12/02/2025; sez. trib. n.34267 del 24/12/2024) e, dunque, non si configura l'occupazione diretta "da parte del comune" quale soggetto ex lege esente. </w:t>
      </w:r>
    </w:p>
    <w:p w14:paraId="5B968BDA" w14:textId="77777777" w:rsidR="00636DD4" w:rsidRPr="00636DD4" w:rsidRDefault="00636DD4" w:rsidP="00C22B09">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Quindi, l’esenzione di cui alla art. 1 comma 833 lett. a) non opera nel caso di specie.”</w:t>
      </w:r>
    </w:p>
    <w:p w14:paraId="39801D83" w14:textId="7BF0598B" w:rsidR="00636DD4" w:rsidRPr="00636DD4" w:rsidRDefault="00C22B09" w:rsidP="00C22B09">
      <w:pPr>
        <w:spacing w:line="360" w:lineRule="auto"/>
        <w:ind w:firstLine="567"/>
        <w:jc w:val="both"/>
        <w:rPr>
          <w:rFonts w:ascii="Arial" w:eastAsia="Calibri" w:hAnsi="Arial" w:cs="Arial"/>
          <w:kern w:val="2"/>
          <w:sz w:val="24"/>
          <w:szCs w:val="24"/>
          <w:lang w:eastAsia="en-US"/>
          <w14:ligatures w14:val="standardContextual"/>
        </w:rPr>
      </w:pPr>
      <w:r>
        <w:rPr>
          <w:rFonts w:ascii="Arial" w:eastAsia="Calibri" w:hAnsi="Arial" w:cs="Arial"/>
          <w:kern w:val="2"/>
          <w:sz w:val="24"/>
          <w:szCs w:val="24"/>
          <w:lang w:eastAsia="en-US"/>
          <w14:ligatures w14:val="standardContextual"/>
        </w:rPr>
        <w:t>A questo punto, s</w:t>
      </w:r>
      <w:r w:rsidR="00636DD4" w:rsidRPr="00636DD4">
        <w:rPr>
          <w:rFonts w:ascii="Arial" w:eastAsia="Calibri" w:hAnsi="Arial" w:cs="Arial"/>
          <w:kern w:val="2"/>
          <w:sz w:val="24"/>
          <w:szCs w:val="24"/>
          <w:lang w:eastAsia="en-US"/>
          <w14:ligatures w14:val="standardContextual"/>
        </w:rPr>
        <w:t>i riporta</w:t>
      </w:r>
      <w:r>
        <w:rPr>
          <w:rFonts w:ascii="Arial" w:eastAsia="Calibri" w:hAnsi="Arial" w:cs="Arial"/>
          <w:kern w:val="2"/>
          <w:sz w:val="24"/>
          <w:szCs w:val="24"/>
          <w:lang w:eastAsia="en-US"/>
          <w14:ligatures w14:val="standardContextual"/>
        </w:rPr>
        <w:t>, anche,</w:t>
      </w:r>
      <w:r w:rsidR="00636DD4" w:rsidRPr="00636DD4">
        <w:rPr>
          <w:rFonts w:ascii="Arial" w:eastAsia="Calibri" w:hAnsi="Arial" w:cs="Arial"/>
          <w:kern w:val="2"/>
          <w:sz w:val="24"/>
          <w:szCs w:val="24"/>
          <w:lang w:eastAsia="en-US"/>
          <w14:ligatures w14:val="standardContextual"/>
        </w:rPr>
        <w:t xml:space="preserve"> un estratto della sentenza di Corte di Cassazione n.3636 del 12/02/2025 richiamata dai Giudici della Corte d’Appello nella quale si legge: </w:t>
      </w:r>
    </w:p>
    <w:p w14:paraId="02F8F2FA" w14:textId="77777777" w:rsidR="00636DD4" w:rsidRPr="00636DD4" w:rsidRDefault="00636DD4" w:rsidP="00C22B09">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 xml:space="preserve">“9.2. Il concessionario non può essere considerato longa manus dell'Amministrazione pubblica neppure laddove ricorrano i requisiti dell'in house providing, come configurati dalla giurisprudenza e dalle direttive comunitarie e come recepiti dalla nostra legislazione e, cioè, in particolare allorquando ricorrano i requisiti del controllo analogo (ovvero di un </w:t>
      </w:r>
      <w:r w:rsidRPr="00636DD4">
        <w:rPr>
          <w:rFonts w:ascii="Arial" w:eastAsia="Calibri" w:hAnsi="Arial" w:cs="Arial"/>
          <w:i/>
          <w:iCs/>
          <w:kern w:val="2"/>
          <w:sz w:val="24"/>
          <w:szCs w:val="24"/>
          <w:lang w:eastAsia="en-US"/>
          <w14:ligatures w14:val="standardContextual"/>
        </w:rPr>
        <w:lastRenderedPageBreak/>
        <w:t>controllo pubblico analogo a quello esercitato dall'amministrazione sulle proprie strutture) e della destinazione dell'oltre l'80% delle attività della persona giuridica controllata allo svolgimento dei compiti ad essa affidati dall'amministrazione aggiudicatrice controllante o da soggetti dalla stessa controllati( cfr. art. 178 del d.lgs. 18 aprile 2016 n. 50, cd. codice degli appalti, abrogato dal d.lgs. 31 marzo 2023, n. 36; Cass. n. 25614/2024). Il controllo pubblico dominante, per quanto svolto attraverso strumenti derogatori rispetto agli ordinari meccanismi di funzionamento sociale, non incide sull'alterità soggettiva della società rispetto all'amministrazione pubblica, in quanto la società in house rappresenta pur sempre un centro di imputazione di rapporti e posizioni giuridiche soggettive diverso dall'ente partecipante (Cass., sez. un., n. 7759/17; n. 21299/17; n. 7222/18 e, in particolare, Cass. n. 5346/19, Cass. n. 21658/21; Cass.n. 2164/2024; Cass. n. 464/2024; Cass. n. 2463/2024, n. 2463 secondo cui il canone per l'occupazione di spazi e aree pubbliche è sempre dovuto dalla concessionaria incaricata della gestione del servizio autostradale in relazione al viadotto ricompreso nell'infrastruttura, poiché il fine e il vincolo di natura pubblicistica che pur contrassegnano l'opera gestita non valgono a rendere la concessionaria - che persegue in autonomia un proprio fine di lucro - una mera "longa manus" dell'amministrazione statale, non potendo perciò fruire delle esenzioni riservate alle occupazioni di suolo attuate da parte di quest'ultima).</w:t>
      </w:r>
    </w:p>
    <w:p w14:paraId="238DFFC5" w14:textId="76560FC0" w:rsidR="00636DD4" w:rsidRPr="00636DD4" w:rsidRDefault="006F18C5" w:rsidP="006F18C5">
      <w:pPr>
        <w:spacing w:line="360" w:lineRule="auto"/>
        <w:ind w:firstLine="567"/>
        <w:jc w:val="both"/>
        <w:rPr>
          <w:rFonts w:ascii="Arial" w:eastAsia="Calibri" w:hAnsi="Arial" w:cs="Arial"/>
          <w:kern w:val="2"/>
          <w:sz w:val="24"/>
          <w:szCs w:val="24"/>
          <w:lang w:eastAsia="en-US"/>
          <w14:ligatures w14:val="standardContextual"/>
        </w:rPr>
      </w:pPr>
      <w:r>
        <w:rPr>
          <w:rFonts w:ascii="Arial" w:eastAsia="Calibri" w:hAnsi="Arial" w:cs="Arial"/>
          <w:b/>
          <w:bCs/>
          <w:kern w:val="2"/>
          <w:sz w:val="24"/>
          <w:szCs w:val="24"/>
          <w:lang w:eastAsia="en-US"/>
          <w14:ligatures w14:val="standardContextual"/>
        </w:rPr>
        <w:t>Ancora, a</w:t>
      </w:r>
      <w:r w:rsidR="00636DD4" w:rsidRPr="00636DD4">
        <w:rPr>
          <w:rFonts w:ascii="Arial" w:eastAsia="Calibri" w:hAnsi="Arial" w:cs="Arial"/>
          <w:b/>
          <w:bCs/>
          <w:kern w:val="2"/>
          <w:sz w:val="24"/>
          <w:szCs w:val="24"/>
          <w:lang w:eastAsia="en-US"/>
          <w14:ligatures w14:val="standardContextual"/>
        </w:rPr>
        <w:t>nche</w:t>
      </w:r>
      <w:r>
        <w:rPr>
          <w:rFonts w:ascii="Arial" w:eastAsia="Calibri" w:hAnsi="Arial" w:cs="Arial"/>
          <w:b/>
          <w:bCs/>
          <w:kern w:val="2"/>
          <w:sz w:val="24"/>
          <w:szCs w:val="24"/>
          <w:lang w:eastAsia="en-US"/>
          <w14:ligatures w14:val="standardContextual"/>
        </w:rPr>
        <w:t>,</w:t>
      </w:r>
      <w:r w:rsidR="00636DD4" w:rsidRPr="00636DD4">
        <w:rPr>
          <w:rFonts w:ascii="Arial" w:eastAsia="Calibri" w:hAnsi="Arial" w:cs="Arial"/>
          <w:b/>
          <w:bCs/>
          <w:kern w:val="2"/>
          <w:sz w:val="24"/>
          <w:szCs w:val="24"/>
          <w:lang w:eastAsia="en-US"/>
          <w14:ligatures w14:val="standardContextual"/>
        </w:rPr>
        <w:t xml:space="preserve"> la sentenza di Corte di Cassazione numero 16866 del 23.6.2025 chiarisce bene </w:t>
      </w:r>
      <w:r>
        <w:rPr>
          <w:rFonts w:ascii="Arial" w:eastAsia="Calibri" w:hAnsi="Arial" w:cs="Arial"/>
          <w:b/>
          <w:bCs/>
          <w:kern w:val="2"/>
          <w:sz w:val="24"/>
          <w:szCs w:val="24"/>
          <w:lang w:eastAsia="en-US"/>
          <w14:ligatures w14:val="standardContextual"/>
        </w:rPr>
        <w:t xml:space="preserve">il </w:t>
      </w:r>
      <w:r w:rsidR="00636DD4" w:rsidRPr="00636DD4">
        <w:rPr>
          <w:rFonts w:ascii="Arial" w:eastAsia="Calibri" w:hAnsi="Arial" w:cs="Arial"/>
          <w:b/>
          <w:bCs/>
          <w:kern w:val="2"/>
          <w:sz w:val="24"/>
          <w:szCs w:val="24"/>
          <w:lang w:eastAsia="en-US"/>
          <w14:ligatures w14:val="standardContextual"/>
        </w:rPr>
        <w:t>concetto</w:t>
      </w:r>
      <w:r>
        <w:rPr>
          <w:rFonts w:ascii="Arial" w:eastAsia="Calibri" w:hAnsi="Arial" w:cs="Arial"/>
          <w:b/>
          <w:bCs/>
          <w:kern w:val="2"/>
          <w:sz w:val="24"/>
          <w:szCs w:val="24"/>
          <w:lang w:eastAsia="en-US"/>
          <w14:ligatures w14:val="standardContextual"/>
        </w:rPr>
        <w:t xml:space="preserve"> sopra riportato</w:t>
      </w:r>
      <w:r w:rsidR="00636DD4" w:rsidRPr="00636DD4">
        <w:rPr>
          <w:rFonts w:ascii="Arial" w:eastAsia="Calibri" w:hAnsi="Arial" w:cs="Arial"/>
          <w:kern w:val="2"/>
          <w:sz w:val="24"/>
          <w:szCs w:val="24"/>
          <w:lang w:eastAsia="en-US"/>
          <w14:ligatures w14:val="standardContextual"/>
        </w:rPr>
        <w:t xml:space="preserve">: </w:t>
      </w:r>
    </w:p>
    <w:p w14:paraId="1999DCB9" w14:textId="77777777" w:rsidR="00636DD4" w:rsidRPr="00636DD4" w:rsidRDefault="00636DD4" w:rsidP="006F18C5">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 xml:space="preserve">“Va, pertanto, ribadito il principio secondo cui l'esenzione prevista per lo Stato e per gli altri enti pubblici dall'art. 49, comma 1, lett. a), del d.lgs. n. 507 del 1993, postula che l'occupazione sia ascrivibile al soggetto esente, sicché ove la stessa avvenga ad opera della società concessionaria per la realizzazione e la gestione di un'opera pubblica, alla stessa non spetta l'esenzione, senza che assuma rilevanza che l'opera sia di proprietà dello Stato, al quale ritornerà la gestione al termine della concessione, </w:t>
      </w:r>
      <w:r w:rsidRPr="006F18C5">
        <w:rPr>
          <w:rFonts w:ascii="Arial" w:eastAsia="Calibri" w:hAnsi="Arial" w:cs="Arial"/>
          <w:i/>
          <w:iCs/>
          <w:kern w:val="2"/>
          <w:sz w:val="24"/>
          <w:szCs w:val="24"/>
          <w:u w:val="single"/>
          <w:lang w:eastAsia="en-US"/>
          <w14:ligatures w14:val="standardContextual"/>
        </w:rPr>
        <w:t>tenuto conto delle finalità lucrative dell'attività d'impresa svolta da una società di capitali</w:t>
      </w:r>
      <w:r w:rsidRPr="00636DD4">
        <w:rPr>
          <w:rFonts w:ascii="Arial" w:eastAsia="Calibri" w:hAnsi="Arial" w:cs="Arial"/>
          <w:i/>
          <w:iCs/>
          <w:kern w:val="2"/>
          <w:sz w:val="24"/>
          <w:szCs w:val="24"/>
          <w:lang w:eastAsia="en-US"/>
          <w14:ligatures w14:val="standardContextual"/>
        </w:rPr>
        <w:t xml:space="preserve"> (Cass., Sez. 5, Sentenza n. 11886 del 12/05/2017; Cass., Sez. 6 - 5, Ordinanza n. 19693 del 25/07/2018).”</w:t>
      </w:r>
    </w:p>
    <w:p w14:paraId="3EB55982" w14:textId="6B191516" w:rsidR="00636DD4" w:rsidRPr="00636DD4" w:rsidRDefault="006F18C5" w:rsidP="006F18C5">
      <w:pPr>
        <w:spacing w:line="360" w:lineRule="auto"/>
        <w:ind w:firstLine="567"/>
        <w:jc w:val="both"/>
        <w:rPr>
          <w:rFonts w:ascii="Arial" w:eastAsia="Calibri" w:hAnsi="Arial" w:cs="Arial"/>
          <w:kern w:val="2"/>
          <w:sz w:val="24"/>
          <w:szCs w:val="24"/>
          <w:lang w:eastAsia="en-US"/>
          <w14:ligatures w14:val="standardContextual"/>
        </w:rPr>
      </w:pPr>
      <w:r>
        <w:rPr>
          <w:rFonts w:ascii="Arial" w:eastAsia="Calibri" w:hAnsi="Arial" w:cs="Arial"/>
          <w:kern w:val="2"/>
          <w:sz w:val="24"/>
          <w:szCs w:val="24"/>
          <w:lang w:eastAsia="en-US"/>
          <w14:ligatures w14:val="standardContextual"/>
        </w:rPr>
        <w:t>Poi, s</w:t>
      </w:r>
      <w:r w:rsidR="00636DD4" w:rsidRPr="00636DD4">
        <w:rPr>
          <w:rFonts w:ascii="Arial" w:eastAsia="Calibri" w:hAnsi="Arial" w:cs="Arial"/>
          <w:kern w:val="2"/>
          <w:sz w:val="24"/>
          <w:szCs w:val="24"/>
          <w:lang w:eastAsia="en-US"/>
          <w14:ligatures w14:val="standardContextual"/>
        </w:rPr>
        <w:t xml:space="preserve">ul tema del </w:t>
      </w:r>
      <w:r w:rsidR="00636DD4" w:rsidRPr="006F18C5">
        <w:rPr>
          <w:rFonts w:ascii="Arial" w:eastAsia="Calibri" w:hAnsi="Arial" w:cs="Arial"/>
          <w:b/>
          <w:bCs/>
          <w:kern w:val="2"/>
          <w:sz w:val="24"/>
          <w:szCs w:val="24"/>
          <w:u w:val="single"/>
          <w:lang w:eastAsia="en-US"/>
          <w14:ligatures w14:val="standardContextual"/>
        </w:rPr>
        <w:t>requisito oggettivo</w:t>
      </w:r>
      <w:r w:rsidR="00636DD4" w:rsidRPr="00636DD4">
        <w:rPr>
          <w:rFonts w:ascii="Arial" w:eastAsia="Calibri" w:hAnsi="Arial" w:cs="Arial"/>
          <w:kern w:val="2"/>
          <w:sz w:val="24"/>
          <w:szCs w:val="24"/>
          <w:lang w:eastAsia="en-US"/>
          <w14:ligatures w14:val="standardContextual"/>
        </w:rPr>
        <w:t xml:space="preserve">, ovvero se ricorrano le condizioni per applicare l’esenzione di cui alla lettera </w:t>
      </w:r>
      <w:r>
        <w:rPr>
          <w:rFonts w:ascii="Arial" w:eastAsia="Calibri" w:hAnsi="Arial" w:cs="Arial"/>
          <w:kern w:val="2"/>
          <w:sz w:val="24"/>
          <w:szCs w:val="24"/>
          <w:lang w:eastAsia="en-US"/>
          <w14:ligatures w14:val="standardContextual"/>
        </w:rPr>
        <w:t>d),</w:t>
      </w:r>
      <w:r w:rsidR="00636DD4" w:rsidRPr="00636DD4">
        <w:rPr>
          <w:rFonts w:ascii="Arial" w:eastAsia="Calibri" w:hAnsi="Arial" w:cs="Arial"/>
          <w:kern w:val="2"/>
          <w:sz w:val="24"/>
          <w:szCs w:val="24"/>
          <w:lang w:eastAsia="en-US"/>
          <w14:ligatures w14:val="standardContextual"/>
        </w:rPr>
        <w:t xml:space="preserve"> del comma 833</w:t>
      </w:r>
      <w:r>
        <w:rPr>
          <w:rFonts w:ascii="Arial" w:eastAsia="Calibri" w:hAnsi="Arial" w:cs="Arial"/>
          <w:kern w:val="2"/>
          <w:sz w:val="24"/>
          <w:szCs w:val="24"/>
          <w:lang w:eastAsia="en-US"/>
          <w14:ligatures w14:val="standardContextual"/>
        </w:rPr>
        <w:t>,</w:t>
      </w:r>
      <w:r w:rsidR="00636DD4" w:rsidRPr="00636DD4">
        <w:rPr>
          <w:rFonts w:ascii="Arial" w:eastAsia="Calibri" w:hAnsi="Arial" w:cs="Arial"/>
          <w:kern w:val="2"/>
          <w:sz w:val="24"/>
          <w:szCs w:val="24"/>
          <w:lang w:eastAsia="en-US"/>
          <w14:ligatures w14:val="standardContextual"/>
        </w:rPr>
        <w:t xml:space="preserve"> i giudici di Venezia </w:t>
      </w:r>
      <w:r>
        <w:rPr>
          <w:rFonts w:ascii="Arial" w:eastAsia="Calibri" w:hAnsi="Arial" w:cs="Arial"/>
          <w:kern w:val="2"/>
          <w:sz w:val="24"/>
          <w:szCs w:val="24"/>
          <w:lang w:eastAsia="en-US"/>
          <w14:ligatures w14:val="standardContextual"/>
        </w:rPr>
        <w:t>precisano</w:t>
      </w:r>
      <w:r w:rsidR="00636DD4" w:rsidRPr="00636DD4">
        <w:rPr>
          <w:rFonts w:ascii="Arial" w:eastAsia="Calibri" w:hAnsi="Arial" w:cs="Arial"/>
          <w:kern w:val="2"/>
          <w:sz w:val="24"/>
          <w:szCs w:val="24"/>
          <w:lang w:eastAsia="en-US"/>
          <w14:ligatures w14:val="standardContextual"/>
        </w:rPr>
        <w:t xml:space="preserve">: </w:t>
      </w:r>
    </w:p>
    <w:p w14:paraId="4E37A1D3" w14:textId="77777777" w:rsidR="00636DD4" w:rsidRPr="00636DD4" w:rsidRDefault="00636DD4" w:rsidP="006F18C5">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 xml:space="preserve">“4.2. L’art. 1 comma 833 lettera d) prevede l’esenzione dal canone per “le occupazioni con impianti adibiti ai servizi pubblici nei casi in cui ne sia prevista, all'atto della concessione o successivamente, la devoluzione gratuita al comune al termine della concessione medesima”. </w:t>
      </w:r>
    </w:p>
    <w:p w14:paraId="4747EE13" w14:textId="77777777" w:rsidR="00636DD4" w:rsidRPr="00636DD4" w:rsidRDefault="00636DD4" w:rsidP="006F18C5">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lastRenderedPageBreak/>
        <w:t xml:space="preserve">Ai fini della lettera d) rileva che l'occupazione sia effettuata dalla società appaltatrice con propri impianti adibiti al servizio - consistenti nel complesso di attrezzature e macchine necessarie all'impresa concessionaria per lo svolgimento dell'attività - ed il fatto che di essi sia prevista “all'atto della concessione o successivamente, la devoluzione gratuita al Comune o alla Provincia al termine della concessione medesima” (Cassazione civile sez. trib., 12/09/2012, n.15247 con riferimento alla analoga esenzione precedentemente prevista dall’art. 49 e) D.lgs.507/1993). </w:t>
      </w:r>
    </w:p>
    <w:p w14:paraId="2D852140" w14:textId="77777777" w:rsidR="00636DD4" w:rsidRPr="00636DD4" w:rsidRDefault="00636DD4" w:rsidP="006F18C5">
      <w:pPr>
        <w:spacing w:line="360" w:lineRule="auto"/>
        <w:ind w:firstLine="567"/>
        <w:jc w:val="both"/>
        <w:rPr>
          <w:rFonts w:ascii="Arial" w:eastAsia="Calibri" w:hAnsi="Arial" w:cs="Arial"/>
          <w:i/>
          <w:iCs/>
          <w:kern w:val="2"/>
          <w:sz w:val="24"/>
          <w:szCs w:val="24"/>
          <w:lang w:eastAsia="en-US"/>
          <w14:ligatures w14:val="standardContextual"/>
        </w:rPr>
      </w:pPr>
      <w:r w:rsidRPr="00636DD4">
        <w:rPr>
          <w:rFonts w:ascii="Arial" w:eastAsia="Calibri" w:hAnsi="Arial" w:cs="Arial"/>
          <w:i/>
          <w:iCs/>
          <w:kern w:val="2"/>
          <w:sz w:val="24"/>
          <w:szCs w:val="24"/>
          <w:lang w:eastAsia="en-US"/>
          <w14:ligatures w14:val="standardContextual"/>
        </w:rPr>
        <w:t>L’esenzione, infatti, “trova il suo essenziale presupposto nel fatto che, al termine del rapporto concessorio, gli impianti che sono serviti allo svolgimento del pubblico servizio, e che hanno dato luogo ad occupazione di suolo pubblico, restino devoluti definitivamente ad un ente pubblico territoriale (beneficiario del gettito del tributo), sia esso - indifferentemente - un Comune o una Provincia. La ratio di tale previsione normativa è del tutto evidente. Essa risiede, invero, nel fatto che, in conseguenza della pattuizione intercorsa tra concedente e concessionario, viene a cadere - con riferimento al momento finale del rapporto di concessione - il presupposto essenziale per l'applicazione del tributo, costituito dal beneficio arrecato al contribuente dall'occupazione di uno spazio sul suolo pubblico, sottratto così all'uso collettivo” (Cass. sez. trib., n.15247/2012 cit.).”</w:t>
      </w:r>
    </w:p>
    <w:p w14:paraId="67595FA0" w14:textId="649DF881" w:rsidR="00636DD4" w:rsidRPr="001C27E7" w:rsidRDefault="00636DD4" w:rsidP="006F18C5">
      <w:pPr>
        <w:spacing w:line="360" w:lineRule="auto"/>
        <w:ind w:firstLine="567"/>
        <w:jc w:val="both"/>
        <w:rPr>
          <w:rFonts w:ascii="Arial" w:eastAsia="Calibri" w:hAnsi="Arial" w:cs="Arial"/>
          <w:kern w:val="2"/>
          <w:sz w:val="24"/>
          <w:szCs w:val="24"/>
          <w:u w:val="single"/>
          <w:lang w:eastAsia="en-US"/>
          <w14:ligatures w14:val="standardContextual"/>
        </w:rPr>
      </w:pPr>
      <w:r w:rsidRPr="00636DD4">
        <w:rPr>
          <w:rFonts w:ascii="Arial" w:eastAsia="Calibri" w:hAnsi="Arial" w:cs="Arial"/>
          <w:kern w:val="2"/>
          <w:sz w:val="24"/>
          <w:szCs w:val="24"/>
          <w:lang w:eastAsia="en-US"/>
          <w14:ligatures w14:val="standardContextual"/>
        </w:rPr>
        <w:t>Si deve</w:t>
      </w:r>
      <w:r w:rsidR="006F18C5">
        <w:rPr>
          <w:rFonts w:ascii="Arial" w:eastAsia="Calibri" w:hAnsi="Arial" w:cs="Arial"/>
          <w:kern w:val="2"/>
          <w:sz w:val="24"/>
          <w:szCs w:val="24"/>
          <w:lang w:eastAsia="en-US"/>
          <w14:ligatures w14:val="standardContextual"/>
        </w:rPr>
        <w:t>, quindi,</w:t>
      </w:r>
      <w:r w:rsidRPr="00636DD4">
        <w:rPr>
          <w:rFonts w:ascii="Arial" w:eastAsia="Calibri" w:hAnsi="Arial" w:cs="Arial"/>
          <w:kern w:val="2"/>
          <w:sz w:val="24"/>
          <w:szCs w:val="24"/>
          <w:lang w:eastAsia="en-US"/>
          <w14:ligatures w14:val="standardContextual"/>
        </w:rPr>
        <w:t xml:space="preserve"> escludere che l’esenzione operi qualora i beni utilizzati per lo svolgimento del servizio siano già di proprietà dell’ente pubblico (nel caso di specie il comune) e vengano semplicemente concessi in uso e</w:t>
      </w:r>
      <w:r w:rsidR="006F18C5">
        <w:rPr>
          <w:rFonts w:ascii="Arial" w:eastAsia="Calibri" w:hAnsi="Arial" w:cs="Arial"/>
          <w:kern w:val="2"/>
          <w:sz w:val="24"/>
          <w:szCs w:val="24"/>
          <w:lang w:eastAsia="en-US"/>
          <w14:ligatures w14:val="standardContextual"/>
        </w:rPr>
        <w:t>,</w:t>
      </w:r>
      <w:r w:rsidRPr="00636DD4">
        <w:rPr>
          <w:rFonts w:ascii="Arial" w:eastAsia="Calibri" w:hAnsi="Arial" w:cs="Arial"/>
          <w:kern w:val="2"/>
          <w:sz w:val="24"/>
          <w:szCs w:val="24"/>
          <w:lang w:eastAsia="en-US"/>
          <w14:ligatures w14:val="standardContextual"/>
        </w:rPr>
        <w:t xml:space="preserve"> poi</w:t>
      </w:r>
      <w:r w:rsidR="006F18C5">
        <w:rPr>
          <w:rFonts w:ascii="Arial" w:eastAsia="Calibri" w:hAnsi="Arial" w:cs="Arial"/>
          <w:kern w:val="2"/>
          <w:sz w:val="24"/>
          <w:szCs w:val="24"/>
          <w:lang w:eastAsia="en-US"/>
          <w14:ligatures w14:val="standardContextual"/>
        </w:rPr>
        <w:t>,</w:t>
      </w:r>
      <w:r w:rsidRPr="00636DD4">
        <w:rPr>
          <w:rFonts w:ascii="Arial" w:eastAsia="Calibri" w:hAnsi="Arial" w:cs="Arial"/>
          <w:kern w:val="2"/>
          <w:sz w:val="24"/>
          <w:szCs w:val="24"/>
          <w:lang w:eastAsia="en-US"/>
          <w14:ligatures w14:val="standardContextual"/>
        </w:rPr>
        <w:t xml:space="preserve"> </w:t>
      </w:r>
      <w:r w:rsidRPr="006F18C5">
        <w:rPr>
          <w:rFonts w:ascii="Arial" w:eastAsia="Calibri" w:hAnsi="Arial" w:cs="Arial"/>
          <w:kern w:val="2"/>
          <w:sz w:val="24"/>
          <w:szCs w:val="24"/>
          <w:u w:val="single"/>
          <w:lang w:eastAsia="en-US"/>
          <w14:ligatures w14:val="standardContextual"/>
        </w:rPr>
        <w:t>restituiti</w:t>
      </w:r>
      <w:r w:rsidRPr="00636DD4">
        <w:rPr>
          <w:rFonts w:ascii="Arial" w:eastAsia="Calibri" w:hAnsi="Arial" w:cs="Arial"/>
          <w:kern w:val="2"/>
          <w:sz w:val="24"/>
          <w:szCs w:val="24"/>
          <w:lang w:eastAsia="en-US"/>
          <w14:ligatures w14:val="standardContextual"/>
        </w:rPr>
        <w:t xml:space="preserve"> al termine della concessione, perché </w:t>
      </w:r>
      <w:r w:rsidRPr="006F18C5">
        <w:rPr>
          <w:rFonts w:ascii="Arial" w:eastAsia="Calibri" w:hAnsi="Arial" w:cs="Arial"/>
          <w:kern w:val="2"/>
          <w:sz w:val="24"/>
          <w:szCs w:val="24"/>
          <w:u w:val="single"/>
          <w:lang w:eastAsia="en-US"/>
          <w14:ligatures w14:val="standardContextual"/>
        </w:rPr>
        <w:t>il presupposto dell’esenzione è che la società concessionaria effettui l’occupazione con impianti adibiti al servizio pubblico di sua realizzazione, che, poi, al termine, vengono devoluti gratuitamente al Comune, perché non possono essere ceduti gratuitamente al Comune beni di cui l’ente pubblico è già proprietario</w:t>
      </w:r>
      <w:r w:rsidRPr="00636DD4">
        <w:rPr>
          <w:rFonts w:ascii="Arial" w:eastAsia="Calibri" w:hAnsi="Arial" w:cs="Arial"/>
          <w:kern w:val="2"/>
          <w:sz w:val="24"/>
          <w:szCs w:val="24"/>
          <w:lang w:eastAsia="en-US"/>
          <w14:ligatures w14:val="standardContextual"/>
        </w:rPr>
        <w:t xml:space="preserve">. </w:t>
      </w:r>
      <w:r w:rsidRPr="001C27E7">
        <w:rPr>
          <w:rFonts w:ascii="Arial" w:eastAsia="Calibri" w:hAnsi="Arial" w:cs="Arial"/>
          <w:kern w:val="2"/>
          <w:sz w:val="24"/>
          <w:szCs w:val="24"/>
          <w:u w:val="single"/>
          <w:lang w:eastAsia="en-US"/>
          <w14:ligatures w14:val="standardContextual"/>
        </w:rPr>
        <w:t>Quindi, nel caso in cui il concessionario si limiti a restituire al Comune beni già di proprietà dell'ente pubblico territoriale (oggetto solo di attività di manutenzione nel corso del rapporto) l’esenzione non opera (in tal senso Cass.sez. trib. nr.16866 del 23.6.2025).</w:t>
      </w:r>
    </w:p>
    <w:p w14:paraId="6AB672FC" w14:textId="4C6E4BBC" w:rsidR="00636DD4" w:rsidRPr="00636DD4" w:rsidRDefault="00636DD4" w:rsidP="00D62A44">
      <w:pPr>
        <w:spacing w:line="360" w:lineRule="auto"/>
        <w:ind w:firstLine="360"/>
        <w:jc w:val="both"/>
        <w:rPr>
          <w:rFonts w:ascii="Arial" w:eastAsia="Calibri" w:hAnsi="Arial" w:cs="Arial"/>
          <w:kern w:val="2"/>
          <w:sz w:val="24"/>
          <w:szCs w:val="24"/>
          <w:lang w:eastAsia="en-US"/>
          <w14:ligatures w14:val="standardContextual"/>
        </w:rPr>
      </w:pPr>
      <w:r w:rsidRPr="00636DD4">
        <w:rPr>
          <w:rFonts w:ascii="Arial" w:eastAsia="Calibri" w:hAnsi="Arial" w:cs="Arial"/>
          <w:kern w:val="2"/>
          <w:sz w:val="24"/>
          <w:szCs w:val="24"/>
          <w:lang w:eastAsia="en-US"/>
          <w14:ligatures w14:val="standardContextual"/>
        </w:rPr>
        <w:t xml:space="preserve">La sentenza </w:t>
      </w:r>
      <w:r w:rsidR="00D62A44">
        <w:rPr>
          <w:rFonts w:ascii="Arial" w:eastAsia="Calibri" w:hAnsi="Arial" w:cs="Arial"/>
          <w:kern w:val="2"/>
          <w:sz w:val="24"/>
          <w:szCs w:val="24"/>
          <w:lang w:eastAsia="en-US"/>
          <w14:ligatures w14:val="standardContextual"/>
        </w:rPr>
        <w:t>ricordata</w:t>
      </w:r>
      <w:r w:rsidRPr="00636DD4">
        <w:rPr>
          <w:rFonts w:ascii="Arial" w:eastAsia="Calibri" w:hAnsi="Arial" w:cs="Arial"/>
          <w:kern w:val="2"/>
          <w:sz w:val="24"/>
          <w:szCs w:val="24"/>
          <w:lang w:eastAsia="en-US"/>
          <w14:ligatures w14:val="standardContextual"/>
        </w:rPr>
        <w:t xml:space="preserve"> si aggiunge ad altre già pronunciate, come ad esempio quella del Tribunale di Rovigo del 22 novembre 2024, dove si chiarisce </w:t>
      </w:r>
      <w:r w:rsidR="00D62A44">
        <w:rPr>
          <w:rFonts w:ascii="Arial" w:eastAsia="Calibri" w:hAnsi="Arial" w:cs="Arial"/>
          <w:kern w:val="2"/>
          <w:sz w:val="24"/>
          <w:szCs w:val="24"/>
          <w:lang w:eastAsia="en-US"/>
          <w14:ligatures w14:val="standardContextual"/>
        </w:rPr>
        <w:t>che</w:t>
      </w:r>
      <w:r w:rsidRPr="00636DD4">
        <w:rPr>
          <w:rFonts w:ascii="Arial" w:eastAsia="Calibri" w:hAnsi="Arial" w:cs="Arial"/>
          <w:kern w:val="2"/>
          <w:sz w:val="24"/>
          <w:szCs w:val="24"/>
          <w:lang w:eastAsia="en-US"/>
          <w14:ligatures w14:val="standardContextual"/>
        </w:rPr>
        <w:t xml:space="preserve"> i servizi erogati nell’ambito del servizio idrico, anche quando gestiti da società a capitale interamente pubblico, non possano ritenersi esenti dal pagamento del CUP, andando invece a quantificare la speciale tariffa disciplinata al comma 831 della legge 160/2019, che vedrà Comuni e Province beneficiare del gettito, calcolata per le utenze attive dei servizi di acqua potabile e fognatura erogati nell’ambito del territorio di competenza. Non possono trovare </w:t>
      </w:r>
      <w:r w:rsidRPr="00636DD4">
        <w:rPr>
          <w:rFonts w:ascii="Arial" w:eastAsia="Calibri" w:hAnsi="Arial" w:cs="Arial"/>
          <w:kern w:val="2"/>
          <w:sz w:val="24"/>
          <w:szCs w:val="24"/>
          <w:lang w:eastAsia="en-US"/>
          <w14:ligatures w14:val="standardContextual"/>
        </w:rPr>
        <w:lastRenderedPageBreak/>
        <w:t>applicazione le ipotesi di esenzione disciplinate dalle lettere A e D del comma 833 della Legge 160/2019 sulla base delle quali molte società che gestiscono il servizio idrico si ritengono esonerate dal versamento e dalla dichiarazione delle utenze attive prevista al 30 aprile di ciascun anno.</w:t>
      </w:r>
    </w:p>
    <w:p w14:paraId="1B33242A" w14:textId="5B634571" w:rsidR="00EE30CF" w:rsidRPr="00C82F0E" w:rsidRDefault="00EE30CF" w:rsidP="00D62A44">
      <w:pPr>
        <w:snapToGrid w:val="0"/>
        <w:spacing w:line="360" w:lineRule="auto"/>
        <w:ind w:firstLine="708"/>
        <w:jc w:val="both"/>
        <w:rPr>
          <w:rFonts w:ascii="Arial" w:hAnsi="Arial" w:cs="Arial"/>
          <w:sz w:val="24"/>
          <w:szCs w:val="24"/>
        </w:rPr>
      </w:pPr>
      <w:r w:rsidRPr="00C82F0E">
        <w:rPr>
          <w:rFonts w:ascii="Arial" w:hAnsi="Arial" w:cs="Arial"/>
          <w:b/>
          <w:bCs/>
          <w:sz w:val="24"/>
          <w:szCs w:val="24"/>
        </w:rPr>
        <w:t>Del tutto inconferente è</w:t>
      </w:r>
      <w:r w:rsidRPr="00C82F0E">
        <w:rPr>
          <w:rFonts w:ascii="Arial" w:hAnsi="Arial" w:cs="Arial"/>
          <w:sz w:val="24"/>
          <w:szCs w:val="24"/>
        </w:rPr>
        <w:t xml:space="preserve">, </w:t>
      </w:r>
      <w:r w:rsidR="003B4793" w:rsidRPr="00C82F0E">
        <w:rPr>
          <w:rFonts w:ascii="Arial" w:hAnsi="Arial" w:cs="Arial"/>
          <w:sz w:val="24"/>
          <w:szCs w:val="24"/>
        </w:rPr>
        <w:t>infine</w:t>
      </w:r>
      <w:r w:rsidRPr="00C82F0E">
        <w:rPr>
          <w:rFonts w:ascii="Arial" w:hAnsi="Arial" w:cs="Arial"/>
          <w:sz w:val="24"/>
          <w:szCs w:val="24"/>
        </w:rPr>
        <w:t xml:space="preserve">, </w:t>
      </w:r>
      <w:r w:rsidRPr="00C82F0E">
        <w:rPr>
          <w:rFonts w:ascii="Arial" w:hAnsi="Arial" w:cs="Arial"/>
          <w:b/>
          <w:bCs/>
          <w:sz w:val="24"/>
          <w:szCs w:val="24"/>
        </w:rPr>
        <w:t>la nota prodotta dall'Ente Idrico Campano</w:t>
      </w:r>
      <w:r w:rsidRPr="00C82F0E">
        <w:rPr>
          <w:rFonts w:ascii="Arial" w:hAnsi="Arial" w:cs="Arial"/>
          <w:sz w:val="24"/>
          <w:szCs w:val="24"/>
        </w:rPr>
        <w:t xml:space="preserve">. Si tratta di una mera comunicazione amministrativa interna, priva di qualsiasi forza normativa o provvedimentale, proveniente per giunta da un'autorità d'ambito della Regione Campania, territorialmente e funzionalmente estranea al rapporto tra AQP e i Comuni pugliesi. Il suo contenuto è meramente assertivo e privo di qualsiasi supporto argomentativo, e la tesi ivi sostenuta è stata espressamente disattesa dalla giurisprudenza </w:t>
      </w:r>
      <w:r w:rsidR="00795E24">
        <w:rPr>
          <w:rFonts w:ascii="Arial" w:hAnsi="Arial" w:cs="Arial"/>
          <w:sz w:val="24"/>
          <w:szCs w:val="24"/>
        </w:rPr>
        <w:t xml:space="preserve">di legittimità sopra ricordata, sia con dalla giurisprudenza di merito (es. </w:t>
      </w:r>
      <w:r w:rsidRPr="00C82F0E">
        <w:rPr>
          <w:rFonts w:ascii="Arial" w:hAnsi="Arial" w:cs="Arial"/>
          <w:sz w:val="24"/>
          <w:szCs w:val="24"/>
        </w:rPr>
        <w:t>Corte d'Appello di Venezia n. 3441/2025</w:t>
      </w:r>
      <w:r w:rsidR="00795E24">
        <w:rPr>
          <w:rFonts w:ascii="Arial" w:hAnsi="Arial" w:cs="Arial"/>
          <w:sz w:val="24"/>
          <w:szCs w:val="24"/>
        </w:rPr>
        <w:t>)</w:t>
      </w:r>
      <w:r w:rsidRPr="00C82F0E">
        <w:rPr>
          <w:rFonts w:ascii="Arial" w:hAnsi="Arial" w:cs="Arial"/>
          <w:sz w:val="24"/>
          <w:szCs w:val="24"/>
        </w:rPr>
        <w:t>.</w:t>
      </w:r>
    </w:p>
    <w:p w14:paraId="7484AE7F" w14:textId="38E6EF67" w:rsidR="00F95BE6" w:rsidRPr="00C82F0E" w:rsidRDefault="00636DD4" w:rsidP="00795E24">
      <w:pPr>
        <w:snapToGrid w:val="0"/>
        <w:spacing w:line="360" w:lineRule="auto"/>
        <w:ind w:firstLine="708"/>
        <w:jc w:val="both"/>
        <w:rPr>
          <w:rFonts w:ascii="Arial" w:hAnsi="Arial" w:cs="Arial"/>
          <w:b/>
          <w:bCs/>
          <w:sz w:val="24"/>
          <w:szCs w:val="24"/>
        </w:rPr>
      </w:pPr>
      <w:r w:rsidRPr="00C82F0E">
        <w:rPr>
          <w:rFonts w:ascii="Arial" w:hAnsi="Arial" w:cs="Arial"/>
          <w:b/>
          <w:bCs/>
          <w:sz w:val="24"/>
          <w:szCs w:val="24"/>
        </w:rPr>
        <w:t xml:space="preserve">Anche la </w:t>
      </w:r>
      <w:r w:rsidR="00F95BE6" w:rsidRPr="00C82F0E">
        <w:rPr>
          <w:rFonts w:ascii="Arial" w:hAnsi="Arial" w:cs="Arial"/>
          <w:b/>
          <w:bCs/>
          <w:sz w:val="24"/>
          <w:szCs w:val="24"/>
        </w:rPr>
        <w:t>massima della Corte dei Conti n. 21/1997</w:t>
      </w:r>
      <w:r w:rsidRPr="00C82F0E">
        <w:rPr>
          <w:rFonts w:ascii="Arial" w:hAnsi="Arial" w:cs="Arial"/>
          <w:b/>
          <w:bCs/>
          <w:sz w:val="24"/>
          <w:szCs w:val="24"/>
        </w:rPr>
        <w:t xml:space="preserve"> richiamata dalla stessa attrice non rema a favore della tesi dell’opponente</w:t>
      </w:r>
      <w:r w:rsidR="003B4793" w:rsidRPr="00C82F0E">
        <w:rPr>
          <w:rFonts w:ascii="Arial" w:hAnsi="Arial" w:cs="Arial"/>
          <w:b/>
          <w:bCs/>
          <w:sz w:val="24"/>
          <w:szCs w:val="24"/>
        </w:rPr>
        <w:t>.</w:t>
      </w:r>
    </w:p>
    <w:p w14:paraId="74AAFFC9" w14:textId="77777777" w:rsidR="00795E24" w:rsidRDefault="00795E24" w:rsidP="00795E24">
      <w:pPr>
        <w:snapToGrid w:val="0"/>
        <w:spacing w:line="360" w:lineRule="auto"/>
        <w:ind w:firstLine="708"/>
        <w:jc w:val="both"/>
        <w:rPr>
          <w:rFonts w:ascii="Arial" w:hAnsi="Arial" w:cs="Arial"/>
          <w:sz w:val="24"/>
          <w:szCs w:val="24"/>
        </w:rPr>
      </w:pPr>
      <w:r>
        <w:rPr>
          <w:rFonts w:ascii="Arial" w:hAnsi="Arial" w:cs="Arial"/>
          <w:sz w:val="24"/>
          <w:szCs w:val="24"/>
        </w:rPr>
        <w:t xml:space="preserve">Ed infatti, la </w:t>
      </w:r>
      <w:r w:rsidR="00F95BE6" w:rsidRPr="00C82F0E">
        <w:rPr>
          <w:rFonts w:ascii="Arial" w:hAnsi="Arial" w:cs="Arial"/>
          <w:sz w:val="24"/>
          <w:szCs w:val="24"/>
        </w:rPr>
        <w:t xml:space="preserve">delibera della Corte dei Conti, sez. controllo enti, n. 21/1997, </w:t>
      </w:r>
      <w:r w:rsidR="00636DD4" w:rsidRPr="00C82F0E">
        <w:rPr>
          <w:rFonts w:ascii="Arial" w:hAnsi="Arial" w:cs="Arial"/>
          <w:sz w:val="24"/>
          <w:szCs w:val="24"/>
        </w:rPr>
        <w:t xml:space="preserve">che </w:t>
      </w:r>
      <w:r w:rsidR="00F95BE6" w:rsidRPr="00C82F0E">
        <w:rPr>
          <w:rFonts w:ascii="Arial" w:hAnsi="Arial" w:cs="Arial"/>
          <w:sz w:val="24"/>
          <w:szCs w:val="24"/>
        </w:rPr>
        <w:t>conferma la natura pubblica delle infrastrutture gestite da AQP</w:t>
      </w:r>
      <w:r w:rsidR="00636DD4" w:rsidRPr="00C82F0E">
        <w:rPr>
          <w:rFonts w:ascii="Arial" w:hAnsi="Arial" w:cs="Arial"/>
          <w:sz w:val="24"/>
          <w:szCs w:val="24"/>
        </w:rPr>
        <w:t xml:space="preserve"> </w:t>
      </w:r>
      <w:r w:rsidR="00F95BE6" w:rsidRPr="00C82F0E">
        <w:rPr>
          <w:rFonts w:ascii="Arial" w:hAnsi="Arial" w:cs="Arial"/>
          <w:b/>
          <w:bCs/>
          <w:sz w:val="24"/>
          <w:szCs w:val="24"/>
        </w:rPr>
        <w:t xml:space="preserve">è </w:t>
      </w:r>
      <w:r w:rsidR="00636DD4" w:rsidRPr="00C82F0E">
        <w:rPr>
          <w:rFonts w:ascii="Arial" w:hAnsi="Arial" w:cs="Arial"/>
          <w:b/>
          <w:bCs/>
          <w:sz w:val="24"/>
          <w:szCs w:val="24"/>
        </w:rPr>
        <w:t xml:space="preserve">da un lato </w:t>
      </w:r>
      <w:r w:rsidR="00F95BE6" w:rsidRPr="00C82F0E">
        <w:rPr>
          <w:rFonts w:ascii="Arial" w:hAnsi="Arial" w:cs="Arial"/>
          <w:b/>
          <w:bCs/>
          <w:sz w:val="24"/>
          <w:szCs w:val="24"/>
        </w:rPr>
        <w:t xml:space="preserve">inconferente rispetto al tema del presente giudizio e, </w:t>
      </w:r>
      <w:r w:rsidR="00636DD4" w:rsidRPr="00C82F0E">
        <w:rPr>
          <w:rFonts w:ascii="Arial" w:hAnsi="Arial" w:cs="Arial"/>
          <w:b/>
          <w:bCs/>
          <w:sz w:val="24"/>
          <w:szCs w:val="24"/>
        </w:rPr>
        <w:t>dall’altro lato</w:t>
      </w:r>
      <w:r w:rsidR="00F95BE6" w:rsidRPr="00C82F0E">
        <w:rPr>
          <w:rFonts w:ascii="Arial" w:hAnsi="Arial" w:cs="Arial"/>
          <w:b/>
          <w:bCs/>
          <w:sz w:val="24"/>
          <w:szCs w:val="24"/>
        </w:rPr>
        <w:t xml:space="preserve">, controproducente per la stessa </w:t>
      </w:r>
      <w:r w:rsidR="00211643" w:rsidRPr="00C82F0E">
        <w:rPr>
          <w:rFonts w:ascii="Arial" w:hAnsi="Arial" w:cs="Arial"/>
          <w:b/>
          <w:bCs/>
          <w:sz w:val="24"/>
          <w:szCs w:val="24"/>
        </w:rPr>
        <w:t xml:space="preserve">società, </w:t>
      </w:r>
      <w:r w:rsidR="00211643" w:rsidRPr="00C82F0E">
        <w:rPr>
          <w:rFonts w:ascii="Arial" w:hAnsi="Arial" w:cs="Arial"/>
          <w:bCs/>
          <w:sz w:val="24"/>
          <w:szCs w:val="24"/>
        </w:rPr>
        <w:t xml:space="preserve">nella parte in cui </w:t>
      </w:r>
      <w:r w:rsidR="00F95BE6" w:rsidRPr="00C82F0E">
        <w:rPr>
          <w:rFonts w:ascii="Arial" w:hAnsi="Arial" w:cs="Arial"/>
          <w:sz w:val="24"/>
          <w:szCs w:val="24"/>
        </w:rPr>
        <w:t>afferma che i beni realizzati con finanziamenti altrui sono "</w:t>
      </w:r>
      <w:r w:rsidR="00F95BE6" w:rsidRPr="00C82F0E">
        <w:rPr>
          <w:rFonts w:ascii="Arial" w:hAnsi="Arial" w:cs="Arial"/>
          <w:i/>
          <w:iCs/>
          <w:sz w:val="24"/>
          <w:szCs w:val="24"/>
        </w:rPr>
        <w:t>non di proprietà dell'Ente</w:t>
      </w:r>
      <w:r w:rsidR="00F95BE6" w:rsidRPr="00C82F0E">
        <w:rPr>
          <w:rFonts w:ascii="Arial" w:hAnsi="Arial" w:cs="Arial"/>
          <w:sz w:val="24"/>
          <w:szCs w:val="24"/>
        </w:rPr>
        <w:t xml:space="preserve">" </w:t>
      </w:r>
      <w:r>
        <w:rPr>
          <w:rFonts w:ascii="Arial" w:hAnsi="Arial" w:cs="Arial"/>
          <w:sz w:val="24"/>
          <w:szCs w:val="24"/>
        </w:rPr>
        <w:t xml:space="preserve">che ha realizzato detti beni </w:t>
      </w:r>
      <w:r w:rsidR="00F95BE6" w:rsidRPr="00C82F0E">
        <w:rPr>
          <w:rFonts w:ascii="Arial" w:hAnsi="Arial" w:cs="Arial"/>
          <w:sz w:val="24"/>
          <w:szCs w:val="24"/>
        </w:rPr>
        <w:t>e</w:t>
      </w:r>
      <w:r>
        <w:rPr>
          <w:rFonts w:ascii="Arial" w:hAnsi="Arial" w:cs="Arial"/>
          <w:sz w:val="24"/>
          <w:szCs w:val="24"/>
        </w:rPr>
        <w:t>d</w:t>
      </w:r>
      <w:r w:rsidR="00F95BE6" w:rsidRPr="00C82F0E">
        <w:rPr>
          <w:rFonts w:ascii="Arial" w:hAnsi="Arial" w:cs="Arial"/>
          <w:sz w:val="24"/>
          <w:szCs w:val="24"/>
        </w:rPr>
        <w:t xml:space="preserve"> "</w:t>
      </w:r>
      <w:r w:rsidR="00F95BE6" w:rsidRPr="00C82F0E">
        <w:rPr>
          <w:rFonts w:ascii="Arial" w:hAnsi="Arial" w:cs="Arial"/>
          <w:i/>
          <w:iCs/>
          <w:sz w:val="24"/>
          <w:szCs w:val="24"/>
        </w:rPr>
        <w:t>estranei al suo patrimonio</w:t>
      </w:r>
      <w:r w:rsidR="00F95BE6" w:rsidRPr="00C82F0E">
        <w:rPr>
          <w:rFonts w:ascii="Arial" w:hAnsi="Arial" w:cs="Arial"/>
          <w:sz w:val="24"/>
          <w:szCs w:val="24"/>
        </w:rPr>
        <w:t>"</w:t>
      </w:r>
      <w:r>
        <w:rPr>
          <w:rFonts w:ascii="Arial" w:hAnsi="Arial" w:cs="Arial"/>
          <w:sz w:val="24"/>
          <w:szCs w:val="24"/>
        </w:rPr>
        <w:t xml:space="preserve">. </w:t>
      </w:r>
      <w:r w:rsidR="00F95BE6" w:rsidRPr="00C82F0E">
        <w:rPr>
          <w:rFonts w:ascii="Arial" w:hAnsi="Arial" w:cs="Arial"/>
          <w:sz w:val="24"/>
          <w:szCs w:val="24"/>
        </w:rPr>
        <w:t>,</w:t>
      </w:r>
      <w:r>
        <w:rPr>
          <w:rFonts w:ascii="Arial" w:hAnsi="Arial" w:cs="Arial"/>
          <w:sz w:val="24"/>
          <w:szCs w:val="24"/>
        </w:rPr>
        <w:t xml:space="preserve">Quindi, la Corte dei Conti </w:t>
      </w:r>
      <w:r w:rsidR="00F95BE6" w:rsidRPr="00C82F0E">
        <w:rPr>
          <w:rFonts w:ascii="Arial" w:hAnsi="Arial" w:cs="Arial"/>
          <w:sz w:val="24"/>
          <w:szCs w:val="24"/>
        </w:rPr>
        <w:t>conferma precisamente ciò che il Comune sostiene in questa sede</w:t>
      </w:r>
      <w:r>
        <w:rPr>
          <w:rFonts w:ascii="Arial" w:hAnsi="Arial" w:cs="Arial"/>
          <w:sz w:val="24"/>
          <w:szCs w:val="24"/>
        </w:rPr>
        <w:t xml:space="preserve"> e cioè che</w:t>
      </w:r>
      <w:r w:rsidR="00F95BE6" w:rsidRPr="00C82F0E">
        <w:rPr>
          <w:rFonts w:ascii="Arial" w:hAnsi="Arial" w:cs="Arial"/>
          <w:sz w:val="24"/>
          <w:szCs w:val="24"/>
        </w:rPr>
        <w:t xml:space="preserve">: </w:t>
      </w:r>
      <w:r w:rsidR="00F95BE6" w:rsidRPr="00C82F0E">
        <w:rPr>
          <w:rFonts w:ascii="Arial" w:hAnsi="Arial" w:cs="Arial"/>
          <w:b/>
          <w:bCs/>
          <w:sz w:val="24"/>
          <w:szCs w:val="24"/>
        </w:rPr>
        <w:t>le infrastrutture idriche sono già di proprietà pubblica e appartengono agli enti territoriali, non ad AQP.</w:t>
      </w:r>
      <w:r w:rsidR="00F95BE6" w:rsidRPr="00C82F0E">
        <w:rPr>
          <w:rFonts w:ascii="Arial" w:hAnsi="Arial" w:cs="Arial"/>
          <w:sz w:val="24"/>
          <w:szCs w:val="24"/>
        </w:rPr>
        <w:t xml:space="preserve"> </w:t>
      </w:r>
    </w:p>
    <w:p w14:paraId="241F66C9" w14:textId="0816FB15" w:rsidR="00211643" w:rsidRPr="00C82F0E" w:rsidRDefault="00F95BE6" w:rsidP="00795E24">
      <w:pPr>
        <w:snapToGrid w:val="0"/>
        <w:spacing w:line="360" w:lineRule="auto"/>
        <w:ind w:firstLine="708"/>
        <w:jc w:val="both"/>
        <w:rPr>
          <w:rFonts w:ascii="Arial" w:hAnsi="Arial" w:cs="Arial"/>
          <w:sz w:val="24"/>
          <w:szCs w:val="24"/>
        </w:rPr>
      </w:pPr>
      <w:r w:rsidRPr="00C82F0E">
        <w:rPr>
          <w:rFonts w:ascii="Arial" w:hAnsi="Arial" w:cs="Arial"/>
          <w:sz w:val="24"/>
          <w:szCs w:val="24"/>
        </w:rPr>
        <w:t>Ne discende che, al termine della concessione, AQP non potrà mai "devolvere" alcunché al Comune, potendo soltanto restituire beni altrui. Ciò esclude in radice l'operatività dell'esenzione di cui all'art. 1, comma 833, lettera d), della L. 160/2019, la quale presuppone che il concessionario abbia realizzato impianti di propria pertinenza</w:t>
      </w:r>
      <w:r w:rsidR="00211643" w:rsidRPr="00C82F0E">
        <w:rPr>
          <w:rFonts w:ascii="Arial" w:hAnsi="Arial" w:cs="Arial"/>
          <w:sz w:val="24"/>
          <w:szCs w:val="24"/>
        </w:rPr>
        <w:t xml:space="preserve"> a proprie spese</w:t>
      </w:r>
      <w:r w:rsidRPr="00C82F0E">
        <w:rPr>
          <w:rFonts w:ascii="Arial" w:hAnsi="Arial" w:cs="Arial"/>
          <w:sz w:val="24"/>
          <w:szCs w:val="24"/>
        </w:rPr>
        <w:t>, destinati ad essere trasferiti gratuitamente all'ente pubblico al termine del rapporto.</w:t>
      </w:r>
    </w:p>
    <w:p w14:paraId="48C207A6" w14:textId="63B6F03A" w:rsidR="00F95BE6" w:rsidRPr="00C82F0E" w:rsidRDefault="00F95BE6" w:rsidP="00795E24">
      <w:pPr>
        <w:snapToGrid w:val="0"/>
        <w:spacing w:line="360" w:lineRule="auto"/>
        <w:ind w:firstLine="708"/>
        <w:jc w:val="both"/>
        <w:rPr>
          <w:rFonts w:ascii="Arial" w:hAnsi="Arial" w:cs="Arial"/>
          <w:sz w:val="24"/>
          <w:szCs w:val="24"/>
        </w:rPr>
      </w:pPr>
      <w:r w:rsidRPr="00C82F0E">
        <w:rPr>
          <w:rFonts w:ascii="Arial" w:hAnsi="Arial" w:cs="Arial"/>
          <w:sz w:val="24"/>
          <w:szCs w:val="24"/>
        </w:rPr>
        <w:t>Tale presupposto è radicalmente assente nel caso di specie.</w:t>
      </w:r>
    </w:p>
    <w:p w14:paraId="0C9F3574" w14:textId="25FACD6C" w:rsidR="00CA0B6B" w:rsidRPr="00C82F0E" w:rsidRDefault="00211643" w:rsidP="00795E24">
      <w:pPr>
        <w:snapToGrid w:val="0"/>
        <w:spacing w:line="360" w:lineRule="auto"/>
        <w:ind w:firstLine="708"/>
        <w:jc w:val="both"/>
        <w:rPr>
          <w:rFonts w:ascii="Arial" w:hAnsi="Arial" w:cs="Arial"/>
          <w:b/>
          <w:bCs/>
          <w:sz w:val="24"/>
          <w:szCs w:val="24"/>
        </w:rPr>
      </w:pPr>
      <w:r w:rsidRPr="00C82F0E">
        <w:rPr>
          <w:rFonts w:ascii="Arial" w:hAnsi="Arial" w:cs="Arial"/>
          <w:b/>
          <w:bCs/>
          <w:sz w:val="24"/>
          <w:szCs w:val="24"/>
        </w:rPr>
        <w:t xml:space="preserve">A ciò si aggiunga che, anche, </w:t>
      </w:r>
      <w:r w:rsidR="003B4793" w:rsidRPr="00C82F0E">
        <w:rPr>
          <w:rFonts w:ascii="Arial" w:hAnsi="Arial" w:cs="Arial"/>
          <w:b/>
          <w:bCs/>
          <w:sz w:val="24"/>
          <w:szCs w:val="24"/>
        </w:rPr>
        <w:t>l</w:t>
      </w:r>
      <w:r w:rsidR="00CA0B6B" w:rsidRPr="00C82F0E">
        <w:rPr>
          <w:rFonts w:ascii="Arial" w:hAnsi="Arial" w:cs="Arial"/>
          <w:b/>
          <w:bCs/>
          <w:sz w:val="24"/>
          <w:szCs w:val="24"/>
        </w:rPr>
        <w:t xml:space="preserve">a convenzione prodotta da AQP </w:t>
      </w:r>
      <w:r w:rsidRPr="00C82F0E">
        <w:rPr>
          <w:rFonts w:ascii="Arial" w:hAnsi="Arial" w:cs="Arial"/>
          <w:b/>
          <w:bCs/>
          <w:sz w:val="24"/>
          <w:szCs w:val="24"/>
        </w:rPr>
        <w:t>non milita a favore dell’attrice.</w:t>
      </w:r>
      <w:r w:rsidR="003B4793" w:rsidRPr="00C82F0E">
        <w:rPr>
          <w:rFonts w:ascii="Arial" w:hAnsi="Arial" w:cs="Arial"/>
          <w:b/>
          <w:bCs/>
          <w:sz w:val="24"/>
          <w:szCs w:val="24"/>
        </w:rPr>
        <w:t xml:space="preserve"> </w:t>
      </w:r>
    </w:p>
    <w:p w14:paraId="52D25797" w14:textId="1F88E220" w:rsidR="00CA0B6B" w:rsidRPr="00C82F0E" w:rsidRDefault="00211643" w:rsidP="00795E24">
      <w:pPr>
        <w:snapToGrid w:val="0"/>
        <w:spacing w:line="360" w:lineRule="auto"/>
        <w:ind w:firstLine="708"/>
        <w:jc w:val="both"/>
        <w:rPr>
          <w:rFonts w:ascii="Arial" w:hAnsi="Arial" w:cs="Arial"/>
          <w:sz w:val="24"/>
          <w:szCs w:val="24"/>
        </w:rPr>
      </w:pPr>
      <w:r w:rsidRPr="00C82F0E">
        <w:rPr>
          <w:rFonts w:ascii="Arial" w:hAnsi="Arial" w:cs="Arial"/>
          <w:sz w:val="24"/>
          <w:szCs w:val="24"/>
        </w:rPr>
        <w:t>Ed</w:t>
      </w:r>
      <w:r w:rsidR="003B4793" w:rsidRPr="00C82F0E">
        <w:rPr>
          <w:rFonts w:ascii="Arial" w:hAnsi="Arial" w:cs="Arial"/>
          <w:sz w:val="24"/>
          <w:szCs w:val="24"/>
        </w:rPr>
        <w:t xml:space="preserve"> infatti, la </w:t>
      </w:r>
      <w:r w:rsidR="00CA0B6B" w:rsidRPr="00C82F0E">
        <w:rPr>
          <w:rFonts w:ascii="Arial" w:hAnsi="Arial" w:cs="Arial"/>
          <w:sz w:val="24"/>
          <w:szCs w:val="24"/>
        </w:rPr>
        <w:t xml:space="preserve">convenzione di gestione allegata da AQP, lungi dal supportare la tesi della parte ricorrente, la smentisce su </w:t>
      </w:r>
      <w:r w:rsidR="00795E24">
        <w:rPr>
          <w:rFonts w:ascii="Arial" w:hAnsi="Arial" w:cs="Arial"/>
          <w:sz w:val="24"/>
          <w:szCs w:val="24"/>
        </w:rPr>
        <w:t xml:space="preserve">più </w:t>
      </w:r>
      <w:r w:rsidR="00CA0B6B" w:rsidRPr="00C82F0E">
        <w:rPr>
          <w:rFonts w:ascii="Arial" w:hAnsi="Arial" w:cs="Arial"/>
          <w:sz w:val="24"/>
          <w:szCs w:val="24"/>
        </w:rPr>
        <w:t>piani.</w:t>
      </w:r>
    </w:p>
    <w:p w14:paraId="6A771B63" w14:textId="77777777" w:rsidR="00CA0B6B" w:rsidRPr="00C82F0E" w:rsidRDefault="00CA0B6B" w:rsidP="00795E24">
      <w:pPr>
        <w:snapToGrid w:val="0"/>
        <w:spacing w:line="360" w:lineRule="auto"/>
        <w:ind w:firstLine="708"/>
        <w:jc w:val="both"/>
        <w:rPr>
          <w:rFonts w:ascii="Arial" w:hAnsi="Arial" w:cs="Arial"/>
          <w:b/>
          <w:bCs/>
          <w:sz w:val="24"/>
          <w:szCs w:val="24"/>
        </w:rPr>
      </w:pPr>
      <w:r w:rsidRPr="00C82F0E">
        <w:rPr>
          <w:rFonts w:ascii="Arial" w:hAnsi="Arial" w:cs="Arial"/>
          <w:sz w:val="24"/>
          <w:szCs w:val="24"/>
        </w:rPr>
        <w:lastRenderedPageBreak/>
        <w:t xml:space="preserve">In primo luogo, </w:t>
      </w:r>
      <w:r w:rsidRPr="00C82F0E">
        <w:rPr>
          <w:rFonts w:ascii="Arial" w:hAnsi="Arial" w:cs="Arial"/>
          <w:b/>
          <w:bCs/>
          <w:sz w:val="24"/>
          <w:szCs w:val="24"/>
        </w:rPr>
        <w:t>la convenzione conferma espressamente che le opere realizzate dal Gestore restano di proprietà demaniale degli enti territoriali. Se i beni sono già di proprietà pubblica fin dall'origine, al termine della concessione non vi potrà essere alcuna devoluzione ma esclusivamente una restituzione, termine che la stessa convenzione utilizza in modo inequivocabile.</w:t>
      </w:r>
    </w:p>
    <w:p w14:paraId="76629581" w14:textId="62640F6B" w:rsidR="00CA0B6B" w:rsidRPr="00C82F0E" w:rsidRDefault="00CA0B6B" w:rsidP="005861F9">
      <w:pPr>
        <w:snapToGrid w:val="0"/>
        <w:spacing w:line="360" w:lineRule="auto"/>
        <w:ind w:firstLine="708"/>
        <w:jc w:val="both"/>
        <w:rPr>
          <w:rFonts w:ascii="Arial" w:hAnsi="Arial" w:cs="Arial"/>
          <w:b/>
          <w:bCs/>
          <w:sz w:val="24"/>
          <w:szCs w:val="24"/>
        </w:rPr>
      </w:pPr>
      <w:r w:rsidRPr="00C82F0E">
        <w:rPr>
          <w:rFonts w:ascii="Arial" w:hAnsi="Arial" w:cs="Arial"/>
          <w:sz w:val="24"/>
          <w:szCs w:val="24"/>
        </w:rPr>
        <w:t xml:space="preserve">In secondo luogo, tale restituzione non avviene neppure in favore del Comune, bensì in favore dell'EGA, ovvero dell'Autorità Idrica Pugliese. Questo dato è decisivo: l'esenzione di cui alla lettera d) del comma 833 presuppone espressamente la devoluzione gratuita "al Comune" al termine della concessione. </w:t>
      </w:r>
      <w:r w:rsidRPr="00C82F0E">
        <w:rPr>
          <w:rFonts w:ascii="Arial" w:hAnsi="Arial" w:cs="Arial"/>
          <w:b/>
          <w:bCs/>
          <w:sz w:val="24"/>
          <w:szCs w:val="24"/>
        </w:rPr>
        <w:t>Nel caso di specie mancano entrambi i presupposti della norma agevolativa: non vi è devoluzione, ma restituzione e il destinatario finale non è il Comune, bensì un ente sovracomunale distinto. L'esenzione invocata da AQP non trova quindi applicazione né sul piano oggettivo né su quello soggettivo.</w:t>
      </w:r>
    </w:p>
    <w:p w14:paraId="7D7CD6C4" w14:textId="3F0E6F53" w:rsidR="00CA0B6B" w:rsidRPr="00C82F0E" w:rsidRDefault="00CA0B6B" w:rsidP="005861F9">
      <w:pPr>
        <w:snapToGrid w:val="0"/>
        <w:spacing w:line="360" w:lineRule="auto"/>
        <w:ind w:firstLine="708"/>
        <w:jc w:val="both"/>
        <w:rPr>
          <w:rFonts w:ascii="Arial" w:hAnsi="Arial" w:cs="Arial"/>
          <w:sz w:val="24"/>
          <w:szCs w:val="24"/>
        </w:rPr>
      </w:pPr>
      <w:r w:rsidRPr="00C82F0E">
        <w:rPr>
          <w:rFonts w:ascii="Arial" w:hAnsi="Arial" w:cs="Arial"/>
          <w:sz w:val="24"/>
          <w:szCs w:val="24"/>
        </w:rPr>
        <w:t xml:space="preserve">In terzo luogo, e conclusivamente, la stessa convenzione prevede che alla scadenza il Gestore uscente </w:t>
      </w:r>
      <w:r w:rsidRPr="00C82F0E">
        <w:rPr>
          <w:rFonts w:ascii="Arial" w:hAnsi="Arial" w:cs="Arial"/>
          <w:b/>
          <w:sz w:val="24"/>
          <w:szCs w:val="24"/>
          <w:u w:val="single"/>
        </w:rPr>
        <w:t>riceva un pagamento per il valore residuo delle immobilizzazioni da parte del nuovo gestore subentrante</w:t>
      </w:r>
      <w:r w:rsidRPr="00C82F0E">
        <w:rPr>
          <w:rFonts w:ascii="Arial" w:hAnsi="Arial" w:cs="Arial"/>
          <w:sz w:val="24"/>
          <w:szCs w:val="24"/>
        </w:rPr>
        <w:t xml:space="preserve">. AQP non cede gratuitamente alcunché: al contrario, percepisce un corrispettivo economico calcolato sulla base dei criteri stabiliti dalla regolazione ARERA. La </w:t>
      </w:r>
      <w:r w:rsidRPr="005861F9">
        <w:rPr>
          <w:rFonts w:ascii="Arial" w:hAnsi="Arial" w:cs="Arial"/>
          <w:i/>
          <w:iCs/>
          <w:sz w:val="24"/>
          <w:szCs w:val="24"/>
        </w:rPr>
        <w:t>ratio</w:t>
      </w:r>
      <w:r w:rsidRPr="00C82F0E">
        <w:rPr>
          <w:rFonts w:ascii="Arial" w:hAnsi="Arial" w:cs="Arial"/>
          <w:sz w:val="24"/>
          <w:szCs w:val="24"/>
        </w:rPr>
        <w:t xml:space="preserve"> dell'esenzione, che risiede nel sacrificio patrimoniale sopportato dal concessionario che rinuncia senza compenso ai propri impianti, è dunque radicalmente assente nel caso di specie.</w:t>
      </w:r>
    </w:p>
    <w:p w14:paraId="3EDD31F2" w14:textId="2D4C535C" w:rsidR="00E43CF7" w:rsidRPr="00C82F0E" w:rsidRDefault="00D10FAC" w:rsidP="005861F9">
      <w:pPr>
        <w:spacing w:line="360" w:lineRule="auto"/>
        <w:ind w:firstLine="708"/>
        <w:jc w:val="both"/>
        <w:rPr>
          <w:rFonts w:ascii="Arial" w:hAnsi="Arial" w:cs="Arial"/>
          <w:sz w:val="24"/>
          <w:szCs w:val="24"/>
        </w:rPr>
      </w:pPr>
      <w:r w:rsidRPr="00C82F0E">
        <w:rPr>
          <w:rFonts w:ascii="Arial" w:hAnsi="Arial" w:cs="Arial"/>
          <w:sz w:val="24"/>
          <w:szCs w:val="24"/>
        </w:rPr>
        <w:t>Del pari</w:t>
      </w:r>
      <w:r w:rsidR="005861F9">
        <w:rPr>
          <w:rFonts w:ascii="Arial" w:hAnsi="Arial" w:cs="Arial"/>
          <w:sz w:val="24"/>
          <w:szCs w:val="24"/>
        </w:rPr>
        <w:t>, come visto,</w:t>
      </w:r>
      <w:r w:rsidRPr="00C82F0E">
        <w:rPr>
          <w:rFonts w:ascii="Arial" w:hAnsi="Arial" w:cs="Arial"/>
          <w:sz w:val="24"/>
          <w:szCs w:val="24"/>
        </w:rPr>
        <w:t xml:space="preserve"> n</w:t>
      </w:r>
      <w:r w:rsidR="00211643" w:rsidRPr="00C82F0E">
        <w:rPr>
          <w:rFonts w:ascii="Arial" w:hAnsi="Arial" w:cs="Arial"/>
          <w:sz w:val="24"/>
          <w:szCs w:val="24"/>
        </w:rPr>
        <w:t xml:space="preserve">on merita seguito, </w:t>
      </w:r>
      <w:r w:rsidR="00E43CF7" w:rsidRPr="00C82F0E">
        <w:rPr>
          <w:rFonts w:ascii="Arial" w:hAnsi="Arial" w:cs="Arial"/>
          <w:sz w:val="24"/>
          <w:szCs w:val="24"/>
        </w:rPr>
        <w:t>altresì</w:t>
      </w:r>
      <w:r w:rsidRPr="00C82F0E">
        <w:rPr>
          <w:rFonts w:ascii="Arial" w:hAnsi="Arial" w:cs="Arial"/>
          <w:sz w:val="24"/>
          <w:szCs w:val="24"/>
        </w:rPr>
        <w:t>,</w:t>
      </w:r>
      <w:r w:rsidR="00E43CF7" w:rsidRPr="00C82F0E">
        <w:rPr>
          <w:rFonts w:ascii="Arial" w:hAnsi="Arial" w:cs="Arial"/>
          <w:sz w:val="24"/>
          <w:szCs w:val="24"/>
        </w:rPr>
        <w:t xml:space="preserve"> la tesi di controparte secondo cui troverebbe applicazione l’esenzione prevista dalla lettera a) del comma 833 della Legge n. 160/2019</w:t>
      </w:r>
      <w:r w:rsidRPr="00C82F0E">
        <w:rPr>
          <w:rFonts w:ascii="Arial" w:hAnsi="Arial" w:cs="Arial"/>
          <w:sz w:val="24"/>
          <w:szCs w:val="24"/>
        </w:rPr>
        <w:t xml:space="preserve">, che </w:t>
      </w:r>
      <w:r w:rsidR="00E43CF7" w:rsidRPr="00C82F0E">
        <w:rPr>
          <w:rFonts w:ascii="Arial" w:hAnsi="Arial" w:cs="Arial"/>
          <w:sz w:val="24"/>
          <w:szCs w:val="24"/>
        </w:rPr>
        <w:t>individua in modo tassativo i soggetti beneficiari dell’esenzione, tra i quali non rientrano le società a capitale pubblico.</w:t>
      </w:r>
    </w:p>
    <w:p w14:paraId="325C52A8" w14:textId="3D1C35AE" w:rsidR="00941339" w:rsidRPr="00FC1F35" w:rsidRDefault="005861F9" w:rsidP="00AA52E2">
      <w:pPr>
        <w:spacing w:line="360" w:lineRule="auto"/>
        <w:ind w:firstLine="708"/>
        <w:jc w:val="both"/>
        <w:rPr>
          <w:rFonts w:ascii="Arial" w:hAnsi="Arial" w:cs="Arial"/>
          <w:b/>
          <w:bCs/>
          <w:sz w:val="24"/>
          <w:szCs w:val="24"/>
          <w:u w:val="single"/>
        </w:rPr>
      </w:pPr>
      <w:r w:rsidRPr="00FC1F35">
        <w:rPr>
          <w:rFonts w:ascii="Arial" w:hAnsi="Arial" w:cs="Arial"/>
          <w:b/>
          <w:bCs/>
          <w:sz w:val="24"/>
          <w:szCs w:val="24"/>
          <w:u w:val="single"/>
        </w:rPr>
        <w:t>4</w:t>
      </w:r>
      <w:r w:rsidR="00D10FAC" w:rsidRPr="00FC1F35">
        <w:rPr>
          <w:rFonts w:ascii="Arial" w:hAnsi="Arial" w:cs="Arial"/>
          <w:b/>
          <w:bCs/>
          <w:sz w:val="24"/>
          <w:szCs w:val="24"/>
          <w:u w:val="single"/>
        </w:rPr>
        <w:t xml:space="preserve">) </w:t>
      </w:r>
      <w:r w:rsidR="005F2071" w:rsidRPr="00FC1F35">
        <w:rPr>
          <w:rFonts w:ascii="Arial" w:hAnsi="Arial" w:cs="Arial"/>
          <w:b/>
          <w:bCs/>
          <w:sz w:val="24"/>
          <w:szCs w:val="24"/>
          <w:u w:val="single"/>
        </w:rPr>
        <w:t>Legittimità del metodo induttivo utilizzato per il calcolo</w:t>
      </w:r>
    </w:p>
    <w:p w14:paraId="1ADBBD77" w14:textId="6503534C" w:rsidR="00941339" w:rsidRPr="00FC1F35" w:rsidRDefault="00941339" w:rsidP="00542FE5">
      <w:pPr>
        <w:spacing w:line="360" w:lineRule="auto"/>
        <w:ind w:firstLine="708"/>
        <w:jc w:val="both"/>
        <w:rPr>
          <w:rFonts w:ascii="Arial" w:hAnsi="Arial" w:cs="Arial"/>
          <w:sz w:val="24"/>
          <w:szCs w:val="24"/>
        </w:rPr>
      </w:pPr>
      <w:r w:rsidRPr="00FC1F35">
        <w:rPr>
          <w:rFonts w:ascii="Arial" w:hAnsi="Arial" w:cs="Arial"/>
          <w:sz w:val="24"/>
          <w:szCs w:val="24"/>
        </w:rPr>
        <w:t>Chiarita l'insussistenza di qualsivoglia esenzione in favore di AQP, occorre infine rilevare che la società, oltre a non avere alcun titolo per sottrarsi al pagamento del canone, ha</w:t>
      </w:r>
      <w:r w:rsidR="005E317E" w:rsidRPr="00FC1F35">
        <w:rPr>
          <w:rFonts w:ascii="Arial" w:hAnsi="Arial" w:cs="Arial"/>
          <w:sz w:val="24"/>
          <w:szCs w:val="24"/>
        </w:rPr>
        <w:t>,</w:t>
      </w:r>
      <w:r w:rsidRPr="00FC1F35">
        <w:rPr>
          <w:rFonts w:ascii="Arial" w:hAnsi="Arial" w:cs="Arial"/>
          <w:sz w:val="24"/>
          <w:szCs w:val="24"/>
        </w:rPr>
        <w:t xml:space="preserve"> altresì</w:t>
      </w:r>
      <w:r w:rsidR="005E317E" w:rsidRPr="00FC1F35">
        <w:rPr>
          <w:rFonts w:ascii="Arial" w:hAnsi="Arial" w:cs="Arial"/>
          <w:sz w:val="24"/>
          <w:szCs w:val="24"/>
        </w:rPr>
        <w:t>,</w:t>
      </w:r>
      <w:r w:rsidRPr="00FC1F35">
        <w:rPr>
          <w:rFonts w:ascii="Arial" w:hAnsi="Arial" w:cs="Arial"/>
          <w:sz w:val="24"/>
          <w:szCs w:val="24"/>
        </w:rPr>
        <w:t xml:space="preserve"> omesso di fornire i dati necessari alla sua corretta quantificazione, rendendo così inevitabile il ricorso al metodo induttivo di calcolo.</w:t>
      </w:r>
    </w:p>
    <w:p w14:paraId="1F7C24A4" w14:textId="77F5EF41" w:rsidR="005E317E" w:rsidRPr="00FC1F35" w:rsidRDefault="00446BD5" w:rsidP="005E317E">
      <w:pPr>
        <w:spacing w:line="360" w:lineRule="auto"/>
        <w:ind w:firstLine="708"/>
        <w:jc w:val="both"/>
        <w:rPr>
          <w:rFonts w:ascii="Arial" w:hAnsi="Arial" w:cs="Arial"/>
          <w:sz w:val="24"/>
          <w:szCs w:val="24"/>
        </w:rPr>
      </w:pPr>
      <w:r>
        <w:rPr>
          <w:rFonts w:ascii="Arial" w:hAnsi="Arial" w:cs="Arial"/>
          <w:sz w:val="24"/>
          <w:szCs w:val="24"/>
        </w:rPr>
        <w:t>Ed infatti, l</w:t>
      </w:r>
      <w:r w:rsidR="00941339" w:rsidRPr="00FC1F35">
        <w:rPr>
          <w:rFonts w:ascii="Arial" w:hAnsi="Arial" w:cs="Arial"/>
          <w:sz w:val="24"/>
          <w:szCs w:val="24"/>
        </w:rPr>
        <w:t xml:space="preserve">’art. 1, comma 831, stabilisce che il canone </w:t>
      </w:r>
      <w:r w:rsidR="005E317E" w:rsidRPr="00FC1F35">
        <w:rPr>
          <w:rFonts w:ascii="Arial" w:hAnsi="Arial" w:cs="Arial"/>
          <w:sz w:val="24"/>
          <w:szCs w:val="24"/>
        </w:rPr>
        <w:t xml:space="preserve">deve </w:t>
      </w:r>
      <w:r w:rsidR="00941339" w:rsidRPr="00FC1F35">
        <w:rPr>
          <w:rFonts w:ascii="Arial" w:hAnsi="Arial" w:cs="Arial"/>
          <w:sz w:val="24"/>
          <w:szCs w:val="24"/>
        </w:rPr>
        <w:t>essere determinato sulla base delle rispettive utenze</w:t>
      </w:r>
      <w:r w:rsidR="005E317E" w:rsidRPr="00FC1F35">
        <w:rPr>
          <w:rFonts w:ascii="Arial" w:hAnsi="Arial" w:cs="Arial"/>
          <w:sz w:val="24"/>
          <w:szCs w:val="24"/>
        </w:rPr>
        <w:t xml:space="preserve"> e la norma pone un preciso obbligo in capo alle aziende erogatrici di servizi a rete: comunicare al comune, entro il 30 aprile di ogni anno, il numero complessivo delle utenze attive al 31 dicembre dell’anno precedente, tramite autodichiarazione.</w:t>
      </w:r>
    </w:p>
    <w:p w14:paraId="00358000" w14:textId="750C350A" w:rsidR="005E317E" w:rsidRPr="00FC1F35" w:rsidRDefault="005E317E" w:rsidP="005E317E">
      <w:pPr>
        <w:spacing w:line="360" w:lineRule="auto"/>
        <w:ind w:firstLine="708"/>
        <w:jc w:val="both"/>
        <w:rPr>
          <w:rFonts w:ascii="Arial" w:hAnsi="Arial" w:cs="Arial"/>
          <w:sz w:val="24"/>
          <w:szCs w:val="24"/>
        </w:rPr>
      </w:pPr>
      <w:r w:rsidRPr="00FC1F35">
        <w:rPr>
          <w:rFonts w:ascii="Arial" w:hAnsi="Arial" w:cs="Arial"/>
          <w:sz w:val="24"/>
          <w:szCs w:val="24"/>
        </w:rPr>
        <w:lastRenderedPageBreak/>
        <w:t>La AQP ha sistematicamente violato tale obbligo, omettendo di presentare la prescritta dichiarazione per l’annualità 2021 e seguenti.</w:t>
      </w:r>
    </w:p>
    <w:p w14:paraId="0B40C768" w14:textId="77777777" w:rsidR="005E317E" w:rsidRPr="00FC1F35" w:rsidRDefault="005E317E" w:rsidP="00FC1F35">
      <w:pPr>
        <w:pStyle w:val="Default"/>
        <w:spacing w:line="360" w:lineRule="auto"/>
        <w:ind w:firstLine="708"/>
        <w:jc w:val="both"/>
        <w:rPr>
          <w:rFonts w:ascii="Arial" w:hAnsi="Arial" w:cs="Arial"/>
        </w:rPr>
      </w:pPr>
      <w:r w:rsidRPr="00FC1F35">
        <w:rPr>
          <w:rFonts w:ascii="Arial" w:hAnsi="Arial" w:cs="Arial"/>
        </w:rPr>
        <w:t>MA NON SOLO!</w:t>
      </w:r>
    </w:p>
    <w:p w14:paraId="53786133" w14:textId="30E87731" w:rsidR="00692E7C" w:rsidRPr="00FC1F35" w:rsidRDefault="00692E7C" w:rsidP="00692E7C">
      <w:pPr>
        <w:spacing w:line="360" w:lineRule="auto"/>
        <w:ind w:firstLine="708"/>
        <w:jc w:val="both"/>
        <w:rPr>
          <w:rFonts w:ascii="Arial" w:hAnsi="Arial" w:cs="Arial"/>
          <w:sz w:val="24"/>
          <w:szCs w:val="24"/>
        </w:rPr>
      </w:pPr>
      <w:r w:rsidRPr="00FC1F35">
        <w:rPr>
          <w:rFonts w:ascii="Arial" w:hAnsi="Arial" w:cs="Arial"/>
          <w:sz w:val="24"/>
          <w:szCs w:val="24"/>
        </w:rPr>
        <w:t>Ed infatti, come riportato dalla stessa ricorrente, nel luglio 2025, su incarico del Comune di Palagiano e giusta Determinazione n. 233 del 02/05/2025 del Settore Finanziario e Personale, la società Archivia Solution S.p.A. richiedeva ad Acquedotto Pugliese S.p.A. le informazioni preliminari necessarie per determinare correttamente il valore della CUP</w:t>
      </w:r>
      <w:r w:rsidR="00446BD5">
        <w:rPr>
          <w:rFonts w:ascii="Arial" w:hAnsi="Arial" w:cs="Arial"/>
          <w:sz w:val="24"/>
          <w:szCs w:val="24"/>
        </w:rPr>
        <w:t xml:space="preserve"> </w:t>
      </w:r>
      <w:r w:rsidRPr="00FC1F35">
        <w:rPr>
          <w:rFonts w:ascii="Arial" w:hAnsi="Arial" w:cs="Arial"/>
          <w:sz w:val="24"/>
          <w:szCs w:val="24"/>
        </w:rPr>
        <w:t xml:space="preserve">da esigere. </w:t>
      </w:r>
    </w:p>
    <w:p w14:paraId="6481F230" w14:textId="3B4DFA81" w:rsidR="00692E7C" w:rsidRDefault="00446BD5" w:rsidP="00692E7C">
      <w:pPr>
        <w:spacing w:line="360" w:lineRule="auto"/>
        <w:ind w:firstLine="708"/>
        <w:jc w:val="both"/>
        <w:rPr>
          <w:rFonts w:ascii="Arial" w:hAnsi="Arial" w:cs="Arial"/>
          <w:sz w:val="24"/>
          <w:szCs w:val="24"/>
        </w:rPr>
      </w:pPr>
      <w:r>
        <w:rPr>
          <w:rFonts w:ascii="Arial" w:hAnsi="Arial" w:cs="Arial"/>
          <w:sz w:val="24"/>
          <w:szCs w:val="24"/>
        </w:rPr>
        <w:t>Alla</w:t>
      </w:r>
      <w:r w:rsidR="00692E7C" w:rsidRPr="00FC1F35">
        <w:rPr>
          <w:rFonts w:ascii="Arial" w:hAnsi="Arial" w:cs="Arial"/>
          <w:sz w:val="24"/>
          <w:szCs w:val="24"/>
        </w:rPr>
        <w:t xml:space="preserve"> predetta richiesta, la ricorrente r</w:t>
      </w:r>
      <w:r>
        <w:rPr>
          <w:rFonts w:ascii="Arial" w:hAnsi="Arial" w:cs="Arial"/>
          <w:sz w:val="24"/>
          <w:szCs w:val="24"/>
        </w:rPr>
        <w:t xml:space="preserve">eplicava </w:t>
      </w:r>
      <w:r w:rsidR="00692E7C" w:rsidRPr="00FC1F35">
        <w:rPr>
          <w:rFonts w:ascii="Arial" w:hAnsi="Arial" w:cs="Arial"/>
          <w:sz w:val="24"/>
          <w:szCs w:val="24"/>
        </w:rPr>
        <w:t xml:space="preserve">limitandosi a formulare argomentazioni sulle presunte circostanze giuridiche che escluderebbero AQP dal perimetro impositivo della Legge 160/2019, senza tuttavia fornire alcun dettaglio sul numero effettivo delle utenze servite, ai fini della puntuale determinazione del tributo. </w:t>
      </w:r>
    </w:p>
    <w:p w14:paraId="7DD33369" w14:textId="30D42C8F" w:rsidR="00A40121" w:rsidRPr="00FC1F35" w:rsidRDefault="00A40121" w:rsidP="00692E7C">
      <w:pPr>
        <w:spacing w:line="360" w:lineRule="auto"/>
        <w:ind w:firstLine="708"/>
        <w:jc w:val="both"/>
        <w:rPr>
          <w:rFonts w:ascii="Arial" w:hAnsi="Arial" w:cs="Arial"/>
          <w:sz w:val="24"/>
          <w:szCs w:val="24"/>
        </w:rPr>
      </w:pPr>
      <w:r>
        <w:rPr>
          <w:rFonts w:ascii="Arial" w:hAnsi="Arial" w:cs="Arial"/>
          <w:sz w:val="24"/>
          <w:szCs w:val="24"/>
        </w:rPr>
        <w:t>Con ulteriore nota del 28.8.2025 l’Archivia Solution spa, dopo aver motivato le ragioni della soggettività passiva di Acquedotto Pugliese, rinnovala la richiesta di comunicazione del numero di utenze attive. Tale sollecito è rimasto privo di riscontro da parte della società attuale opponente.</w:t>
      </w:r>
    </w:p>
    <w:p w14:paraId="7DD128E5" w14:textId="6383760E" w:rsidR="005E317E" w:rsidRPr="00FC1F35" w:rsidRDefault="00692E7C" w:rsidP="00692E7C">
      <w:pPr>
        <w:spacing w:line="360" w:lineRule="auto"/>
        <w:ind w:firstLine="708"/>
        <w:jc w:val="both"/>
        <w:rPr>
          <w:rFonts w:ascii="Arial" w:hAnsi="Arial" w:cs="Arial"/>
          <w:sz w:val="24"/>
          <w:szCs w:val="24"/>
        </w:rPr>
      </w:pPr>
      <w:r w:rsidRPr="00FC1F35">
        <w:rPr>
          <w:rFonts w:ascii="Arial" w:hAnsi="Arial" w:cs="Arial"/>
          <w:sz w:val="24"/>
          <w:szCs w:val="24"/>
        </w:rPr>
        <w:t xml:space="preserve">La mancata collaborazione del soggetto passivo, ha determinato e legittimato </w:t>
      </w:r>
      <w:r w:rsidR="00FC1F35" w:rsidRPr="00FC1F35">
        <w:rPr>
          <w:rFonts w:ascii="Arial" w:hAnsi="Arial" w:cs="Arial"/>
          <w:sz w:val="24"/>
          <w:szCs w:val="24"/>
        </w:rPr>
        <w:t xml:space="preserve">la procedura di </w:t>
      </w:r>
      <w:r w:rsidR="005E317E" w:rsidRPr="00FC1F35">
        <w:rPr>
          <w:rFonts w:ascii="Arial" w:hAnsi="Arial" w:cs="Arial"/>
          <w:sz w:val="24"/>
          <w:szCs w:val="24"/>
        </w:rPr>
        <w:t xml:space="preserve">emissione di avviso di accertamento - ai sensi del comma 792, articolo 1 - L.160/2019 - con la determinazione del canone con metodo induttivo, basato su dati oggettivi quali la popolazione residente nel territorio comunale e sulle indicazioni di ARERA circa il numero di utenze attive in relazione alla popolazione residente nel territorio, unico strumento disponibile per portare la società </w:t>
      </w:r>
      <w:r w:rsidRPr="00FC1F35">
        <w:rPr>
          <w:rFonts w:ascii="Arial" w:hAnsi="Arial" w:cs="Arial"/>
          <w:sz w:val="24"/>
          <w:szCs w:val="24"/>
        </w:rPr>
        <w:t xml:space="preserve">AQP </w:t>
      </w:r>
      <w:r w:rsidR="005E317E" w:rsidRPr="00FC1F35">
        <w:rPr>
          <w:rFonts w:ascii="Arial" w:hAnsi="Arial" w:cs="Arial"/>
          <w:sz w:val="24"/>
          <w:szCs w:val="24"/>
        </w:rPr>
        <w:t>a fornire i dati omessi anche tramite il presente contenzioso, per garantire al Comune di ottenere il pagamento del canone ad esso dovuto per espressa previsione di Legge all’articolo 1, comma 831 della Legge 160/2019.</w:t>
      </w:r>
    </w:p>
    <w:p w14:paraId="5C1AE408" w14:textId="77777777" w:rsidR="005E317E" w:rsidRPr="00FC1F35" w:rsidRDefault="005E317E" w:rsidP="005E317E">
      <w:pPr>
        <w:pStyle w:val="Default"/>
        <w:spacing w:line="360" w:lineRule="auto"/>
        <w:ind w:firstLine="567"/>
        <w:jc w:val="both"/>
        <w:rPr>
          <w:rFonts w:ascii="Arial" w:hAnsi="Arial" w:cs="Arial"/>
        </w:rPr>
      </w:pPr>
      <w:r w:rsidRPr="00FC1F35">
        <w:rPr>
          <w:rFonts w:ascii="Arial" w:hAnsi="Arial" w:cs="Arial"/>
        </w:rPr>
        <w:t>Nella motivazione del provvedimento si è dato atto, anche, del criterio adottato.</w:t>
      </w:r>
    </w:p>
    <w:p w14:paraId="0EAAF714" w14:textId="6F68779F" w:rsidR="005E317E" w:rsidRPr="00FC1F35" w:rsidRDefault="005E317E" w:rsidP="005E317E">
      <w:pPr>
        <w:pStyle w:val="Default"/>
        <w:spacing w:line="360" w:lineRule="auto"/>
        <w:ind w:firstLine="567"/>
        <w:jc w:val="both"/>
        <w:rPr>
          <w:rFonts w:ascii="Arial" w:hAnsi="Arial" w:cs="Arial"/>
        </w:rPr>
      </w:pPr>
      <w:r w:rsidRPr="00FC1F35">
        <w:rPr>
          <w:rFonts w:ascii="Arial" w:hAnsi="Arial" w:cs="Arial"/>
        </w:rPr>
        <w:t xml:space="preserve">Spetta ora all’attrice, che ha causato con la sua inadempienza la necessità di ricorrere a tale metodo, </w:t>
      </w:r>
      <w:r w:rsidR="00446BD5">
        <w:rPr>
          <w:rFonts w:ascii="Arial" w:hAnsi="Arial" w:cs="Arial"/>
        </w:rPr>
        <w:t xml:space="preserve">determinando un’inversione dell’onere probatorio, </w:t>
      </w:r>
      <w:r w:rsidRPr="00FC1F35">
        <w:rPr>
          <w:rFonts w:ascii="Arial" w:hAnsi="Arial" w:cs="Arial"/>
        </w:rPr>
        <w:t xml:space="preserve">fornire la prova contraria, dimostrando documentalmente il numero esatto delle utenze servite nel Comune di </w:t>
      </w:r>
      <w:r w:rsidR="00692E7C" w:rsidRPr="00FC1F35">
        <w:rPr>
          <w:rFonts w:ascii="Arial" w:hAnsi="Arial" w:cs="Arial"/>
        </w:rPr>
        <w:t>Palagiano</w:t>
      </w:r>
      <w:r w:rsidRPr="00FC1F35">
        <w:rPr>
          <w:rFonts w:ascii="Arial" w:hAnsi="Arial" w:cs="Arial"/>
        </w:rPr>
        <w:t xml:space="preserve">. </w:t>
      </w:r>
    </w:p>
    <w:p w14:paraId="374CC37F" w14:textId="77777777" w:rsidR="00D10FAC" w:rsidRPr="00D10FAC" w:rsidRDefault="00D10FAC" w:rsidP="00AA52E2">
      <w:pPr>
        <w:widowControl w:val="0"/>
        <w:spacing w:line="360" w:lineRule="auto"/>
        <w:ind w:firstLine="708"/>
        <w:jc w:val="both"/>
        <w:rPr>
          <w:rFonts w:ascii="Arial" w:eastAsiaTheme="minorHAnsi" w:hAnsi="Arial" w:cs="Arial"/>
          <w:b/>
          <w:kern w:val="2"/>
          <w:sz w:val="24"/>
          <w:szCs w:val="24"/>
          <w:lang w:eastAsia="en-US"/>
          <w14:ligatures w14:val="standardContextual"/>
        </w:rPr>
      </w:pPr>
      <w:r w:rsidRPr="00D10FAC">
        <w:rPr>
          <w:rFonts w:ascii="Arial" w:eastAsiaTheme="minorHAnsi" w:hAnsi="Arial" w:cs="Arial"/>
          <w:b/>
          <w:kern w:val="2"/>
          <w:sz w:val="24"/>
          <w:szCs w:val="24"/>
          <w:lang w:eastAsia="en-US"/>
          <w14:ligatures w14:val="standardContextual"/>
        </w:rPr>
        <w:t>SULLA RICHIESTA DI SOSPENSIONE DELL’EFFICACIA ESECUTIVA.</w:t>
      </w:r>
    </w:p>
    <w:p w14:paraId="16F4B947" w14:textId="77777777" w:rsidR="00D10FAC" w:rsidRPr="00D10FAC" w:rsidRDefault="00D10FAC" w:rsidP="00AA52E2">
      <w:pPr>
        <w:widowControl w:val="0"/>
        <w:spacing w:line="360" w:lineRule="auto"/>
        <w:ind w:firstLine="708"/>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 xml:space="preserve">Alla luce di tutto quanto sopra esposto, risulta evidente l’insussistenza dei presupposti per la concessione della sospensione dell’efficacia esecutiva dell’atto impugnato. </w:t>
      </w:r>
    </w:p>
    <w:p w14:paraId="45749FFA" w14:textId="77777777" w:rsidR="00D10FAC" w:rsidRPr="00D10FAC" w:rsidRDefault="00D10FAC" w:rsidP="00AA52E2">
      <w:pPr>
        <w:widowControl w:val="0"/>
        <w:spacing w:line="360" w:lineRule="auto"/>
        <w:ind w:firstLine="708"/>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lastRenderedPageBreak/>
        <w:t xml:space="preserve">Manca il </w:t>
      </w:r>
      <w:r w:rsidRPr="00446BD5">
        <w:rPr>
          <w:rFonts w:ascii="Arial" w:eastAsiaTheme="minorHAnsi" w:hAnsi="Arial" w:cs="Arial"/>
          <w:bCs/>
          <w:i/>
          <w:iCs/>
          <w:kern w:val="2"/>
          <w:sz w:val="24"/>
          <w:szCs w:val="24"/>
          <w:lang w:eastAsia="en-US"/>
          <w14:ligatures w14:val="standardContextual"/>
        </w:rPr>
        <w:t>fumus boni iuris</w:t>
      </w:r>
      <w:r w:rsidRPr="00D10FAC">
        <w:rPr>
          <w:rFonts w:ascii="Arial" w:eastAsiaTheme="minorHAnsi" w:hAnsi="Arial" w:cs="Arial"/>
          <w:bCs/>
          <w:kern w:val="2"/>
          <w:sz w:val="24"/>
          <w:szCs w:val="24"/>
          <w:lang w:eastAsia="en-US"/>
          <w14:ligatures w14:val="standardContextual"/>
        </w:rPr>
        <w:t>, stante la palese infondatezza in diritto di tutti i motivi di opposizione.</w:t>
      </w:r>
    </w:p>
    <w:p w14:paraId="01962AAC" w14:textId="77777777" w:rsidR="00446BD5" w:rsidRDefault="00D10FAC" w:rsidP="00AA52E2">
      <w:pPr>
        <w:widowControl w:val="0"/>
        <w:spacing w:line="360" w:lineRule="auto"/>
        <w:ind w:firstLine="708"/>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 xml:space="preserve">Manca altresì il </w:t>
      </w:r>
      <w:r w:rsidRPr="00446BD5">
        <w:rPr>
          <w:rFonts w:ascii="Arial" w:eastAsiaTheme="minorHAnsi" w:hAnsi="Arial" w:cs="Arial"/>
          <w:bCs/>
          <w:i/>
          <w:iCs/>
          <w:kern w:val="2"/>
          <w:sz w:val="24"/>
          <w:szCs w:val="24"/>
          <w:lang w:eastAsia="en-US"/>
          <w14:ligatures w14:val="standardContextual"/>
        </w:rPr>
        <w:t>periculum in mora</w:t>
      </w:r>
      <w:r w:rsidRPr="00D10FAC">
        <w:rPr>
          <w:rFonts w:ascii="Arial" w:eastAsiaTheme="minorHAnsi" w:hAnsi="Arial" w:cs="Arial"/>
          <w:bCs/>
          <w:kern w:val="2"/>
          <w:sz w:val="24"/>
          <w:szCs w:val="24"/>
          <w:lang w:eastAsia="en-US"/>
          <w14:ligatures w14:val="standardContextual"/>
        </w:rPr>
        <w:t xml:space="preserve">, non potendosi ritenere che il pagamento della somma richiesta possa arrecare un pregiudizio grave e irreparabile a una società delle dimensioni e della capacità economica di </w:t>
      </w:r>
      <w:r w:rsidR="00446BD5">
        <w:rPr>
          <w:rFonts w:ascii="Arial" w:eastAsiaTheme="minorHAnsi" w:hAnsi="Arial" w:cs="Arial"/>
          <w:bCs/>
          <w:kern w:val="2"/>
          <w:sz w:val="24"/>
          <w:szCs w:val="24"/>
          <w:lang w:eastAsia="en-US"/>
          <w14:ligatures w14:val="standardContextual"/>
        </w:rPr>
        <w:t>AQP</w:t>
      </w:r>
      <w:r w:rsidRPr="00D10FAC">
        <w:rPr>
          <w:rFonts w:ascii="Arial" w:eastAsiaTheme="minorHAnsi" w:hAnsi="Arial" w:cs="Arial"/>
          <w:bCs/>
          <w:kern w:val="2"/>
          <w:sz w:val="24"/>
          <w:szCs w:val="24"/>
          <w:lang w:eastAsia="en-US"/>
          <w14:ligatures w14:val="standardContextual"/>
        </w:rPr>
        <w:t xml:space="preserve">. </w:t>
      </w:r>
    </w:p>
    <w:p w14:paraId="262A02BA" w14:textId="50B66D91" w:rsidR="00D10FAC" w:rsidRPr="00AA52E2" w:rsidRDefault="00D10FAC" w:rsidP="00AA52E2">
      <w:pPr>
        <w:widowControl w:val="0"/>
        <w:spacing w:line="360" w:lineRule="auto"/>
        <w:ind w:firstLine="708"/>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Pregiudizio che in ogni caso non è stato dimostrato da controparte</w:t>
      </w:r>
    </w:p>
    <w:p w14:paraId="1C408A44" w14:textId="25375F48" w:rsidR="00AA52E2" w:rsidRPr="00AA52E2" w:rsidRDefault="00AA52E2" w:rsidP="00923E67">
      <w:pPr>
        <w:pStyle w:val="Paragrafoelenco"/>
        <w:spacing w:line="360" w:lineRule="auto"/>
        <w:ind w:firstLine="708"/>
        <w:jc w:val="both"/>
        <w:rPr>
          <w:rFonts w:ascii="Arial" w:hAnsi="Arial" w:cs="Arial"/>
          <w:color w:val="000000"/>
          <w:sz w:val="24"/>
          <w:szCs w:val="24"/>
        </w:rPr>
      </w:pPr>
      <w:r w:rsidRPr="00AA52E2">
        <w:rPr>
          <w:rFonts w:ascii="Arial" w:hAnsi="Arial" w:cs="Arial"/>
          <w:b/>
          <w:bCs/>
          <w:color w:val="000000"/>
          <w:sz w:val="24"/>
          <w:szCs w:val="24"/>
        </w:rPr>
        <w:t>IN VIA ISTRUTTORIA e SULL’ONERE PROBATORIO.</w:t>
      </w:r>
    </w:p>
    <w:p w14:paraId="73051251" w14:textId="02C38C27" w:rsidR="00AA52E2" w:rsidRPr="00AA52E2" w:rsidRDefault="00AA52E2" w:rsidP="00AA52E2">
      <w:pPr>
        <w:spacing w:line="360" w:lineRule="auto"/>
        <w:jc w:val="both"/>
        <w:rPr>
          <w:rFonts w:ascii="Arial" w:hAnsi="Arial" w:cs="Arial"/>
          <w:sz w:val="24"/>
          <w:szCs w:val="24"/>
        </w:rPr>
      </w:pPr>
      <w:r w:rsidRPr="00AA52E2">
        <w:rPr>
          <w:rFonts w:ascii="Arial" w:hAnsi="Arial" w:cs="Arial"/>
          <w:sz w:val="24"/>
          <w:szCs w:val="24"/>
        </w:rPr>
        <w:tab/>
        <w:t>Come detto, le omissioni dell’attrice hanno determinato un’inversione dell’onere probatorio, per cui dovrà la società dimostrare l’esatto numero di utenze ad essa riferibili per il 2021</w:t>
      </w:r>
      <w:r w:rsidR="00923E67">
        <w:rPr>
          <w:rFonts w:ascii="Arial" w:hAnsi="Arial" w:cs="Arial"/>
          <w:sz w:val="24"/>
          <w:szCs w:val="24"/>
        </w:rPr>
        <w:t xml:space="preserve"> e ss</w:t>
      </w:r>
      <w:r w:rsidRPr="00AA52E2">
        <w:rPr>
          <w:rFonts w:ascii="Arial" w:hAnsi="Arial" w:cs="Arial"/>
          <w:sz w:val="24"/>
          <w:szCs w:val="24"/>
        </w:rPr>
        <w:t xml:space="preserve">, con espressa richiesta all’adito giudice di disporre l’acquisizione della documentazione necessaria alla determinazione degli utenti riferibili a </w:t>
      </w:r>
      <w:r w:rsidR="00923E67">
        <w:rPr>
          <w:rFonts w:ascii="Arial" w:hAnsi="Arial" w:cs="Arial"/>
          <w:sz w:val="24"/>
          <w:szCs w:val="24"/>
        </w:rPr>
        <w:t>AQP</w:t>
      </w:r>
      <w:r w:rsidRPr="00AA52E2">
        <w:rPr>
          <w:rFonts w:ascii="Arial" w:hAnsi="Arial" w:cs="Arial"/>
          <w:sz w:val="24"/>
          <w:szCs w:val="24"/>
        </w:rPr>
        <w:t xml:space="preserve"> spa e del conseguente Canone Unico dalla stessa dovuta.</w:t>
      </w:r>
    </w:p>
    <w:p w14:paraId="249C8F6F" w14:textId="77777777" w:rsidR="00AA52E2" w:rsidRPr="00AA52E2" w:rsidRDefault="00AA52E2" w:rsidP="00AA52E2">
      <w:pPr>
        <w:spacing w:line="360" w:lineRule="auto"/>
        <w:ind w:firstLine="360"/>
        <w:jc w:val="both"/>
        <w:rPr>
          <w:rFonts w:ascii="Arial" w:hAnsi="Arial" w:cs="Arial"/>
          <w:sz w:val="24"/>
          <w:szCs w:val="24"/>
        </w:rPr>
      </w:pPr>
      <w:r w:rsidRPr="00AA52E2">
        <w:rPr>
          <w:rFonts w:ascii="Arial" w:hAnsi="Arial" w:cs="Arial"/>
          <w:sz w:val="24"/>
          <w:szCs w:val="24"/>
        </w:rPr>
        <w:t>In ogni caso, c</w:t>
      </w:r>
      <w:r w:rsidRPr="00AA52E2">
        <w:rPr>
          <w:rFonts w:ascii="Arial" w:hAnsi="Arial" w:cs="Arial"/>
          <w:iCs/>
          <w:sz w:val="24"/>
          <w:szCs w:val="24"/>
        </w:rPr>
        <w:t xml:space="preserve">on </w:t>
      </w:r>
      <w:r w:rsidRPr="00AA52E2">
        <w:rPr>
          <w:rFonts w:ascii="Arial" w:hAnsi="Arial" w:cs="Arial"/>
          <w:sz w:val="24"/>
          <w:szCs w:val="24"/>
        </w:rPr>
        <w:t>ogni riserva di integrazione – anche istruttoria – che si dovesse rendere necessaria anche all’esito delle repliche dell’attrice.</w:t>
      </w:r>
    </w:p>
    <w:p w14:paraId="3D79A930" w14:textId="77777777" w:rsidR="005F2071" w:rsidRPr="00AA52E2" w:rsidRDefault="005F2071" w:rsidP="00AA52E2">
      <w:pPr>
        <w:spacing w:line="360" w:lineRule="auto"/>
        <w:jc w:val="both"/>
        <w:rPr>
          <w:rFonts w:ascii="Arial" w:hAnsi="Arial" w:cs="Arial"/>
          <w:b/>
          <w:bCs/>
          <w:vanish/>
          <w:sz w:val="24"/>
          <w:szCs w:val="24"/>
        </w:rPr>
      </w:pPr>
    </w:p>
    <w:p w14:paraId="4FECDA6E" w14:textId="77777777" w:rsidR="00773E34" w:rsidRPr="00AA52E2" w:rsidRDefault="00C00AA4" w:rsidP="00923E67">
      <w:pPr>
        <w:spacing w:line="360" w:lineRule="auto"/>
        <w:ind w:firstLine="360"/>
        <w:jc w:val="both"/>
        <w:rPr>
          <w:rFonts w:ascii="Arial" w:hAnsi="Arial" w:cs="Arial"/>
          <w:sz w:val="24"/>
          <w:szCs w:val="24"/>
        </w:rPr>
      </w:pPr>
      <w:r w:rsidRPr="00AA52E2">
        <w:rPr>
          <w:rFonts w:ascii="Arial" w:eastAsia="Calibri" w:hAnsi="Arial" w:cs="Arial"/>
          <w:b/>
          <w:bCs/>
          <w:sz w:val="24"/>
          <w:szCs w:val="24"/>
        </w:rPr>
        <w:t>CONCLUSIONI</w:t>
      </w:r>
    </w:p>
    <w:p w14:paraId="1FBCA8DF" w14:textId="77777777" w:rsidR="00D10FAC" w:rsidRPr="00D10FAC" w:rsidRDefault="00D10FAC" w:rsidP="00923E67">
      <w:pPr>
        <w:widowControl w:val="0"/>
        <w:spacing w:line="360" w:lineRule="auto"/>
        <w:ind w:firstLine="360"/>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 xml:space="preserve">Per tutto quanto sopra esposto, il Comune di Palagiano come rappresentato, difeso ed elettivamente domiciliato, con espressa riserva di ogni integrazione, anche istruttoria che dovesse rendersi necessaria, </w:t>
      </w:r>
    </w:p>
    <w:p w14:paraId="23A73DCB" w14:textId="77777777" w:rsidR="00D10FAC" w:rsidRPr="00D10FAC" w:rsidRDefault="00D10FAC" w:rsidP="00923E67">
      <w:pPr>
        <w:widowControl w:val="0"/>
        <w:spacing w:line="360" w:lineRule="auto"/>
        <w:ind w:firstLine="360"/>
        <w:jc w:val="both"/>
        <w:rPr>
          <w:rFonts w:ascii="Arial" w:eastAsiaTheme="minorHAnsi" w:hAnsi="Arial" w:cs="Arial"/>
          <w:b/>
          <w:kern w:val="2"/>
          <w:sz w:val="24"/>
          <w:szCs w:val="24"/>
          <w:lang w:eastAsia="en-US"/>
          <w14:ligatures w14:val="standardContextual"/>
        </w:rPr>
      </w:pPr>
      <w:r w:rsidRPr="00D10FAC">
        <w:rPr>
          <w:rFonts w:ascii="Arial" w:eastAsiaTheme="minorHAnsi" w:hAnsi="Arial" w:cs="Arial"/>
          <w:b/>
          <w:kern w:val="2"/>
          <w:sz w:val="24"/>
          <w:szCs w:val="24"/>
          <w:lang w:eastAsia="en-US"/>
          <w14:ligatures w14:val="standardContextual"/>
        </w:rPr>
        <w:t>conclude</w:t>
      </w:r>
    </w:p>
    <w:p w14:paraId="61FA52DC" w14:textId="77777777" w:rsidR="00D10FAC" w:rsidRPr="00D10FAC" w:rsidRDefault="00D10FAC" w:rsidP="00AA52E2">
      <w:pPr>
        <w:widowControl w:val="0"/>
        <w:spacing w:line="360" w:lineRule="auto"/>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 xml:space="preserve">affinché il Tribunale Ill.mo Voglia, </w:t>
      </w:r>
      <w:r w:rsidRPr="00923E67">
        <w:rPr>
          <w:rFonts w:ascii="Arial" w:eastAsiaTheme="minorHAnsi" w:hAnsi="Arial" w:cs="Arial"/>
          <w:bCs/>
          <w:i/>
          <w:iCs/>
          <w:kern w:val="2"/>
          <w:sz w:val="24"/>
          <w:szCs w:val="24"/>
          <w:lang w:eastAsia="en-US"/>
          <w14:ligatures w14:val="standardContextual"/>
        </w:rPr>
        <w:t>contrariis reiectis</w:t>
      </w:r>
      <w:r w:rsidRPr="00D10FAC">
        <w:rPr>
          <w:rFonts w:ascii="Arial" w:eastAsiaTheme="minorHAnsi" w:hAnsi="Arial" w:cs="Arial"/>
          <w:bCs/>
          <w:kern w:val="2"/>
          <w:sz w:val="24"/>
          <w:szCs w:val="24"/>
          <w:lang w:eastAsia="en-US"/>
          <w14:ligatures w14:val="standardContextual"/>
        </w:rPr>
        <w:t xml:space="preserve">, </w:t>
      </w:r>
    </w:p>
    <w:p w14:paraId="5B49B203" w14:textId="48DF363D" w:rsidR="00D10FAC" w:rsidRPr="00D10FAC" w:rsidRDefault="00D10FAC" w:rsidP="00923E67">
      <w:pPr>
        <w:widowControl w:val="0"/>
        <w:numPr>
          <w:ilvl w:val="0"/>
          <w:numId w:val="7"/>
        </w:numPr>
        <w:spacing w:line="360" w:lineRule="auto"/>
        <w:ind w:left="0" w:firstLine="0"/>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 xml:space="preserve">accertare e dichiarare la legittimità e fondatezza dell'avviso di accertamento </w:t>
      </w:r>
      <w:r w:rsidR="00923E67">
        <w:rPr>
          <w:rFonts w:ascii="Arial" w:eastAsiaTheme="minorHAnsi" w:hAnsi="Arial" w:cs="Arial"/>
          <w:bCs/>
          <w:kern w:val="2"/>
          <w:sz w:val="24"/>
          <w:szCs w:val="24"/>
          <w:lang w:eastAsia="en-US"/>
          <w14:ligatures w14:val="standardContextual"/>
        </w:rPr>
        <w:t xml:space="preserve">n. 1 del 24.11.2025 </w:t>
      </w:r>
      <w:r w:rsidRPr="00D10FAC">
        <w:rPr>
          <w:rFonts w:ascii="Arial" w:eastAsiaTheme="minorHAnsi" w:hAnsi="Arial" w:cs="Arial"/>
          <w:bCs/>
          <w:kern w:val="2"/>
          <w:sz w:val="24"/>
          <w:szCs w:val="24"/>
          <w:lang w:eastAsia="en-US"/>
          <w14:ligatures w14:val="standardContextual"/>
        </w:rPr>
        <w:t xml:space="preserve">emesso e, per l'effetto, respingere l'opposizione proposta da </w:t>
      </w:r>
      <w:r w:rsidRPr="00AA52E2">
        <w:rPr>
          <w:rFonts w:ascii="Arial" w:eastAsiaTheme="minorHAnsi" w:hAnsi="Arial" w:cs="Arial"/>
          <w:bCs/>
          <w:kern w:val="2"/>
          <w:sz w:val="24"/>
          <w:szCs w:val="24"/>
          <w:lang w:eastAsia="en-US"/>
          <w14:ligatures w14:val="standardContextual"/>
        </w:rPr>
        <w:t xml:space="preserve">Acquedotto Pugliese spa </w:t>
      </w:r>
      <w:r w:rsidRPr="00D10FAC">
        <w:rPr>
          <w:rFonts w:ascii="Arial" w:eastAsiaTheme="minorHAnsi" w:hAnsi="Arial" w:cs="Arial"/>
          <w:bCs/>
          <w:kern w:val="2"/>
          <w:sz w:val="24"/>
          <w:szCs w:val="24"/>
          <w:lang w:eastAsia="en-US"/>
          <w14:ligatures w14:val="standardContextual"/>
        </w:rPr>
        <w:t>spa con ogni conseguenziale statuizione di legge e per l’effetto:</w:t>
      </w:r>
    </w:p>
    <w:p w14:paraId="353F131A" w14:textId="1858F342" w:rsidR="00D10FAC" w:rsidRPr="00D10FAC" w:rsidRDefault="00D10FAC" w:rsidP="00923E67">
      <w:pPr>
        <w:widowControl w:val="0"/>
        <w:numPr>
          <w:ilvl w:val="0"/>
          <w:numId w:val="7"/>
        </w:numPr>
        <w:spacing w:line="360" w:lineRule="auto"/>
        <w:ind w:left="0" w:firstLine="0"/>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 xml:space="preserve">rigettare la richiesta di sospensione dell'efficacia esecutiva dell'atto di accertamento esecutivo n. 1 del 24.11.2025 impugnato, </w:t>
      </w:r>
    </w:p>
    <w:p w14:paraId="4FCCA981" w14:textId="7E4AD653" w:rsidR="00D10FAC" w:rsidRPr="00AA52E2" w:rsidRDefault="00D10FAC" w:rsidP="00923E67">
      <w:pPr>
        <w:widowControl w:val="0"/>
        <w:numPr>
          <w:ilvl w:val="0"/>
          <w:numId w:val="7"/>
        </w:numPr>
        <w:spacing w:line="360" w:lineRule="auto"/>
        <w:ind w:left="0" w:firstLine="0"/>
        <w:jc w:val="both"/>
        <w:rPr>
          <w:rFonts w:ascii="Arial" w:eastAsiaTheme="minorHAnsi" w:hAnsi="Arial" w:cs="Arial"/>
          <w:bCs/>
          <w:kern w:val="2"/>
          <w:sz w:val="24"/>
          <w:szCs w:val="24"/>
          <w:lang w:eastAsia="en-US"/>
          <w14:ligatures w14:val="standardContextual"/>
        </w:rPr>
      </w:pPr>
      <w:r w:rsidRPr="00D10FAC">
        <w:rPr>
          <w:rFonts w:ascii="Arial" w:eastAsiaTheme="minorHAnsi" w:hAnsi="Arial" w:cs="Arial"/>
          <w:bCs/>
          <w:kern w:val="2"/>
          <w:sz w:val="24"/>
          <w:szCs w:val="24"/>
          <w:lang w:eastAsia="en-US"/>
          <w14:ligatures w14:val="standardContextual"/>
        </w:rPr>
        <w:t>rigettare la presente opposizione, confermando la legittimità della pretesa dell’Ente Locale, con vittoria di spese.</w:t>
      </w:r>
    </w:p>
    <w:p w14:paraId="180D2C42" w14:textId="7A8D09CC" w:rsidR="000E66CA" w:rsidRPr="00AA52E2" w:rsidRDefault="000E66CA" w:rsidP="00923E67">
      <w:pPr>
        <w:pStyle w:val="Paragrafoelenco"/>
        <w:numPr>
          <w:ilvl w:val="0"/>
          <w:numId w:val="7"/>
        </w:numPr>
        <w:overflowPunct w:val="0"/>
        <w:autoSpaceDE w:val="0"/>
        <w:spacing w:line="360" w:lineRule="auto"/>
        <w:ind w:left="0" w:firstLine="0"/>
        <w:jc w:val="both"/>
        <w:rPr>
          <w:rFonts w:ascii="Arial" w:hAnsi="Arial" w:cs="Arial"/>
          <w:kern w:val="2"/>
          <w:sz w:val="24"/>
          <w:szCs w:val="24"/>
        </w:rPr>
      </w:pPr>
      <w:r w:rsidRPr="00AA52E2">
        <w:rPr>
          <w:rFonts w:ascii="Arial" w:hAnsi="Arial" w:cs="Arial"/>
          <w:kern w:val="2"/>
          <w:sz w:val="24"/>
          <w:szCs w:val="24"/>
        </w:rPr>
        <w:t xml:space="preserve">In Via subordinata rideterminare il Canone Unico dovuto da Acquedotto Pugliese spa al Comune di Palagiano sulla base della documentazione prodotta in giudizio e all’esito dell’attività istruttoria. </w:t>
      </w:r>
    </w:p>
    <w:p w14:paraId="72B6A11A" w14:textId="4554E330" w:rsidR="004C33AA" w:rsidRPr="00D10FAC" w:rsidRDefault="004C33AA" w:rsidP="00923E67">
      <w:pPr>
        <w:widowControl w:val="0"/>
        <w:spacing w:line="360" w:lineRule="auto"/>
        <w:ind w:firstLine="360"/>
        <w:jc w:val="both"/>
        <w:rPr>
          <w:rFonts w:ascii="Arial" w:eastAsiaTheme="minorHAnsi" w:hAnsi="Arial" w:cs="Arial"/>
          <w:bCs/>
          <w:kern w:val="2"/>
          <w:sz w:val="24"/>
          <w:szCs w:val="24"/>
          <w:lang w:eastAsia="en-US"/>
          <w14:ligatures w14:val="standardContextual"/>
        </w:rPr>
      </w:pPr>
      <w:r w:rsidRPr="00AA52E2">
        <w:rPr>
          <w:rFonts w:ascii="Arial" w:eastAsiaTheme="minorHAnsi" w:hAnsi="Arial" w:cs="Arial"/>
          <w:bCs/>
          <w:kern w:val="2"/>
          <w:sz w:val="24"/>
          <w:szCs w:val="24"/>
          <w:lang w:eastAsia="en-US"/>
          <w14:ligatures w14:val="standardContextual"/>
        </w:rPr>
        <w:t xml:space="preserve">In via istruttoria si chiede che il giudice intimi all’Acquedotto Pugliese l’esibizione della documentazione idonea ad accertare il numero di utenze riconducibili ad essa. In alternativa che </w:t>
      </w:r>
      <w:r w:rsidR="00923E67">
        <w:rPr>
          <w:rFonts w:ascii="Arial" w:eastAsiaTheme="minorHAnsi" w:hAnsi="Arial" w:cs="Arial"/>
          <w:bCs/>
          <w:kern w:val="2"/>
          <w:sz w:val="24"/>
          <w:szCs w:val="24"/>
          <w:lang w:eastAsia="en-US"/>
          <w14:ligatures w14:val="standardContextual"/>
        </w:rPr>
        <w:t xml:space="preserve">voglia </w:t>
      </w:r>
      <w:r w:rsidRPr="00AA52E2">
        <w:rPr>
          <w:rFonts w:ascii="Arial" w:eastAsiaTheme="minorHAnsi" w:hAnsi="Arial" w:cs="Arial"/>
          <w:bCs/>
          <w:kern w:val="2"/>
          <w:sz w:val="24"/>
          <w:szCs w:val="24"/>
          <w:lang w:eastAsia="en-US"/>
          <w14:ligatures w14:val="standardContextual"/>
        </w:rPr>
        <w:t>disporre CTU per definire il numero di utenze riconducibili in ca</w:t>
      </w:r>
      <w:r w:rsidR="00923E67">
        <w:rPr>
          <w:rFonts w:ascii="Arial" w:eastAsiaTheme="minorHAnsi" w:hAnsi="Arial" w:cs="Arial"/>
          <w:bCs/>
          <w:kern w:val="2"/>
          <w:sz w:val="24"/>
          <w:szCs w:val="24"/>
          <w:lang w:eastAsia="en-US"/>
          <w14:ligatures w14:val="standardContextual"/>
        </w:rPr>
        <w:t>p</w:t>
      </w:r>
      <w:r w:rsidRPr="00AA52E2">
        <w:rPr>
          <w:rFonts w:ascii="Arial" w:eastAsiaTheme="minorHAnsi" w:hAnsi="Arial" w:cs="Arial"/>
          <w:bCs/>
          <w:kern w:val="2"/>
          <w:sz w:val="24"/>
          <w:szCs w:val="24"/>
          <w:lang w:eastAsia="en-US"/>
          <w14:ligatures w14:val="standardContextual"/>
        </w:rPr>
        <w:t xml:space="preserve">o </w:t>
      </w:r>
      <w:r w:rsidRPr="00AA52E2">
        <w:rPr>
          <w:rFonts w:ascii="Arial" w:eastAsiaTheme="minorHAnsi" w:hAnsi="Arial" w:cs="Arial"/>
          <w:bCs/>
          <w:kern w:val="2"/>
          <w:sz w:val="24"/>
          <w:szCs w:val="24"/>
          <w:lang w:eastAsia="en-US"/>
          <w14:ligatures w14:val="standardContextual"/>
        </w:rPr>
        <w:lastRenderedPageBreak/>
        <w:t>all’Attrice.</w:t>
      </w:r>
    </w:p>
    <w:p w14:paraId="69BD3A00" w14:textId="77777777" w:rsidR="0040185F" w:rsidRPr="00AA52E2" w:rsidRDefault="0040185F" w:rsidP="00AA52E2">
      <w:pPr>
        <w:spacing w:line="360" w:lineRule="auto"/>
        <w:ind w:firstLine="360"/>
        <w:jc w:val="both"/>
        <w:rPr>
          <w:rFonts w:ascii="Arial" w:eastAsia="Calibri" w:hAnsi="Arial" w:cs="Arial"/>
          <w:sz w:val="24"/>
          <w:szCs w:val="24"/>
        </w:rPr>
      </w:pPr>
      <w:r w:rsidRPr="00AA52E2">
        <w:rPr>
          <w:rFonts w:ascii="Arial" w:eastAsia="Calibri" w:hAnsi="Arial" w:cs="Arial"/>
          <w:sz w:val="24"/>
          <w:szCs w:val="24"/>
        </w:rPr>
        <w:t>Si depositano i seguenti documenti:</w:t>
      </w:r>
    </w:p>
    <w:p w14:paraId="6FE14E61" w14:textId="6FD075E7" w:rsidR="00AC1036" w:rsidRPr="00AA52E2" w:rsidRDefault="00AC1036" w:rsidP="00923E67">
      <w:pPr>
        <w:pStyle w:val="Paragrafoelenco"/>
        <w:numPr>
          <w:ilvl w:val="0"/>
          <w:numId w:val="5"/>
        </w:numPr>
        <w:spacing w:line="360" w:lineRule="auto"/>
        <w:ind w:left="0" w:firstLine="0"/>
        <w:rPr>
          <w:rFonts w:ascii="Arial" w:eastAsia="Calibri" w:hAnsi="Arial" w:cs="Arial"/>
          <w:sz w:val="24"/>
          <w:szCs w:val="24"/>
        </w:rPr>
      </w:pPr>
      <w:r w:rsidRPr="00AA52E2">
        <w:rPr>
          <w:rFonts w:ascii="Arial" w:eastAsia="Calibri" w:hAnsi="Arial" w:cs="Arial"/>
          <w:sz w:val="24"/>
          <w:szCs w:val="24"/>
        </w:rPr>
        <w:t xml:space="preserve">Avviso di accertamento esecutivo n. 1 del 24/11/2025 (prot. n. 34374) </w:t>
      </w:r>
    </w:p>
    <w:p w14:paraId="315BECDF" w14:textId="77777777" w:rsidR="00E81037" w:rsidRPr="00AA52E2" w:rsidRDefault="00E81037" w:rsidP="00923E67">
      <w:pPr>
        <w:pStyle w:val="Paragrafoelenco"/>
        <w:numPr>
          <w:ilvl w:val="0"/>
          <w:numId w:val="5"/>
        </w:numPr>
        <w:suppressAutoHyphens/>
        <w:overflowPunct w:val="0"/>
        <w:autoSpaceDE w:val="0"/>
        <w:spacing w:line="360" w:lineRule="auto"/>
        <w:ind w:left="0" w:firstLine="0"/>
        <w:jc w:val="both"/>
        <w:rPr>
          <w:rFonts w:ascii="Arial" w:hAnsi="Arial" w:cs="Arial"/>
          <w:kern w:val="2"/>
          <w:sz w:val="24"/>
          <w:szCs w:val="24"/>
        </w:rPr>
      </w:pPr>
      <w:r w:rsidRPr="00AA52E2">
        <w:rPr>
          <w:rFonts w:ascii="Arial" w:hAnsi="Arial" w:cs="Arial"/>
          <w:kern w:val="2"/>
          <w:sz w:val="24"/>
          <w:szCs w:val="24"/>
        </w:rPr>
        <w:t>Atto di citazione notificato</w:t>
      </w:r>
    </w:p>
    <w:p w14:paraId="10578737" w14:textId="5FB3D474" w:rsidR="00923E67" w:rsidRDefault="00BA3D84" w:rsidP="00923E67">
      <w:pPr>
        <w:pStyle w:val="Paragrafoelenco"/>
        <w:numPr>
          <w:ilvl w:val="0"/>
          <w:numId w:val="5"/>
        </w:numPr>
        <w:spacing w:line="360" w:lineRule="auto"/>
        <w:ind w:left="0" w:firstLine="0"/>
        <w:rPr>
          <w:rFonts w:ascii="Arial" w:eastAsia="Calibri" w:hAnsi="Arial" w:cs="Arial"/>
          <w:sz w:val="24"/>
          <w:szCs w:val="24"/>
        </w:rPr>
      </w:pPr>
      <w:r>
        <w:rPr>
          <w:rFonts w:ascii="Arial" w:eastAsia="Calibri" w:hAnsi="Arial" w:cs="Arial"/>
          <w:sz w:val="24"/>
          <w:szCs w:val="24"/>
        </w:rPr>
        <w:t xml:space="preserve">Invio di </w:t>
      </w:r>
      <w:r w:rsidR="00923E67">
        <w:rPr>
          <w:rFonts w:ascii="Arial" w:eastAsia="Calibri" w:hAnsi="Arial" w:cs="Arial"/>
          <w:sz w:val="24"/>
          <w:szCs w:val="24"/>
        </w:rPr>
        <w:t xml:space="preserve">Richiesta Dichiarazione </w:t>
      </w:r>
      <w:r>
        <w:rPr>
          <w:rFonts w:ascii="Arial" w:eastAsia="Calibri" w:hAnsi="Arial" w:cs="Arial"/>
          <w:sz w:val="24"/>
          <w:szCs w:val="24"/>
        </w:rPr>
        <w:t>ad Aquedotto Pugliese</w:t>
      </w:r>
    </w:p>
    <w:p w14:paraId="7C4BE8A9" w14:textId="0A67F1D1" w:rsidR="00923E67" w:rsidRDefault="00923E67" w:rsidP="00923E67">
      <w:pPr>
        <w:pStyle w:val="Paragrafoelenco"/>
        <w:numPr>
          <w:ilvl w:val="0"/>
          <w:numId w:val="5"/>
        </w:numPr>
        <w:spacing w:line="360" w:lineRule="auto"/>
        <w:ind w:left="0" w:firstLine="0"/>
        <w:rPr>
          <w:rFonts w:ascii="Arial" w:eastAsia="Calibri" w:hAnsi="Arial" w:cs="Arial"/>
          <w:sz w:val="24"/>
          <w:szCs w:val="24"/>
        </w:rPr>
      </w:pPr>
      <w:r>
        <w:rPr>
          <w:rFonts w:ascii="Arial" w:eastAsia="Calibri" w:hAnsi="Arial" w:cs="Arial"/>
          <w:sz w:val="24"/>
          <w:szCs w:val="24"/>
        </w:rPr>
        <w:t>Risc</w:t>
      </w:r>
      <w:r w:rsidR="00BA3D84">
        <w:rPr>
          <w:rFonts w:ascii="Arial" w:eastAsia="Calibri" w:hAnsi="Arial" w:cs="Arial"/>
          <w:sz w:val="24"/>
          <w:szCs w:val="24"/>
        </w:rPr>
        <w:t>o</w:t>
      </w:r>
      <w:r>
        <w:rPr>
          <w:rFonts w:ascii="Arial" w:eastAsia="Calibri" w:hAnsi="Arial" w:cs="Arial"/>
          <w:sz w:val="24"/>
          <w:szCs w:val="24"/>
        </w:rPr>
        <w:t>ntro di Acquedotto Pugliese</w:t>
      </w:r>
      <w:r w:rsidR="0095081C">
        <w:rPr>
          <w:rFonts w:ascii="Arial" w:eastAsia="Calibri" w:hAnsi="Arial" w:cs="Arial"/>
          <w:sz w:val="24"/>
          <w:szCs w:val="24"/>
        </w:rPr>
        <w:t xml:space="preserve"> del 17.7.2025</w:t>
      </w:r>
    </w:p>
    <w:p w14:paraId="4BC46E87" w14:textId="77777777" w:rsidR="0095081C" w:rsidRDefault="0095081C" w:rsidP="00923E67">
      <w:pPr>
        <w:pStyle w:val="Paragrafoelenco"/>
        <w:numPr>
          <w:ilvl w:val="0"/>
          <w:numId w:val="5"/>
        </w:numPr>
        <w:spacing w:line="360" w:lineRule="auto"/>
        <w:ind w:left="0" w:firstLine="0"/>
        <w:rPr>
          <w:rFonts w:ascii="Arial" w:eastAsia="Calibri" w:hAnsi="Arial" w:cs="Arial"/>
          <w:sz w:val="24"/>
          <w:szCs w:val="24"/>
        </w:rPr>
      </w:pPr>
      <w:r>
        <w:rPr>
          <w:rFonts w:ascii="Arial" w:eastAsia="Calibri" w:hAnsi="Arial" w:cs="Arial"/>
          <w:sz w:val="24"/>
          <w:szCs w:val="24"/>
        </w:rPr>
        <w:t>Riscontro di Acquedotto Pugliese del 4.8.2025</w:t>
      </w:r>
    </w:p>
    <w:p w14:paraId="3CCB4F49" w14:textId="76403ADC" w:rsidR="0095081C" w:rsidRDefault="0095081C" w:rsidP="00923E67">
      <w:pPr>
        <w:pStyle w:val="Paragrafoelenco"/>
        <w:numPr>
          <w:ilvl w:val="0"/>
          <w:numId w:val="5"/>
        </w:numPr>
        <w:spacing w:line="360" w:lineRule="auto"/>
        <w:ind w:left="0" w:firstLine="0"/>
        <w:rPr>
          <w:rFonts w:ascii="Arial" w:eastAsia="Calibri" w:hAnsi="Arial" w:cs="Arial"/>
          <w:sz w:val="24"/>
          <w:szCs w:val="24"/>
        </w:rPr>
      </w:pPr>
      <w:r>
        <w:rPr>
          <w:rFonts w:ascii="Arial" w:eastAsia="Calibri" w:hAnsi="Arial" w:cs="Arial"/>
          <w:sz w:val="24"/>
          <w:szCs w:val="24"/>
        </w:rPr>
        <w:t xml:space="preserve">Replica di Archivia a risocntro Acquedotto Pugliese  </w:t>
      </w:r>
    </w:p>
    <w:p w14:paraId="05C4FBE7" w14:textId="2E1C5D64" w:rsidR="00BA3D84" w:rsidRDefault="00BA3D84" w:rsidP="00923E67">
      <w:pPr>
        <w:pStyle w:val="Paragrafoelenco"/>
        <w:numPr>
          <w:ilvl w:val="0"/>
          <w:numId w:val="5"/>
        </w:numPr>
        <w:spacing w:line="360" w:lineRule="auto"/>
        <w:ind w:left="0" w:firstLine="0"/>
        <w:rPr>
          <w:rFonts w:ascii="Arial" w:eastAsia="Calibri" w:hAnsi="Arial" w:cs="Arial"/>
          <w:sz w:val="24"/>
          <w:szCs w:val="24"/>
        </w:rPr>
      </w:pPr>
      <w:r>
        <w:rPr>
          <w:rFonts w:ascii="Arial" w:eastAsia="Calibri" w:hAnsi="Arial" w:cs="Arial"/>
          <w:sz w:val="24"/>
          <w:szCs w:val="24"/>
        </w:rPr>
        <w:t>Determina 233 del 2.5.2025</w:t>
      </w:r>
    </w:p>
    <w:p w14:paraId="6E407869" w14:textId="77777777" w:rsidR="00923E67" w:rsidRDefault="00E81037" w:rsidP="00923E67">
      <w:pPr>
        <w:pStyle w:val="Paragrafoelenco"/>
        <w:numPr>
          <w:ilvl w:val="0"/>
          <w:numId w:val="5"/>
        </w:numPr>
        <w:spacing w:line="360" w:lineRule="auto"/>
        <w:ind w:left="0" w:firstLine="0"/>
        <w:rPr>
          <w:rFonts w:ascii="Arial" w:eastAsia="Calibri" w:hAnsi="Arial" w:cs="Arial"/>
          <w:sz w:val="24"/>
          <w:szCs w:val="24"/>
        </w:rPr>
      </w:pPr>
      <w:r w:rsidRPr="00AA52E2">
        <w:rPr>
          <w:rFonts w:ascii="Arial" w:eastAsia="Calibri" w:hAnsi="Arial" w:cs="Arial"/>
          <w:sz w:val="24"/>
          <w:szCs w:val="24"/>
        </w:rPr>
        <w:t xml:space="preserve">Regolamento comunale per l'applicazione del canone unico patrimoniale (Delibera di Consiglio Comunale n. 6 del 05/03/2021) </w:t>
      </w:r>
    </w:p>
    <w:p w14:paraId="72E37E1F" w14:textId="77777777" w:rsidR="00923E67" w:rsidRDefault="00AC1036" w:rsidP="00923E67">
      <w:pPr>
        <w:pStyle w:val="Paragrafoelenco"/>
        <w:numPr>
          <w:ilvl w:val="0"/>
          <w:numId w:val="5"/>
        </w:numPr>
        <w:spacing w:line="360" w:lineRule="auto"/>
        <w:ind w:left="0" w:firstLine="0"/>
        <w:rPr>
          <w:rFonts w:ascii="Arial" w:eastAsia="Calibri" w:hAnsi="Arial" w:cs="Arial"/>
          <w:sz w:val="24"/>
          <w:szCs w:val="24"/>
        </w:rPr>
      </w:pPr>
      <w:r w:rsidRPr="00923E67">
        <w:rPr>
          <w:rFonts w:ascii="Arial" w:eastAsia="Calibri" w:hAnsi="Arial" w:cs="Arial"/>
          <w:sz w:val="24"/>
          <w:szCs w:val="24"/>
        </w:rPr>
        <w:t xml:space="preserve">Sentenza Corte d'Appello di Venezia n. 3441/2025 </w:t>
      </w:r>
    </w:p>
    <w:p w14:paraId="4B11E682" w14:textId="6488E5C4" w:rsidR="00AC1036" w:rsidRPr="00923E67" w:rsidRDefault="00AC1036" w:rsidP="00923E67">
      <w:pPr>
        <w:pStyle w:val="Paragrafoelenco"/>
        <w:numPr>
          <w:ilvl w:val="0"/>
          <w:numId w:val="5"/>
        </w:numPr>
        <w:spacing w:line="360" w:lineRule="auto"/>
        <w:ind w:left="0" w:firstLine="0"/>
        <w:rPr>
          <w:rFonts w:ascii="Arial" w:eastAsia="Calibri" w:hAnsi="Arial" w:cs="Arial"/>
          <w:sz w:val="24"/>
          <w:szCs w:val="24"/>
        </w:rPr>
      </w:pPr>
      <w:r w:rsidRPr="00923E67">
        <w:rPr>
          <w:rFonts w:ascii="Arial" w:eastAsia="Calibri" w:hAnsi="Arial" w:cs="Arial"/>
          <w:sz w:val="24"/>
          <w:szCs w:val="24"/>
        </w:rPr>
        <w:t>Sentenza Tribunale di Rovigo del 22/11/2024</w:t>
      </w:r>
    </w:p>
    <w:p w14:paraId="06449DF6" w14:textId="77777777" w:rsidR="0040185F" w:rsidRPr="00AA52E2" w:rsidRDefault="0040185F" w:rsidP="00923E67">
      <w:pPr>
        <w:spacing w:line="360" w:lineRule="auto"/>
        <w:ind w:firstLine="708"/>
        <w:jc w:val="both"/>
        <w:rPr>
          <w:rFonts w:ascii="Arial" w:eastAsia="Calibri" w:hAnsi="Arial" w:cs="Arial"/>
          <w:sz w:val="24"/>
          <w:szCs w:val="24"/>
        </w:rPr>
      </w:pPr>
      <w:r w:rsidRPr="00AA52E2">
        <w:rPr>
          <w:rFonts w:ascii="Arial" w:eastAsia="Calibri" w:hAnsi="Arial" w:cs="Arial"/>
          <w:sz w:val="24"/>
          <w:szCs w:val="24"/>
        </w:rPr>
        <w:t>Con riserva di ulteriori produzioni documentali e di replicare alle eventuali istanze istruttorie di controparte.</w:t>
      </w:r>
    </w:p>
    <w:p w14:paraId="116C98DF" w14:textId="77777777" w:rsidR="0040185F" w:rsidRPr="00AA52E2" w:rsidRDefault="0040185F" w:rsidP="00AA52E2">
      <w:pPr>
        <w:spacing w:line="360" w:lineRule="auto"/>
        <w:jc w:val="both"/>
        <w:rPr>
          <w:rFonts w:ascii="Arial" w:eastAsia="Calibri" w:hAnsi="Arial" w:cs="Arial"/>
          <w:sz w:val="24"/>
          <w:szCs w:val="24"/>
        </w:rPr>
      </w:pPr>
      <w:r w:rsidRPr="00AA52E2">
        <w:rPr>
          <w:rFonts w:ascii="Arial" w:eastAsia="Calibri" w:hAnsi="Arial" w:cs="Arial"/>
          <w:sz w:val="24"/>
          <w:szCs w:val="24"/>
        </w:rPr>
        <w:t>_________, ___/___/2026</w:t>
      </w:r>
    </w:p>
    <w:sectPr w:rsidR="0040185F" w:rsidRPr="00AA52E2" w:rsidSect="00AA52E2">
      <w:pgSz w:w="11906" w:h="16838"/>
      <w:pgMar w:top="1440" w:right="1133" w:bottom="1440" w:left="12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le Serif Text">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705"/>
    <w:multiLevelType w:val="hybridMultilevel"/>
    <w:tmpl w:val="568E0D94"/>
    <w:lvl w:ilvl="0" w:tplc="656437B2">
      <w:start w:val="1"/>
      <w:numFmt w:val="decimal"/>
      <w:lvlText w:val="%1)"/>
      <w:lvlJc w:val="left"/>
      <w:pPr>
        <w:ind w:left="1080" w:hanging="360"/>
      </w:pPr>
      <w:rPr>
        <w:rFonts w:asciiTheme="minorHAnsi" w:eastAsia="Calibri" w:hAnsiTheme="minorHAnsi" w:cstheme="minorHAnsi"/>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16597A23"/>
    <w:multiLevelType w:val="hybridMultilevel"/>
    <w:tmpl w:val="CD6A1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A6067BF"/>
    <w:multiLevelType w:val="multilevel"/>
    <w:tmpl w:val="AA86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C437D"/>
    <w:multiLevelType w:val="multilevel"/>
    <w:tmpl w:val="B18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22E59"/>
    <w:multiLevelType w:val="hybridMultilevel"/>
    <w:tmpl w:val="A97A6030"/>
    <w:lvl w:ilvl="0" w:tplc="82F4611A">
      <w:start w:val="1"/>
      <w:numFmt w:val="bullet"/>
      <w:lvlText w:val="●"/>
      <w:lvlJc w:val="left"/>
      <w:pPr>
        <w:ind w:left="720" w:hanging="360"/>
      </w:pPr>
    </w:lvl>
    <w:lvl w:ilvl="1" w:tplc="7EF63554">
      <w:start w:val="1"/>
      <w:numFmt w:val="bullet"/>
      <w:lvlText w:val="○"/>
      <w:lvlJc w:val="left"/>
      <w:pPr>
        <w:ind w:left="1440" w:hanging="360"/>
      </w:pPr>
    </w:lvl>
    <w:lvl w:ilvl="2" w:tplc="4D18F28A">
      <w:start w:val="1"/>
      <w:numFmt w:val="bullet"/>
      <w:lvlText w:val="■"/>
      <w:lvlJc w:val="left"/>
      <w:pPr>
        <w:ind w:left="2160" w:hanging="360"/>
      </w:pPr>
    </w:lvl>
    <w:lvl w:ilvl="3" w:tplc="4FE093B8">
      <w:start w:val="1"/>
      <w:numFmt w:val="bullet"/>
      <w:lvlText w:val="●"/>
      <w:lvlJc w:val="left"/>
      <w:pPr>
        <w:ind w:left="2880" w:hanging="360"/>
      </w:pPr>
    </w:lvl>
    <w:lvl w:ilvl="4" w:tplc="99BA20FE">
      <w:start w:val="1"/>
      <w:numFmt w:val="bullet"/>
      <w:lvlText w:val="○"/>
      <w:lvlJc w:val="left"/>
      <w:pPr>
        <w:ind w:left="3600" w:hanging="360"/>
      </w:pPr>
    </w:lvl>
    <w:lvl w:ilvl="5" w:tplc="1460E6DE">
      <w:start w:val="1"/>
      <w:numFmt w:val="bullet"/>
      <w:lvlText w:val="■"/>
      <w:lvlJc w:val="left"/>
      <w:pPr>
        <w:ind w:left="4320" w:hanging="360"/>
      </w:pPr>
    </w:lvl>
    <w:lvl w:ilvl="6" w:tplc="5D82CE68">
      <w:start w:val="1"/>
      <w:numFmt w:val="bullet"/>
      <w:lvlText w:val="●"/>
      <w:lvlJc w:val="left"/>
      <w:pPr>
        <w:ind w:left="5040" w:hanging="360"/>
      </w:pPr>
    </w:lvl>
    <w:lvl w:ilvl="7" w:tplc="16C86BC8">
      <w:start w:val="1"/>
      <w:numFmt w:val="bullet"/>
      <w:lvlText w:val="●"/>
      <w:lvlJc w:val="left"/>
      <w:pPr>
        <w:ind w:left="5760" w:hanging="360"/>
      </w:pPr>
    </w:lvl>
    <w:lvl w:ilvl="8" w:tplc="4776D34C">
      <w:start w:val="1"/>
      <w:numFmt w:val="bullet"/>
      <w:lvlText w:val="●"/>
      <w:lvlJc w:val="left"/>
      <w:pPr>
        <w:ind w:left="6480" w:hanging="360"/>
      </w:pPr>
    </w:lvl>
  </w:abstractNum>
  <w:abstractNum w:abstractNumId="5" w15:restartNumberingAfterBreak="0">
    <w:nsid w:val="4D336055"/>
    <w:multiLevelType w:val="hybridMultilevel"/>
    <w:tmpl w:val="E5A221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1F31853"/>
    <w:multiLevelType w:val="hybridMultilevel"/>
    <w:tmpl w:val="9EA6E41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3D26125"/>
    <w:multiLevelType w:val="hybridMultilevel"/>
    <w:tmpl w:val="794E38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8F27BB3"/>
    <w:multiLevelType w:val="hybridMultilevel"/>
    <w:tmpl w:val="B9465B16"/>
    <w:lvl w:ilvl="0" w:tplc="DD2A2138">
      <w:start w:val="1"/>
      <w:numFmt w:val="decimal"/>
      <w:lvlText w:val="%1."/>
      <w:lvlJc w:val="left"/>
      <w:pPr>
        <w:ind w:left="720" w:hanging="360"/>
      </w:pPr>
    </w:lvl>
    <w:lvl w:ilvl="1" w:tplc="D25210AE">
      <w:numFmt w:val="decimal"/>
      <w:lvlText w:val=""/>
      <w:lvlJc w:val="left"/>
    </w:lvl>
    <w:lvl w:ilvl="2" w:tplc="4CB05F30">
      <w:numFmt w:val="decimal"/>
      <w:lvlText w:val=""/>
      <w:lvlJc w:val="left"/>
    </w:lvl>
    <w:lvl w:ilvl="3" w:tplc="3392C9B6">
      <w:numFmt w:val="decimal"/>
      <w:lvlText w:val=""/>
      <w:lvlJc w:val="left"/>
    </w:lvl>
    <w:lvl w:ilvl="4" w:tplc="E34A2FD4">
      <w:numFmt w:val="decimal"/>
      <w:lvlText w:val=""/>
      <w:lvlJc w:val="left"/>
    </w:lvl>
    <w:lvl w:ilvl="5" w:tplc="49001CDE">
      <w:numFmt w:val="decimal"/>
      <w:lvlText w:val=""/>
      <w:lvlJc w:val="left"/>
    </w:lvl>
    <w:lvl w:ilvl="6" w:tplc="FA1E0DCA">
      <w:numFmt w:val="decimal"/>
      <w:lvlText w:val=""/>
      <w:lvlJc w:val="left"/>
    </w:lvl>
    <w:lvl w:ilvl="7" w:tplc="6CD8005A">
      <w:numFmt w:val="decimal"/>
      <w:lvlText w:val=""/>
      <w:lvlJc w:val="left"/>
    </w:lvl>
    <w:lvl w:ilvl="8" w:tplc="C2BA117C">
      <w:numFmt w:val="decimal"/>
      <w:lvlText w:val=""/>
      <w:lvlJc w:val="left"/>
    </w:lvl>
  </w:abstractNum>
  <w:abstractNum w:abstractNumId="9" w15:restartNumberingAfterBreak="0">
    <w:nsid w:val="630A3714"/>
    <w:multiLevelType w:val="hybridMultilevel"/>
    <w:tmpl w:val="55809800"/>
    <w:lvl w:ilvl="0" w:tplc="D5CEE9F8">
      <w:start w:val="1"/>
      <w:numFmt w:val="decimal"/>
      <w:lvlText w:val="%1."/>
      <w:lvlJc w:val="left"/>
      <w:pPr>
        <w:ind w:left="360" w:hanging="360"/>
      </w:pPr>
      <w:rPr>
        <w:rFonts w:hint="default"/>
        <w:b/>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35729240">
    <w:abstractNumId w:val="4"/>
    <w:lvlOverride w:ilvl="0">
      <w:startOverride w:val="1"/>
    </w:lvlOverride>
  </w:num>
  <w:num w:numId="2" w16cid:durableId="1718822109">
    <w:abstractNumId w:val="8"/>
    <w:lvlOverride w:ilvl="0">
      <w:startOverride w:val="1"/>
    </w:lvlOverride>
  </w:num>
  <w:num w:numId="3" w16cid:durableId="911425352">
    <w:abstractNumId w:val="5"/>
  </w:num>
  <w:num w:numId="4" w16cid:durableId="1859737262">
    <w:abstractNumId w:val="3"/>
  </w:num>
  <w:num w:numId="5" w16cid:durableId="1880051462">
    <w:abstractNumId w:val="0"/>
  </w:num>
  <w:num w:numId="6" w16cid:durableId="12347813">
    <w:abstractNumId w:val="2"/>
  </w:num>
  <w:num w:numId="7" w16cid:durableId="2139688215">
    <w:abstractNumId w:val="1"/>
  </w:num>
  <w:num w:numId="8" w16cid:durableId="229728244">
    <w:abstractNumId w:val="7"/>
  </w:num>
  <w:num w:numId="9" w16cid:durableId="2086678924">
    <w:abstractNumId w:val="6"/>
  </w:num>
  <w:num w:numId="10" w16cid:durableId="406272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E34"/>
    <w:rsid w:val="000004F0"/>
    <w:rsid w:val="00004095"/>
    <w:rsid w:val="000C1AD7"/>
    <w:rsid w:val="000E5FE9"/>
    <w:rsid w:val="000E66CA"/>
    <w:rsid w:val="001A1496"/>
    <w:rsid w:val="001C27E7"/>
    <w:rsid w:val="00211643"/>
    <w:rsid w:val="00212A33"/>
    <w:rsid w:val="00233739"/>
    <w:rsid w:val="0025701D"/>
    <w:rsid w:val="00266A5E"/>
    <w:rsid w:val="002A3A97"/>
    <w:rsid w:val="003A7AD8"/>
    <w:rsid w:val="003B4793"/>
    <w:rsid w:val="0040185F"/>
    <w:rsid w:val="00430E47"/>
    <w:rsid w:val="00446BD5"/>
    <w:rsid w:val="004B435E"/>
    <w:rsid w:val="004B557B"/>
    <w:rsid w:val="004C2AAD"/>
    <w:rsid w:val="004C33AA"/>
    <w:rsid w:val="004E6E76"/>
    <w:rsid w:val="00542FE5"/>
    <w:rsid w:val="005861F9"/>
    <w:rsid w:val="005D625E"/>
    <w:rsid w:val="005E317E"/>
    <w:rsid w:val="005F2071"/>
    <w:rsid w:val="0061003E"/>
    <w:rsid w:val="00624120"/>
    <w:rsid w:val="00636DD4"/>
    <w:rsid w:val="00655D9E"/>
    <w:rsid w:val="006816B7"/>
    <w:rsid w:val="00692E7C"/>
    <w:rsid w:val="006F18C5"/>
    <w:rsid w:val="00720B82"/>
    <w:rsid w:val="00724C48"/>
    <w:rsid w:val="00737460"/>
    <w:rsid w:val="00760CD8"/>
    <w:rsid w:val="00773E34"/>
    <w:rsid w:val="007806CB"/>
    <w:rsid w:val="00795E24"/>
    <w:rsid w:val="00826ABB"/>
    <w:rsid w:val="00832FCB"/>
    <w:rsid w:val="00836A86"/>
    <w:rsid w:val="008464F8"/>
    <w:rsid w:val="008A44D4"/>
    <w:rsid w:val="00923E67"/>
    <w:rsid w:val="00933D74"/>
    <w:rsid w:val="00941339"/>
    <w:rsid w:val="0095081C"/>
    <w:rsid w:val="00971B28"/>
    <w:rsid w:val="00A23E9B"/>
    <w:rsid w:val="00A40121"/>
    <w:rsid w:val="00A67E55"/>
    <w:rsid w:val="00A915C7"/>
    <w:rsid w:val="00AA52E2"/>
    <w:rsid w:val="00AB2ADB"/>
    <w:rsid w:val="00AC1036"/>
    <w:rsid w:val="00AD3CED"/>
    <w:rsid w:val="00B73E73"/>
    <w:rsid w:val="00B80C44"/>
    <w:rsid w:val="00B81C9D"/>
    <w:rsid w:val="00BA3D84"/>
    <w:rsid w:val="00BB697F"/>
    <w:rsid w:val="00C00AA4"/>
    <w:rsid w:val="00C22B09"/>
    <w:rsid w:val="00C82F0E"/>
    <w:rsid w:val="00C93D9E"/>
    <w:rsid w:val="00CA0B6B"/>
    <w:rsid w:val="00CA3F23"/>
    <w:rsid w:val="00D10FAC"/>
    <w:rsid w:val="00D62A44"/>
    <w:rsid w:val="00DA6760"/>
    <w:rsid w:val="00DC4E1D"/>
    <w:rsid w:val="00E11BC5"/>
    <w:rsid w:val="00E1739B"/>
    <w:rsid w:val="00E41902"/>
    <w:rsid w:val="00E43CF7"/>
    <w:rsid w:val="00E46D11"/>
    <w:rsid w:val="00E47C47"/>
    <w:rsid w:val="00E611E0"/>
    <w:rsid w:val="00E81037"/>
    <w:rsid w:val="00EE30CF"/>
    <w:rsid w:val="00F84EF0"/>
    <w:rsid w:val="00F85795"/>
    <w:rsid w:val="00F95BE6"/>
    <w:rsid w:val="00FC1F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CC54"/>
  <w15:docId w15:val="{7E48414D-7DB2-40D6-BFED-67625669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uiPriority w:val="34"/>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Bollo">
    <w:name w:val="Bollo"/>
    <w:basedOn w:val="Normale"/>
    <w:rsid w:val="00AD3CED"/>
    <w:pPr>
      <w:suppressAutoHyphens/>
      <w:overflowPunct w:val="0"/>
      <w:autoSpaceDE w:val="0"/>
      <w:spacing w:line="520" w:lineRule="exact"/>
      <w:jc w:val="both"/>
      <w:textAlignment w:val="baseline"/>
    </w:pPr>
    <w:rPr>
      <w:b/>
      <w:kern w:val="1"/>
      <w:sz w:val="28"/>
      <w:lang w:eastAsia="ar-SA"/>
    </w:rPr>
  </w:style>
  <w:style w:type="paragraph" w:customStyle="1" w:styleId="Default">
    <w:name w:val="Default"/>
    <w:rsid w:val="00AA52E2"/>
    <w:pPr>
      <w:autoSpaceDE w:val="0"/>
      <w:autoSpaceDN w:val="0"/>
      <w:adjustRightInd w:val="0"/>
    </w:pPr>
    <w:rPr>
      <w:rFonts w:ascii="Sole Serif Text" w:eastAsiaTheme="minorHAnsi" w:hAnsi="Sole Serif Text" w:cs="Sole Serif Text"/>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B1E6A-2E2A-4F33-9E33-4C86C4550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4677</Words>
  <Characters>26661</Characters>
  <Application>Microsoft Office Word</Application>
  <DocSecurity>0</DocSecurity>
  <Lines>222</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2</cp:revision>
  <cp:lastPrinted>2026-03-09T17:58:00Z</cp:lastPrinted>
  <dcterms:created xsi:type="dcterms:W3CDTF">2026-03-09T18:00:00Z</dcterms:created>
  <dcterms:modified xsi:type="dcterms:W3CDTF">2026-03-09T18:00:00Z</dcterms:modified>
</cp:coreProperties>
</file>