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FB61F" w14:textId="77777777" w:rsidR="00BF0E6D" w:rsidRPr="004F6F30" w:rsidRDefault="00BF0E6D" w:rsidP="00BF0E6D">
      <w:pPr>
        <w:snapToGrid w:val="0"/>
        <w:jc w:val="center"/>
        <w:rPr>
          <w:b/>
          <w:bCs/>
        </w:rPr>
      </w:pPr>
      <w:r w:rsidRPr="004F6F30">
        <w:rPr>
          <w:b/>
          <w:bCs/>
        </w:rPr>
        <w:t>Maria Voccia De Felice</w:t>
      </w:r>
    </w:p>
    <w:p w14:paraId="7A7AA93C" w14:textId="77777777" w:rsidR="00BF0E6D" w:rsidRPr="004F6F30" w:rsidRDefault="00BF0E6D" w:rsidP="00BF0E6D">
      <w:pPr>
        <w:snapToGrid w:val="0"/>
        <w:jc w:val="center"/>
        <w:rPr>
          <w:b/>
          <w:bCs/>
        </w:rPr>
      </w:pPr>
      <w:r w:rsidRPr="004F6F30">
        <w:rPr>
          <w:b/>
          <w:bCs/>
        </w:rPr>
        <w:t>Avvocato</w:t>
      </w:r>
    </w:p>
    <w:p w14:paraId="4EBB6B3E" w14:textId="77777777" w:rsidR="00BF0E6D" w:rsidRPr="004F6F30" w:rsidRDefault="00BF0E6D" w:rsidP="00BF0E6D">
      <w:pPr>
        <w:snapToGrid w:val="0"/>
        <w:jc w:val="center"/>
        <w:rPr>
          <w:b/>
          <w:bCs/>
        </w:rPr>
      </w:pPr>
      <w:r w:rsidRPr="004F6F30">
        <w:rPr>
          <w:b/>
          <w:bCs/>
        </w:rPr>
        <w:t>Patrocinante in Cassazione</w:t>
      </w:r>
    </w:p>
    <w:p w14:paraId="070DFA86" w14:textId="77777777" w:rsidR="00BF0E6D" w:rsidRPr="004F6F30" w:rsidRDefault="00BF0E6D" w:rsidP="00BF0E6D">
      <w:pPr>
        <w:snapToGrid w:val="0"/>
        <w:jc w:val="center"/>
        <w:rPr>
          <w:b/>
          <w:bCs/>
        </w:rPr>
      </w:pPr>
      <w:r w:rsidRPr="004F6F30">
        <w:rPr>
          <w:b/>
          <w:bCs/>
        </w:rPr>
        <w:t>Salerno - Via G. Vicinanza n. 42 – 84123</w:t>
      </w:r>
    </w:p>
    <w:p w14:paraId="3E50A7B8" w14:textId="77777777" w:rsidR="00BF0E6D" w:rsidRPr="004F6F30" w:rsidRDefault="00BF0E6D" w:rsidP="00BF0E6D">
      <w:pPr>
        <w:snapToGrid w:val="0"/>
        <w:jc w:val="center"/>
        <w:rPr>
          <w:b/>
          <w:bCs/>
        </w:rPr>
      </w:pPr>
      <w:r w:rsidRPr="004F6F30">
        <w:rPr>
          <w:b/>
          <w:bCs/>
        </w:rPr>
        <w:t>tel. 089237255 fax 0892581656</w:t>
      </w:r>
    </w:p>
    <w:p w14:paraId="373F0ACC" w14:textId="77777777" w:rsidR="00BF0E6D" w:rsidRPr="004F6F30" w:rsidRDefault="00BF0E6D" w:rsidP="00BF0E6D">
      <w:pPr>
        <w:snapToGrid w:val="0"/>
        <w:jc w:val="center"/>
        <w:rPr>
          <w:b/>
          <w:bCs/>
        </w:rPr>
      </w:pPr>
      <w:r w:rsidRPr="004F6F30">
        <w:rPr>
          <w:b/>
          <w:bCs/>
        </w:rPr>
        <w:t>mobile 335 6329269</w:t>
      </w:r>
    </w:p>
    <w:p w14:paraId="088DFC7E" w14:textId="77777777" w:rsidR="00BF0E6D" w:rsidRPr="004F6F30" w:rsidRDefault="00BF0E6D" w:rsidP="00BF0E6D">
      <w:pPr>
        <w:snapToGrid w:val="0"/>
        <w:jc w:val="center"/>
        <w:rPr>
          <w:b/>
          <w:bCs/>
        </w:rPr>
      </w:pPr>
      <w:r w:rsidRPr="004F6F30">
        <w:rPr>
          <w:b/>
          <w:bCs/>
        </w:rPr>
        <w:t xml:space="preserve">mail: mvoccia@vocciaspa.com </w:t>
      </w:r>
      <w:proofErr w:type="spellStart"/>
      <w:r w:rsidRPr="004F6F30">
        <w:rPr>
          <w:b/>
          <w:bCs/>
        </w:rPr>
        <w:t>pec</w:t>
      </w:r>
      <w:proofErr w:type="spellEnd"/>
      <w:r w:rsidRPr="004F6F30">
        <w:rPr>
          <w:b/>
          <w:bCs/>
        </w:rPr>
        <w:t xml:space="preserve">: </w:t>
      </w:r>
      <w:hyperlink r:id="rId6" w:history="1">
        <w:r w:rsidRPr="004F6F30">
          <w:rPr>
            <w:b/>
            <w:bCs/>
            <w:u w:val="single"/>
          </w:rPr>
          <w:t>mvocciaordsa@pec.giuffre.it</w:t>
        </w:r>
      </w:hyperlink>
    </w:p>
    <w:p w14:paraId="44B2517A" w14:textId="77777777" w:rsidR="00BF0E6D" w:rsidRDefault="00BF0E6D">
      <w:pPr>
        <w:snapToGrid w:val="0"/>
        <w:spacing w:line="360" w:lineRule="auto"/>
        <w:jc w:val="center"/>
        <w:rPr>
          <w:b/>
        </w:rPr>
      </w:pPr>
    </w:p>
    <w:p w14:paraId="176B3E85" w14:textId="77777777" w:rsidR="00BF0E6D" w:rsidRDefault="00BF0E6D">
      <w:pPr>
        <w:snapToGrid w:val="0"/>
        <w:spacing w:line="360" w:lineRule="auto"/>
        <w:jc w:val="center"/>
        <w:rPr>
          <w:b/>
        </w:rPr>
      </w:pPr>
    </w:p>
    <w:p w14:paraId="160CE080" w14:textId="07EC8306" w:rsidR="008A0D94" w:rsidRDefault="00000000">
      <w:pPr>
        <w:snapToGrid w:val="0"/>
        <w:spacing w:line="360" w:lineRule="auto"/>
        <w:jc w:val="center"/>
      </w:pPr>
      <w:r>
        <w:rPr>
          <w:b/>
        </w:rPr>
        <w:t>TRIBUNALE CIVILE DI BERGAMO</w:t>
      </w:r>
    </w:p>
    <w:p w14:paraId="653115A8" w14:textId="1BFD51BD" w:rsidR="00DD7B43" w:rsidRPr="00DD7B43" w:rsidRDefault="00DD7B43" w:rsidP="00DD7B43">
      <w:pPr>
        <w:spacing w:line="360" w:lineRule="auto"/>
        <w:jc w:val="center"/>
        <w:rPr>
          <w:b/>
        </w:rPr>
      </w:pPr>
      <w:r w:rsidRPr="00DD7B43">
        <w:rPr>
          <w:b/>
        </w:rPr>
        <w:t xml:space="preserve">R.G. n. </w:t>
      </w:r>
      <w:r w:rsidR="007E1D2C" w:rsidRPr="007E1D2C">
        <w:rPr>
          <w:b/>
        </w:rPr>
        <w:t>1928</w:t>
      </w:r>
      <w:r w:rsidRPr="00DD7B43">
        <w:rPr>
          <w:b/>
        </w:rPr>
        <w:t>/2026</w:t>
      </w:r>
    </w:p>
    <w:p w14:paraId="2718C77F" w14:textId="311C6690" w:rsidR="00DD7B43" w:rsidRPr="00DD7B43" w:rsidRDefault="00DD7B43" w:rsidP="00DD7B43">
      <w:pPr>
        <w:spacing w:line="360" w:lineRule="auto"/>
        <w:jc w:val="center"/>
        <w:rPr>
          <w:b/>
        </w:rPr>
      </w:pPr>
      <w:r w:rsidRPr="00DD7B43">
        <w:rPr>
          <w:b/>
        </w:rPr>
        <w:t>Giudice Dott.</w:t>
      </w:r>
      <w:r w:rsidR="007E1D2C" w:rsidRPr="007E1D2C">
        <w:rPr>
          <w:b/>
        </w:rPr>
        <w:t xml:space="preserve"> Randazzo</w:t>
      </w:r>
      <w:r w:rsidRPr="00DD7B43">
        <w:rPr>
          <w:b/>
        </w:rPr>
        <w:t xml:space="preserve"> </w:t>
      </w:r>
    </w:p>
    <w:p w14:paraId="7CAA081C" w14:textId="2F8A98F1" w:rsidR="00DD7B43" w:rsidRPr="00DD7B43" w:rsidRDefault="00DD7B43" w:rsidP="00DD7B43">
      <w:pPr>
        <w:spacing w:line="360" w:lineRule="auto"/>
        <w:jc w:val="center"/>
        <w:rPr>
          <w:b/>
        </w:rPr>
      </w:pPr>
      <w:r w:rsidRPr="00DD7B43">
        <w:rPr>
          <w:b/>
        </w:rPr>
        <w:t xml:space="preserve">Udienza </w:t>
      </w:r>
      <w:r w:rsidR="007E1D2C" w:rsidRPr="007E1D2C">
        <w:rPr>
          <w:b/>
        </w:rPr>
        <w:t>29.09.2026</w:t>
      </w:r>
    </w:p>
    <w:p w14:paraId="2206041F" w14:textId="77777777" w:rsidR="00DD7B43" w:rsidRPr="00DD7B43" w:rsidRDefault="00DD7B43" w:rsidP="00DD7B43">
      <w:pPr>
        <w:spacing w:line="360" w:lineRule="auto"/>
        <w:jc w:val="center"/>
      </w:pPr>
      <w:r w:rsidRPr="00DD7B43">
        <w:rPr>
          <w:b/>
          <w:bCs/>
        </w:rPr>
        <w:t>COMPARSA DI COSTITUZIONE E RISPOSTA</w:t>
      </w:r>
    </w:p>
    <w:p w14:paraId="1F7724A6" w14:textId="7A3128F5" w:rsidR="008A0D94" w:rsidRPr="00DD7B43" w:rsidRDefault="00000000" w:rsidP="00DD7B43">
      <w:pPr>
        <w:snapToGrid w:val="0"/>
        <w:spacing w:line="360" w:lineRule="auto"/>
        <w:ind w:firstLine="708"/>
        <w:jc w:val="both"/>
        <w:rPr>
          <w:b/>
        </w:rPr>
      </w:pPr>
      <w:r>
        <w:rPr>
          <w:b/>
        </w:rPr>
        <w:t>PER:   Comune di Capriate San Gervasio</w:t>
      </w:r>
      <w:r>
        <w:t xml:space="preserve"> (BG) (C.F. 00325440162), in persona del Sindaco pro tempore, domiciliato per la carica in Capriate San Gervasio (BG), con PEC: posta@pec.comune.capriate-san-gervasio.bg.it, rappresentato e difeso dall’</w:t>
      </w:r>
      <w:r>
        <w:rPr>
          <w:b/>
        </w:rPr>
        <w:t>Avv. Maria Voccia De Felice</w:t>
      </w:r>
      <w:r>
        <w:t xml:space="preserve">, Patrocinante in Cassazione, con studio in Salerno, Via G. Vicinanza n. 42 – 84123, tel. 089237255, fax 0892581656, mail: mvoccia@vocciaspa.com, pec: mvocciaordsa@pec.giuffre.it, giusta procura in calce alla presente e Deliberazione di Giunta Comunale </w:t>
      </w:r>
      <w:r w:rsidRPr="00DD7B43">
        <w:rPr>
          <w:b/>
        </w:rPr>
        <w:t xml:space="preserve">n. </w:t>
      </w:r>
      <w:r w:rsidR="00DD7B43" w:rsidRPr="00DD7B43">
        <w:rPr>
          <w:b/>
        </w:rPr>
        <w:t>54</w:t>
      </w:r>
      <w:r w:rsidRPr="00DD7B43">
        <w:rPr>
          <w:b/>
        </w:rPr>
        <w:t xml:space="preserve"> del </w:t>
      </w:r>
      <w:r w:rsidR="00DD7B43" w:rsidRPr="00DD7B43">
        <w:rPr>
          <w:b/>
        </w:rPr>
        <w:t>22.04.2026</w:t>
      </w:r>
      <w:r>
        <w:t>, con dich</w:t>
      </w:r>
      <w:r>
        <w:t>iarazione di voler ricevere le comunicazioni al predetto indirizzo PEC:</w:t>
      </w:r>
      <w:r w:rsidRPr="00DD7B43">
        <w:rPr>
          <w:b/>
        </w:rPr>
        <w:t xml:space="preserve"> mvocciaordsa@pec.giuffre.it</w:t>
      </w:r>
      <w:r w:rsidR="00DD7B43">
        <w:rPr>
          <w:b/>
        </w:rPr>
        <w:t>;</w:t>
      </w:r>
    </w:p>
    <w:p w14:paraId="707A3C69" w14:textId="77777777" w:rsidR="00DD7B43" w:rsidRDefault="00000000" w:rsidP="00DD7B43">
      <w:pPr>
        <w:snapToGrid w:val="0"/>
        <w:spacing w:line="360" w:lineRule="auto"/>
        <w:ind w:firstLine="708"/>
        <w:jc w:val="both"/>
        <w:rPr>
          <w:b/>
        </w:rPr>
      </w:pPr>
      <w:r>
        <w:rPr>
          <w:b/>
        </w:rPr>
        <w:t xml:space="preserve">CONTRO:  </w:t>
      </w:r>
    </w:p>
    <w:p w14:paraId="16B61C4C" w14:textId="06368D17" w:rsidR="008A0D94" w:rsidRDefault="00000000" w:rsidP="00DD7B43">
      <w:pPr>
        <w:snapToGrid w:val="0"/>
        <w:spacing w:line="360" w:lineRule="auto"/>
        <w:ind w:firstLine="708"/>
        <w:jc w:val="both"/>
      </w:pPr>
      <w:r>
        <w:rPr>
          <w:b/>
        </w:rPr>
        <w:t>U</w:t>
      </w:r>
      <w:r w:rsidR="00DD7B43">
        <w:rPr>
          <w:b/>
        </w:rPr>
        <w:t>NIACQUE</w:t>
      </w:r>
      <w:r>
        <w:rPr>
          <w:b/>
        </w:rPr>
        <w:t xml:space="preserve"> S.p.A.</w:t>
      </w:r>
      <w:r>
        <w:t>, con sede legale in Bergamo alla via delle Canovine 21, codice fiscale 03299640163, in persona dell’amministratore delegato Pierangelo Bertocchi, rappresentata e difesa dall’Avv. Domenico Ardolino e dall’Avv. Antonio Severino, elettivamente domiciliati presso lo studio d’Aniello &amp; Associati in Milano alla piazza Castello 1.</w:t>
      </w:r>
    </w:p>
    <w:p w14:paraId="356BEBED" w14:textId="77777777" w:rsidR="008A0D94" w:rsidRDefault="00000000" w:rsidP="007E1D2C">
      <w:pPr>
        <w:pStyle w:val="Titolo1"/>
        <w:snapToGrid w:val="0"/>
        <w:spacing w:before="0" w:after="0" w:line="360" w:lineRule="auto"/>
        <w:ind w:firstLine="708"/>
      </w:pPr>
      <w:r>
        <w:t>PREMESSO</w:t>
      </w:r>
    </w:p>
    <w:p w14:paraId="0846C2B6" w14:textId="3DB97CE5" w:rsidR="008A0D94" w:rsidRDefault="00000000">
      <w:pPr>
        <w:snapToGrid w:val="0"/>
        <w:spacing w:line="360" w:lineRule="auto"/>
        <w:ind w:firstLine="708"/>
        <w:jc w:val="both"/>
      </w:pPr>
      <w:r>
        <w:t xml:space="preserve">Con </w:t>
      </w:r>
      <w:r w:rsidR="007E1D2C">
        <w:t xml:space="preserve">Ricorso in opposizione, </w:t>
      </w:r>
      <w:r>
        <w:t xml:space="preserve">notificato </w:t>
      </w:r>
      <w:r w:rsidR="007E1D2C">
        <w:t>unitamente al decreto di fissazione dell’udienza per il 29.09.2026,</w:t>
      </w:r>
      <w:r>
        <w:t xml:space="preserve"> la società </w:t>
      </w:r>
      <w:r>
        <w:rPr>
          <w:b/>
        </w:rPr>
        <w:t>U</w:t>
      </w:r>
      <w:r w:rsidR="007E1D2C">
        <w:rPr>
          <w:b/>
        </w:rPr>
        <w:t>NI</w:t>
      </w:r>
      <w:r>
        <w:rPr>
          <w:b/>
        </w:rPr>
        <w:t>A</w:t>
      </w:r>
      <w:r w:rsidR="007E1D2C">
        <w:rPr>
          <w:b/>
        </w:rPr>
        <w:t>CQUE</w:t>
      </w:r>
      <w:r>
        <w:rPr>
          <w:b/>
        </w:rPr>
        <w:t xml:space="preserve"> S.p.A.</w:t>
      </w:r>
      <w:r>
        <w:t xml:space="preserve"> ha convenuto in giudizio il Comune di Capriate San Gervasio chiedendo</w:t>
      </w:r>
      <w:r w:rsidR="007E1D2C">
        <w:t>,</w:t>
      </w:r>
      <w:r>
        <w:t xml:space="preserve"> al Tribunale adito</w:t>
      </w:r>
      <w:r w:rsidR="007E1D2C">
        <w:t>,</w:t>
      </w:r>
      <w:r>
        <w:t xml:space="preserve"> di annullare </w:t>
      </w:r>
      <w:r w:rsidRPr="007E1D2C">
        <w:rPr>
          <w:b/>
        </w:rPr>
        <w:t>l’avviso di accertamento esecutivo n. 1 del 30 dicembre 2025</w:t>
      </w:r>
      <w:r>
        <w:t xml:space="preserve"> e di accertare e dichiarare che nulla è </w:t>
      </w:r>
      <w:r w:rsidR="007E1D2C">
        <w:t xml:space="preserve">da essa </w:t>
      </w:r>
      <w:r>
        <w:t>dovuto a titolo di CUP ai sensi dell’art. 1, comma 833, L. n. 160/2019. (</w:t>
      </w:r>
      <w:r w:rsidRPr="007E1D2C">
        <w:rPr>
          <w:b/>
        </w:rPr>
        <w:t>Doc. 1</w:t>
      </w:r>
      <w:r>
        <w:t>)</w:t>
      </w:r>
    </w:p>
    <w:p w14:paraId="407AC8AE" w14:textId="20F07A52" w:rsidR="007E1D2C" w:rsidRDefault="007E1D2C">
      <w:pPr>
        <w:snapToGrid w:val="0"/>
        <w:spacing w:line="360" w:lineRule="auto"/>
        <w:ind w:firstLine="708"/>
        <w:jc w:val="both"/>
      </w:pPr>
      <w:r w:rsidRPr="007E1D2C">
        <w:t xml:space="preserve">L’accertamento oggetto di giudizio </w:t>
      </w:r>
      <w:r>
        <w:t>(</w:t>
      </w:r>
      <w:r w:rsidRPr="007E1D2C">
        <w:rPr>
          <w:b/>
        </w:rPr>
        <w:t>Doc. 2</w:t>
      </w:r>
      <w:r>
        <w:t xml:space="preserve">) </w:t>
      </w:r>
      <w:r w:rsidRPr="007E1D2C">
        <w:t xml:space="preserve">è stato emesso dal Comune </w:t>
      </w:r>
      <w:r w:rsidR="00000000">
        <w:t xml:space="preserve">di Capriate San Gervasio, </w:t>
      </w:r>
      <w:r>
        <w:t xml:space="preserve">per il recupero del </w:t>
      </w:r>
      <w:r w:rsidR="00000000">
        <w:rPr>
          <w:b/>
        </w:rPr>
        <w:t>Canone Unico Patrimoniale (CUP)</w:t>
      </w:r>
      <w:r>
        <w:t xml:space="preserve"> </w:t>
      </w:r>
      <w:r>
        <w:lastRenderedPageBreak/>
        <w:t>dovuto dall’opponente per</w:t>
      </w:r>
      <w:r w:rsidR="00000000">
        <w:t xml:space="preserve"> gli anni d’imposta </w:t>
      </w:r>
      <w:r w:rsidR="00000000">
        <w:rPr>
          <w:b/>
        </w:rPr>
        <w:t>2021-2022-2023-2024</w:t>
      </w:r>
      <w:r w:rsidR="00000000">
        <w:t xml:space="preserve">, </w:t>
      </w:r>
      <w:r>
        <w:t>ai sensi de</w:t>
      </w:r>
      <w:r w:rsidR="00000000">
        <w:t>ll’art. 1, comma 831, della L. n. 160/2019, quale gestore del servizio idrico integrato dell’ATO Bergamo</w:t>
      </w:r>
      <w:r>
        <w:t xml:space="preserve"> e in particolare del Comune resistente.</w:t>
      </w:r>
      <w:r w:rsidR="00000000">
        <w:t xml:space="preserve"> </w:t>
      </w:r>
    </w:p>
    <w:p w14:paraId="6119EEE4" w14:textId="0A26AEE5" w:rsidR="008A0D94" w:rsidRDefault="007E1D2C">
      <w:pPr>
        <w:snapToGrid w:val="0"/>
        <w:spacing w:line="360" w:lineRule="auto"/>
        <w:ind w:firstLine="708"/>
        <w:jc w:val="both"/>
      </w:pPr>
      <w:r w:rsidRPr="007E1D2C">
        <w:t xml:space="preserve">Va subito riferito </w:t>
      </w:r>
      <w:r w:rsidRPr="007E1D2C">
        <w:rPr>
          <w:b/>
          <w:u w:val="single"/>
        </w:rPr>
        <w:t>che l’accertamento è stato preceduto da un’articolata fase di contraddittorio,</w:t>
      </w:r>
      <w:r w:rsidRPr="007E1D2C">
        <w:t xml:space="preserve"> </w:t>
      </w:r>
      <w:r w:rsidRPr="007E1D2C">
        <w:rPr>
          <w:b/>
        </w:rPr>
        <w:t xml:space="preserve">promossa dal </w:t>
      </w:r>
      <w:r w:rsidR="00000000">
        <w:t xml:space="preserve">di Capriate San Gervasio con l’ausilio della società Archivia Solution S.p.A., alla quale, con </w:t>
      </w:r>
      <w:r w:rsidR="00000000">
        <w:rPr>
          <w:b/>
        </w:rPr>
        <w:t>Determina n. 357 del 26/06/2025</w:t>
      </w:r>
      <w:r w:rsidR="00000000">
        <w:t>, è stato affidato il servizio di supporto nella verifica della congrui</w:t>
      </w:r>
      <w:r w:rsidR="00BF0E6D">
        <w:t>t</w:t>
      </w:r>
      <w:r w:rsidR="00000000">
        <w:t>à dei versamenti CUP per gli anni 2021-2024. (</w:t>
      </w:r>
      <w:r w:rsidR="00000000" w:rsidRPr="007E1D2C">
        <w:rPr>
          <w:b/>
        </w:rPr>
        <w:t>Doc. 3</w:t>
      </w:r>
      <w:r w:rsidR="00000000">
        <w:t>)</w:t>
      </w:r>
    </w:p>
    <w:p w14:paraId="3AEE8BE7" w14:textId="77777777" w:rsidR="008A0D94" w:rsidRDefault="00000000">
      <w:pPr>
        <w:snapToGrid w:val="0"/>
        <w:spacing w:line="360" w:lineRule="auto"/>
        <w:ind w:firstLine="708"/>
        <w:jc w:val="both"/>
      </w:pPr>
      <w:r>
        <w:t xml:space="preserve">Ed infatti, in data </w:t>
      </w:r>
      <w:r>
        <w:rPr>
          <w:b/>
        </w:rPr>
        <w:t>18 settembre 2025</w:t>
      </w:r>
      <w:r>
        <w:t>, Archivia Solution ha richiesto a UniAcque la trasmissione della dichiarazione delle utenze attive al 31 dicembre di ciascun anno e la documentazione dei versamenti effettuati, segnalando che i controlli sulla piattaforma PagoPA non avevano evidenziato alcun pagamento per nessuno degli anni di interesse (2021-2024), né per il servizio acquedotto né per il servizio fognatura. (</w:t>
      </w:r>
      <w:r w:rsidRPr="007E1D2C">
        <w:rPr>
          <w:b/>
        </w:rPr>
        <w:t>Doc. 4</w:t>
      </w:r>
      <w:r>
        <w:t>)</w:t>
      </w:r>
    </w:p>
    <w:p w14:paraId="6C79E60C" w14:textId="5A4D3652" w:rsidR="008A0D94" w:rsidRDefault="00000000">
      <w:pPr>
        <w:snapToGrid w:val="0"/>
        <w:spacing w:line="360" w:lineRule="auto"/>
        <w:ind w:firstLine="708"/>
        <w:jc w:val="both"/>
      </w:pPr>
      <w:r>
        <w:t xml:space="preserve">In data </w:t>
      </w:r>
      <w:r>
        <w:rPr>
          <w:b/>
        </w:rPr>
        <w:t>6 ottobre 2025</w:t>
      </w:r>
      <w:r>
        <w:t xml:space="preserve"> (prot. n. 22847/25 – 0246ST/nv), UniAcque ha riscontrato la suddetta richiesta eccependo la propria asserita non debenza del CUP</w:t>
      </w:r>
      <w:r w:rsidR="007E1D2C">
        <w:t xml:space="preserve"> ed </w:t>
      </w:r>
      <w:r>
        <w:t>invoca</w:t>
      </w:r>
      <w:r w:rsidR="007E1D2C">
        <w:t>ndo</w:t>
      </w:r>
      <w:r>
        <w:t xml:space="preserve"> l’esenzione di cui all’art. 1, comma 833, lett. d), L. n. 160/2019</w:t>
      </w:r>
      <w:r w:rsidR="006774E0">
        <w:t>, nonché r</w:t>
      </w:r>
      <w:r>
        <w:t>ichiama</w:t>
      </w:r>
      <w:r w:rsidR="006774E0">
        <w:t xml:space="preserve">ndo </w:t>
      </w:r>
      <w:r>
        <w:t>l’art. 27 del Disciplinare Tecnico</w:t>
      </w:r>
      <w:r w:rsidR="006774E0">
        <w:t>,</w:t>
      </w:r>
      <w:r>
        <w:t xml:space="preserve"> allegato alla Convenzione</w:t>
      </w:r>
      <w:r w:rsidR="006774E0">
        <w:t xml:space="preserve">, e </w:t>
      </w:r>
      <w:r>
        <w:t>il contratto di concessione d’uso gratuita delle infrastrutture del SII</w:t>
      </w:r>
      <w:r w:rsidR="006774E0">
        <w:t>,</w:t>
      </w:r>
      <w:r>
        <w:t xml:space="preserve"> sottoscritto con il Comune in data 11 aprile 2024, </w:t>
      </w:r>
      <w:r w:rsidRPr="006774E0">
        <w:rPr>
          <w:b/>
          <w:u w:val="single"/>
        </w:rPr>
        <w:t>dichiarando ch</w:t>
      </w:r>
      <w:r w:rsidRPr="006774E0">
        <w:rPr>
          <w:b/>
          <w:u w:val="single"/>
        </w:rPr>
        <w:t>e non avrebbe fornito alcuna dichiarazione relativa alle utenze attive</w:t>
      </w:r>
      <w:r>
        <w:t>. (</w:t>
      </w:r>
      <w:r w:rsidRPr="006774E0">
        <w:rPr>
          <w:b/>
        </w:rPr>
        <w:t>Doc. 5</w:t>
      </w:r>
      <w:r>
        <w:t>)</w:t>
      </w:r>
    </w:p>
    <w:p w14:paraId="1B7B3EFE" w14:textId="77777777" w:rsidR="008A0D94" w:rsidRDefault="00000000">
      <w:pPr>
        <w:snapToGrid w:val="0"/>
        <w:spacing w:line="360" w:lineRule="auto"/>
        <w:ind w:firstLine="708"/>
        <w:jc w:val="both"/>
      </w:pPr>
      <w:r>
        <w:t xml:space="preserve">A tale nota, Archivia Solution ha replicato in data </w:t>
      </w:r>
      <w:r>
        <w:rPr>
          <w:b/>
        </w:rPr>
        <w:t>22 ottobre 2025</w:t>
      </w:r>
      <w:r>
        <w:t>, confutando le argomentazioni di UniAcque – in particolare la pretesa operatività dell’esenzione lett. d) e la validità della clausola convenzionale di esonero – e reiterando la richiesta dei dati con espressa avvertenza che in caso di inottemperanza si sarebbe proceduto ad accertamento su stima presuntiva. (</w:t>
      </w:r>
      <w:r w:rsidRPr="008C36C1">
        <w:rPr>
          <w:b/>
        </w:rPr>
        <w:t>Doc. 6</w:t>
      </w:r>
      <w:r>
        <w:t>)</w:t>
      </w:r>
    </w:p>
    <w:p w14:paraId="622C47A6" w14:textId="42CF0858" w:rsidR="008A0D94" w:rsidRDefault="00000000">
      <w:pPr>
        <w:snapToGrid w:val="0"/>
        <w:spacing w:line="360" w:lineRule="auto"/>
        <w:ind w:firstLine="567"/>
        <w:jc w:val="both"/>
      </w:pPr>
      <w:proofErr w:type="spellStart"/>
      <w:r>
        <w:t>UniAcque</w:t>
      </w:r>
      <w:proofErr w:type="spellEnd"/>
      <w:r>
        <w:t xml:space="preserve"> ha insistito nel rifiuto di comunicare i dati, costringendo il Comune ad emettere l’avviso di accertamento su base induttiva, oggetto del presente contenzioso. Va sin d’ora </w:t>
      </w:r>
      <w:r w:rsidR="008C36C1">
        <w:t>evidenziato</w:t>
      </w:r>
      <w:r>
        <w:t xml:space="preserve"> che il </w:t>
      </w:r>
      <w:r>
        <w:rPr>
          <w:b/>
        </w:rPr>
        <w:t>sistematico rifiuto di UniAcque di comunicare il numero di utenze attive</w:t>
      </w:r>
      <w:r>
        <w:t xml:space="preserve"> – nonostante le formali sollecitazioni del 18 settembre 2025 e del 22 ottobre 2025 – ha reso necessario e pienamente legittimo il ricorso alla stima presuntiva prevista dal comma 792 della L. n. 160/2019, e ha</w:t>
      </w:r>
      <w:r w:rsidR="008C36C1">
        <w:t>,</w:t>
      </w:r>
      <w:r>
        <w:t xml:space="preserve"> altresì</w:t>
      </w:r>
      <w:r w:rsidR="008C36C1">
        <w:t>,</w:t>
      </w:r>
      <w:r>
        <w:t xml:space="preserve"> determinato un’</w:t>
      </w:r>
      <w:r>
        <w:rPr>
          <w:b/>
        </w:rPr>
        <w:t xml:space="preserve">inversione </w:t>
      </w:r>
      <w:r>
        <w:rPr>
          <w:b/>
        </w:rPr>
        <w:t>dell’onere probatorio</w:t>
      </w:r>
      <w:r>
        <w:t xml:space="preserve"> a carico del gestore: sarà UniAcque, in sede giudiziale, a dover fornire la prova contraria documentando </w:t>
      </w:r>
      <w:r>
        <w:lastRenderedPageBreak/>
        <w:t>il numero esatto delle utenze servite, dati che essa detiene e che ha</w:t>
      </w:r>
      <w:r w:rsidR="004F2061">
        <w:t>,</w:t>
      </w:r>
      <w:r>
        <w:t xml:space="preserve"> sino ad ora</w:t>
      </w:r>
      <w:r w:rsidR="004F2061">
        <w:t>,</w:t>
      </w:r>
      <w:r>
        <w:t xml:space="preserve"> ingiustificatamente omesso di comunicare.</w:t>
      </w:r>
    </w:p>
    <w:p w14:paraId="57C5A00B" w14:textId="6346C2A0" w:rsidR="008A0D94" w:rsidRDefault="00000000">
      <w:pPr>
        <w:snapToGrid w:val="0"/>
        <w:spacing w:line="360" w:lineRule="auto"/>
        <w:ind w:firstLine="360"/>
        <w:jc w:val="both"/>
      </w:pPr>
      <w:r>
        <w:t xml:space="preserve">A sostegno delle proprie ragioni, </w:t>
      </w:r>
      <w:proofErr w:type="spellStart"/>
      <w:r>
        <w:t>UniAcque</w:t>
      </w:r>
      <w:proofErr w:type="spellEnd"/>
      <w:r>
        <w:t xml:space="preserve"> </w:t>
      </w:r>
      <w:r w:rsidR="004F2061">
        <w:t>eccepisce</w:t>
      </w:r>
      <w:r>
        <w:t>:</w:t>
      </w:r>
    </w:p>
    <w:p w14:paraId="53999FAF" w14:textId="77777777" w:rsidR="008A0D94" w:rsidRDefault="00000000">
      <w:pPr>
        <w:pStyle w:val="Paragrafoelenco"/>
        <w:numPr>
          <w:ilvl w:val="0"/>
          <w:numId w:val="4"/>
        </w:numPr>
        <w:snapToGrid w:val="0"/>
        <w:spacing w:line="360" w:lineRule="auto"/>
        <w:ind w:left="0"/>
        <w:jc w:val="both"/>
      </w:pPr>
      <w:r>
        <w:t xml:space="preserve">di avere diritto all’esenzione prevista dall’art. 1, comma 833, lett. </w:t>
      </w:r>
      <w:r>
        <w:rPr>
          <w:i/>
        </w:rPr>
        <w:t>a)</w:t>
      </w:r>
      <w:r>
        <w:t xml:space="preserve">, L. n. 160/2019, in quanto società </w:t>
      </w:r>
      <w:r>
        <w:rPr>
          <w:i/>
        </w:rPr>
        <w:t>in house providing</w:t>
      </w:r>
      <w:r>
        <w:t xml:space="preserve"> interamente partecipata dai Comuni e dalla Provincia di Bergamo, costituendo essa la </w:t>
      </w:r>
      <w:r>
        <w:rPr>
          <w:i/>
        </w:rPr>
        <w:t>longa manus</w:t>
      </w:r>
      <w:r>
        <w:t xml:space="preserve"> delle pubbliche amministrazioni controllanti e rientrando pertanto nella nozione di pubblica amministrazione in senso sostanziale, con diritto all’esenzione riservata a “Stato, regioni, province, città metropolitane, comuni e loro consorzi”;</w:t>
      </w:r>
    </w:p>
    <w:p w14:paraId="478FE6AC" w14:textId="77777777" w:rsidR="008A0D94" w:rsidRDefault="00000000">
      <w:pPr>
        <w:pStyle w:val="Paragrafoelenco"/>
        <w:numPr>
          <w:ilvl w:val="0"/>
          <w:numId w:val="4"/>
        </w:numPr>
        <w:snapToGrid w:val="0"/>
        <w:spacing w:line="360" w:lineRule="auto"/>
        <w:ind w:left="0"/>
        <w:jc w:val="both"/>
      </w:pPr>
      <w:r>
        <w:t xml:space="preserve">di avere altresì diritto all’esenzione prevista dall’art. 1, comma 833, lett. </w:t>
      </w:r>
      <w:r>
        <w:rPr>
          <w:i/>
        </w:rPr>
        <w:t>d)</w:t>
      </w:r>
      <w:r>
        <w:t>, L. n. 160/2019, in quanto – al termine della concessione ovvero in caso di interruzione anticipata della gestione del servizio idrico integrato – gli impianti verranno restituiti a titolo gratuito al Comune di Capriate San Gervasio, essendo tale obbligo stabilito direttamente dall’art. 153 del D.Lgs. n. 152/2006 e non derogabile dalle parti;</w:t>
      </w:r>
    </w:p>
    <w:p w14:paraId="3BD5EA60" w14:textId="34C447BC" w:rsidR="008A0D94" w:rsidRDefault="00000000" w:rsidP="00BF0E6D">
      <w:pPr>
        <w:pStyle w:val="Paragrafoelenco"/>
        <w:numPr>
          <w:ilvl w:val="0"/>
          <w:numId w:val="4"/>
        </w:numPr>
        <w:snapToGrid w:val="0"/>
        <w:spacing w:line="360" w:lineRule="auto"/>
        <w:ind w:left="0"/>
        <w:jc w:val="both"/>
      </w:pPr>
      <w:r>
        <w:t>che, ove per assurdo UniAcque fosse tenuta al pagamento del CUP a ciascun Comune della Provincia di Bergamo per le infrastrutture di proprietà degli stessi Comuni, tale pagamento diverrebbe parte dei costi di gestione inevitabilmente ribaltati sui cittadini utenti tramite aggiornamento tariffario, con effetto contrario all’interesse pubblico.</w:t>
      </w:r>
    </w:p>
    <w:p w14:paraId="188D37AC" w14:textId="77777777" w:rsidR="008A0D94" w:rsidRDefault="00000000">
      <w:pPr>
        <w:snapToGrid w:val="0"/>
        <w:spacing w:line="360" w:lineRule="auto"/>
        <w:ind w:firstLine="567"/>
        <w:jc w:val="both"/>
      </w:pPr>
      <w:r>
        <w:t>L’opposizione è infondata in fatto e in diritto.</w:t>
      </w:r>
    </w:p>
    <w:p w14:paraId="7C9D904E" w14:textId="77777777" w:rsidR="008A0D94" w:rsidRDefault="00000000">
      <w:pPr>
        <w:snapToGrid w:val="0"/>
        <w:spacing w:line="360" w:lineRule="auto"/>
        <w:ind w:firstLine="567"/>
        <w:jc w:val="both"/>
      </w:pPr>
      <w:r>
        <w:t>Con il presente atto si costituisce in giudizio il Comune di Capriate San Gervasio, come sopra rappresentato e difeso, che contesta integralmente le avverse domande delle quali chiede l’integrale rigetto per i seguenti</w:t>
      </w:r>
    </w:p>
    <w:p w14:paraId="43B603D6" w14:textId="77777777" w:rsidR="008A0D94" w:rsidRDefault="00000000">
      <w:pPr>
        <w:pStyle w:val="Enfasigrassetto1"/>
        <w:snapToGrid w:val="0"/>
        <w:spacing w:line="360" w:lineRule="auto"/>
        <w:jc w:val="center"/>
      </w:pPr>
      <w:r>
        <w:t>MOTIVI</w:t>
      </w:r>
    </w:p>
    <w:p w14:paraId="38BDFA31" w14:textId="77777777" w:rsidR="008A0D94" w:rsidRDefault="00000000">
      <w:pPr>
        <w:pStyle w:val="Enfasigrassetto1"/>
        <w:snapToGrid w:val="0"/>
        <w:spacing w:line="360" w:lineRule="auto"/>
        <w:ind w:firstLine="708"/>
        <w:jc w:val="both"/>
      </w:pPr>
      <w:r>
        <w:t>1. INSUSSISTENZA DELLA PRETESA ESENZIONE EX ART. 1, COMMA 833, LETTERA A), L. N. 160/2019: LA SOCIETÀ IN HOUSE NON È EQUIPARABILE ALL’ENTE PUBBLICO</w:t>
      </w:r>
    </w:p>
    <w:p w14:paraId="43955BD2" w14:textId="77777777" w:rsidR="004F2061" w:rsidRDefault="004F2061" w:rsidP="004F2061">
      <w:pPr>
        <w:spacing w:line="360" w:lineRule="auto"/>
        <w:ind w:firstLine="708"/>
        <w:jc w:val="both"/>
      </w:pPr>
      <w:r>
        <w:rPr>
          <w:b/>
          <w:bCs/>
          <w:u w:val="single"/>
        </w:rPr>
        <w:t>Prima di entrare nel merito, si rende opportuno un inquadramento sui presupposti normativi della soggettività passiva dei gestori dei servizi a rete.</w:t>
      </w:r>
    </w:p>
    <w:p w14:paraId="4249411C" w14:textId="77777777" w:rsidR="008A0D94" w:rsidRDefault="00000000">
      <w:pPr>
        <w:snapToGrid w:val="0"/>
        <w:spacing w:line="360" w:lineRule="auto"/>
        <w:ind w:firstLine="708"/>
        <w:jc w:val="both"/>
      </w:pPr>
      <w:r>
        <w:t xml:space="preserve">Ai sensi dell’art. 1, comma 831, della Legge n. 160/2019, il Canone Unico Patrimoniale è dovuto in favore dei Comuni e delle Province da parte delle </w:t>
      </w:r>
      <w:r>
        <w:rPr>
          <w:b/>
        </w:rPr>
        <w:t>aziende che erogano servizi di pubblica utilità</w:t>
      </w:r>
      <w:r>
        <w:t xml:space="preserve"> e che, </w:t>
      </w:r>
      <w:r w:rsidRPr="004F2061">
        <w:rPr>
          <w:b/>
        </w:rPr>
        <w:t>a qualunque titolo, anche</w:t>
      </w:r>
      <w:r>
        <w:rPr>
          <w:b/>
        </w:rPr>
        <w:t xml:space="preserve"> gratuito</w:t>
      </w:r>
      <w:r>
        <w:t>, occupano o conducono le infrastrutture destinate all’erogazione di servizi quali energia elettrica, gas, acqua, calore, servizi di telecomunicazione, radiotelevisivi e altri servizi a rete.</w:t>
      </w:r>
    </w:p>
    <w:p w14:paraId="46BCCCD1" w14:textId="77777777" w:rsidR="004F2061" w:rsidRDefault="00000000">
      <w:pPr>
        <w:snapToGrid w:val="0"/>
        <w:spacing w:line="360" w:lineRule="auto"/>
        <w:ind w:firstLine="567"/>
        <w:jc w:val="both"/>
      </w:pPr>
      <w:r>
        <w:lastRenderedPageBreak/>
        <w:t xml:space="preserve">Il Legislatore ha </w:t>
      </w:r>
      <w:r>
        <w:rPr>
          <w:b/>
        </w:rPr>
        <w:t>espressamente previsto</w:t>
      </w:r>
      <w:r>
        <w:t xml:space="preserve"> il pagamento del canone anche per i servizi idrici, la cui rete, per espressa previsione normativa (art. 143 D.Lgs. n. 152/2006), è sempre di proprietà pubblica e viene concessa in uso gratuito al gestore del servizio. </w:t>
      </w:r>
    </w:p>
    <w:p w14:paraId="6A1B8B59" w14:textId="77777777" w:rsidR="004F2061" w:rsidRPr="004F2061" w:rsidRDefault="004F2061" w:rsidP="004F2061">
      <w:pPr>
        <w:spacing w:line="360" w:lineRule="auto"/>
        <w:ind w:firstLine="708"/>
        <w:jc w:val="both"/>
      </w:pPr>
      <w:r w:rsidRPr="004F2061">
        <w:t>La stessa formulazione della norma (</w:t>
      </w:r>
      <w:r w:rsidRPr="004F2061">
        <w:rPr>
          <w:i/>
          <w:iCs/>
        </w:rPr>
        <w:t>“Per le occupazioni permanenti del territorio comunale, con cavi e condutture, da chiunque effettuata per la fornitura di servizi di pubblica utilità, quali la distribuzione ed erogazione di energia elettrica, gas, acqua, calore, di servizi di telecomunicazione e radiotelevisivi e di altri servizi a rete, il canone è dovuto dal soggetto titolare dell’atto di concessione dell’occupazione del suolo pubblico e dai soggetti che occupano il suolo pubblico, anche in via mediata, attraverso l’utilizzo materiale delle infrastrutture del soggetto titolare della concessione sulla base del numero delle rispettive utenze moltiplicate per la seguente tariffa forfetaria”</w:t>
      </w:r>
      <w:r w:rsidRPr="004F2061">
        <w:t xml:space="preserve">) — che prevede la soggettività per l’occupazione </w:t>
      </w:r>
      <w:r w:rsidRPr="004F2061">
        <w:rPr>
          <w:b/>
          <w:u w:val="single"/>
        </w:rPr>
        <w:t>da chiunque effettuata</w:t>
      </w:r>
      <w:r w:rsidRPr="004F2061">
        <w:t xml:space="preserve"> — dimostra inequivocabilmente che la gratuità del titolo di utilizzo della rete non incide sulla debenza del canone.</w:t>
      </w:r>
    </w:p>
    <w:p w14:paraId="154303E3" w14:textId="77777777" w:rsidR="008A0D94" w:rsidRPr="004F2061" w:rsidRDefault="00000000">
      <w:pPr>
        <w:snapToGrid w:val="0"/>
        <w:spacing w:line="360" w:lineRule="auto"/>
        <w:ind w:firstLine="708"/>
        <w:jc w:val="both"/>
        <w:rPr>
          <w:b/>
        </w:rPr>
      </w:pPr>
      <w:r w:rsidRPr="004F2061">
        <w:rPr>
          <w:b/>
          <w:u w:val="single"/>
        </w:rPr>
        <w:t>Inapplicabilità dell’esenzione di cui alla lettera a) del comma 833</w:t>
      </w:r>
    </w:p>
    <w:p w14:paraId="46F8E951" w14:textId="76BFF1A2" w:rsidR="008A0D94" w:rsidRDefault="00000000">
      <w:pPr>
        <w:snapToGrid w:val="0"/>
        <w:spacing w:line="360" w:lineRule="auto"/>
        <w:ind w:firstLine="708"/>
        <w:jc w:val="both"/>
      </w:pPr>
      <w:r>
        <w:t xml:space="preserve">UniAcque sostiene di rientrare nell’esenzione di cui all’art. 1, comma 833, lett. a), L. n. 160/2019 – riservata a “Stato, regioni, province, città metropolitane, comuni e loro consorzi” – in quanto </w:t>
      </w:r>
      <w:r w:rsidR="004F2061">
        <w:t xml:space="preserve">sarebbe </w:t>
      </w:r>
      <w:r>
        <w:t xml:space="preserve">società </w:t>
      </w:r>
      <w:r>
        <w:rPr>
          <w:i/>
        </w:rPr>
        <w:t xml:space="preserve">in house </w:t>
      </w:r>
      <w:proofErr w:type="spellStart"/>
      <w:r>
        <w:rPr>
          <w:i/>
        </w:rPr>
        <w:t>providing</w:t>
      </w:r>
      <w:proofErr w:type="spellEnd"/>
      <w:r w:rsidR="004F2061">
        <w:rPr>
          <w:i/>
        </w:rPr>
        <w:t>,</w:t>
      </w:r>
      <w:r>
        <w:t xml:space="preserve"> interamente partecipata dagli enti locali bergamaschi, da considerarsi </w:t>
      </w:r>
      <w:r>
        <w:rPr>
          <w:i/>
        </w:rPr>
        <w:t>longa manus</w:t>
      </w:r>
      <w:r>
        <w:t xml:space="preserve"> degli enti controllanti e, dunque, essa stessa pubblica amministrazione in senso sostanziale.</w:t>
      </w:r>
    </w:p>
    <w:p w14:paraId="3FD099E7" w14:textId="77777777" w:rsidR="004F2061" w:rsidRDefault="00000000">
      <w:pPr>
        <w:snapToGrid w:val="0"/>
        <w:spacing w:line="360" w:lineRule="auto"/>
        <w:ind w:firstLine="708"/>
        <w:jc w:val="both"/>
      </w:pPr>
      <w:r>
        <w:t xml:space="preserve">Tale argomento è giuridicamente infondato per una ragione risolutiva: UniAcque S.p.A. è un soggetto giuridico </w:t>
      </w:r>
      <w:r>
        <w:rPr>
          <w:b/>
        </w:rPr>
        <w:t>autonomo</w:t>
      </w:r>
      <w:r>
        <w:t xml:space="preserve">, dotato di propria personalità giuridica di diritto privato, distinto dagli enti pubblici controllanti. </w:t>
      </w:r>
    </w:p>
    <w:p w14:paraId="561B97B3" w14:textId="3CA5CDAF" w:rsidR="008A0D94" w:rsidRDefault="00000000">
      <w:pPr>
        <w:snapToGrid w:val="0"/>
        <w:spacing w:line="360" w:lineRule="auto"/>
        <w:ind w:firstLine="708"/>
        <w:jc w:val="both"/>
      </w:pPr>
      <w:r>
        <w:t xml:space="preserve">Il modello </w:t>
      </w:r>
      <w:proofErr w:type="spellStart"/>
      <w:r>
        <w:t>dell’</w:t>
      </w:r>
      <w:r>
        <w:rPr>
          <w:i/>
        </w:rPr>
        <w:t>in</w:t>
      </w:r>
      <w:proofErr w:type="spellEnd"/>
      <w:r>
        <w:rPr>
          <w:i/>
        </w:rPr>
        <w:t xml:space="preserve"> house </w:t>
      </w:r>
      <w:proofErr w:type="spellStart"/>
      <w:r>
        <w:rPr>
          <w:i/>
        </w:rPr>
        <w:t>providing</w:t>
      </w:r>
      <w:proofErr w:type="spellEnd"/>
      <w:r>
        <w:t xml:space="preserve"> attiene al regime dell’affidamento e ai rapporti tra società ed ente affidante, non alla soggettività tributaria della società medesima.</w:t>
      </w:r>
    </w:p>
    <w:p w14:paraId="7B978E9B" w14:textId="77777777" w:rsidR="008A0D94" w:rsidRDefault="00000000">
      <w:pPr>
        <w:snapToGrid w:val="0"/>
        <w:spacing w:line="360" w:lineRule="auto"/>
        <w:ind w:firstLine="708"/>
        <w:jc w:val="both"/>
      </w:pPr>
      <w:r>
        <w:t>Su questo punto la Corte di Cassazione è categorica: “</w:t>
      </w:r>
      <w:r>
        <w:rPr>
          <w:i/>
        </w:rPr>
        <w:t>Il controllo pubblico dominante non incide sull’alterità soggettiva della società rispetto all’amministrazione pubblica, in quanto la società in house rappresenta pur sempre un centro di imputazione di rapporti e posizioni giuridiche soggettive diverso dall’ente partecipante</w:t>
      </w:r>
      <w:r>
        <w:t xml:space="preserve">” (Cass. n. 3636 del 12.02.2025; Cass. n. 16866 del 23.06.2025; </w:t>
      </w:r>
      <w:r w:rsidRPr="004F2061">
        <w:rPr>
          <w:b/>
        </w:rPr>
        <w:t>conf. Corte d’Appello Venezia n. 3441/2025</w:t>
      </w:r>
      <w:r>
        <w:t>).</w:t>
      </w:r>
    </w:p>
    <w:p w14:paraId="46D5826B" w14:textId="77777777" w:rsidR="004F2061" w:rsidRDefault="00000000">
      <w:pPr>
        <w:snapToGrid w:val="0"/>
        <w:spacing w:line="360" w:lineRule="auto"/>
        <w:ind w:firstLine="708"/>
        <w:jc w:val="both"/>
      </w:pPr>
      <w:r>
        <w:t xml:space="preserve">L’esenzione non può essere estesa al soggetto gestore del servizio, nemmeno laddove si tratti di affidamento </w:t>
      </w:r>
      <w:r w:rsidRPr="004F2061">
        <w:rPr>
          <w:i/>
        </w:rPr>
        <w:t>in house</w:t>
      </w:r>
      <w:r>
        <w:t xml:space="preserve">. </w:t>
      </w:r>
    </w:p>
    <w:p w14:paraId="0046D5AF" w14:textId="761A7B4A" w:rsidR="008A0D94" w:rsidRDefault="00000000">
      <w:pPr>
        <w:snapToGrid w:val="0"/>
        <w:spacing w:line="360" w:lineRule="auto"/>
        <w:ind w:firstLine="708"/>
        <w:jc w:val="both"/>
      </w:pPr>
      <w:r>
        <w:lastRenderedPageBreak/>
        <w:t xml:space="preserve">In senso conforme si è di recente pronunciata la </w:t>
      </w:r>
      <w:r>
        <w:rPr>
          <w:b/>
        </w:rPr>
        <w:t>Corte d’Appello di Venezia, sent. sez. II n. 84 del 9 marzo 2026</w:t>
      </w:r>
      <w:r>
        <w:t xml:space="preserve">, </w:t>
      </w:r>
      <w:r w:rsidR="004F2061" w:rsidRPr="004F2061">
        <w:rPr>
          <w:b/>
        </w:rPr>
        <w:t>(</w:t>
      </w:r>
      <w:r w:rsidRPr="004F2061">
        <w:rPr>
          <w:b/>
        </w:rPr>
        <w:t xml:space="preserve">su un caso identico </w:t>
      </w:r>
      <w:r w:rsidR="004F2061" w:rsidRPr="004F2061">
        <w:rPr>
          <w:b/>
        </w:rPr>
        <w:t xml:space="preserve">a quello oggetto di giudizio </w:t>
      </w:r>
      <w:r w:rsidRPr="004F2061">
        <w:rPr>
          <w:b/>
        </w:rPr>
        <w:t xml:space="preserve">– gestore idrico </w:t>
      </w:r>
      <w:r w:rsidRPr="004F2061">
        <w:rPr>
          <w:b/>
          <w:i/>
        </w:rPr>
        <w:t>in-house</w:t>
      </w:r>
      <w:r w:rsidR="004F2061" w:rsidRPr="004F2061">
        <w:rPr>
          <w:b/>
          <w:i/>
        </w:rPr>
        <w:t>)</w:t>
      </w:r>
      <w:r>
        <w:t xml:space="preserve"> la quale ha statuito: “</w:t>
      </w:r>
      <w:r>
        <w:rPr>
          <w:i/>
        </w:rPr>
        <w:t>Trattandosi di esenzione, l’ipotesi è di stretta interpretazione e non può essere estesa al soggetto gestore del servizio, nemmeno laddove si tratti di affidamento in house, che, come chiarito dalla giurisprudenza di legittimità, non incide sull’alterità soggettiva della società rispetto all’amministrazione pubblica, in quanto la società in hou</w:t>
      </w:r>
      <w:r>
        <w:rPr>
          <w:i/>
        </w:rPr>
        <w:t>se rappresenta pur sempre un centro di imputazione di rapporti e posizioni giuridiche soggettive diverso dall’ente partecipante, e dunque non si configura l’occupazione diretta “da parte del comune” quale soggetto ex lege esente</w:t>
      </w:r>
      <w:r>
        <w:t xml:space="preserve">” </w:t>
      </w:r>
      <w:r w:rsidRPr="002A0492">
        <w:rPr>
          <w:b/>
        </w:rPr>
        <w:t>(doc. 7</w:t>
      </w:r>
      <w:r>
        <w:t>).</w:t>
      </w:r>
    </w:p>
    <w:p w14:paraId="38805A57" w14:textId="77777777" w:rsidR="008A0D94" w:rsidRDefault="00000000">
      <w:pPr>
        <w:snapToGrid w:val="0"/>
        <w:spacing w:line="360" w:lineRule="auto"/>
        <w:ind w:firstLine="708"/>
        <w:jc w:val="both"/>
      </w:pPr>
      <w:r>
        <w:t xml:space="preserve">Si ricorda, infine, che </w:t>
      </w:r>
      <w:r w:rsidRPr="002A0492">
        <w:rPr>
          <w:u w:val="single"/>
        </w:rPr>
        <w:t xml:space="preserve">le norme di esenzione, in quanto derogatorie della regola generale dell’onerosità, sono di </w:t>
      </w:r>
      <w:r w:rsidRPr="002A0492">
        <w:rPr>
          <w:b/>
          <w:u w:val="single"/>
        </w:rPr>
        <w:t>stretta interpretazione</w:t>
      </w:r>
      <w:r>
        <w:t xml:space="preserve"> e non possono essere applicate al di fuori delle ipotesi espressamente e tassativamente previste, restando preclusa qualsiasi interpretazione analogica o estensiva (Cass. civ., Sez. I, 05.11.2024, n. 28378; Cass. civ., Sez. I, 25.09.2024, n. 25614).</w:t>
      </w:r>
    </w:p>
    <w:p w14:paraId="2F168530" w14:textId="77777777" w:rsidR="008A0D94" w:rsidRDefault="00000000">
      <w:pPr>
        <w:pStyle w:val="Enfasigrassetto1"/>
        <w:snapToGrid w:val="0"/>
        <w:spacing w:line="360" w:lineRule="auto"/>
        <w:ind w:firstLine="708"/>
        <w:jc w:val="both"/>
      </w:pPr>
      <w:r>
        <w:t>2. INSUSSISTENZA DELLA PRETESA ESENZIONE EX ART. 1, COMMA 833, LETTERA D), L. N. 160/2019: LA “RESTITUZIONE” DI BENI GIÀ PUBBLICI NON È “DEVOLUZIONE GRATUITA”</w:t>
      </w:r>
    </w:p>
    <w:p w14:paraId="0E00528A" w14:textId="77777777" w:rsidR="008A0D94" w:rsidRPr="002A0492" w:rsidRDefault="00000000">
      <w:pPr>
        <w:snapToGrid w:val="0"/>
        <w:spacing w:line="360" w:lineRule="auto"/>
        <w:ind w:firstLine="708"/>
        <w:jc w:val="both"/>
        <w:rPr>
          <w:b/>
        </w:rPr>
      </w:pPr>
      <w:r w:rsidRPr="002A0492">
        <w:rPr>
          <w:b/>
          <w:u w:val="single"/>
        </w:rPr>
        <w:t>Inapplicabilità dell’esenzione per devoluzione gratuita</w:t>
      </w:r>
    </w:p>
    <w:p w14:paraId="3D6B3247" w14:textId="576732C2" w:rsidR="008A0D94" w:rsidRDefault="00000000">
      <w:pPr>
        <w:snapToGrid w:val="0"/>
        <w:spacing w:line="360" w:lineRule="auto"/>
        <w:ind w:firstLine="708"/>
        <w:jc w:val="both"/>
      </w:pPr>
      <w:proofErr w:type="spellStart"/>
      <w:r>
        <w:t>UniAcque</w:t>
      </w:r>
      <w:proofErr w:type="spellEnd"/>
      <w:r>
        <w:t xml:space="preserve"> invoca</w:t>
      </w:r>
      <w:r w:rsidR="002A0492">
        <w:t>, anche,</w:t>
      </w:r>
      <w:r>
        <w:t xml:space="preserve"> l’esenzione di cui all’art. 1, comma 833, lett. d), L. n. 160/2019, che esenta dal canone “</w:t>
      </w:r>
      <w:r>
        <w:rPr>
          <w:i/>
        </w:rPr>
        <w:t xml:space="preserve">d) le occupazioni con impianti adibiti ai servizi pubblici nei casi in cui ne sia prevista, all’atto della concessione o successivamente, la </w:t>
      </w:r>
      <w:r w:rsidRPr="002A0492">
        <w:rPr>
          <w:b/>
          <w:i/>
          <w:u w:val="single"/>
        </w:rPr>
        <w:t>devoluzione gratuita al comune al termine della concessione medesima</w:t>
      </w:r>
      <w:r>
        <w:t>”.</w:t>
      </w:r>
    </w:p>
    <w:p w14:paraId="5474A5D5" w14:textId="0015FBD9" w:rsidR="008A0D94" w:rsidRDefault="002A0492">
      <w:pPr>
        <w:snapToGrid w:val="0"/>
        <w:spacing w:line="360" w:lineRule="auto"/>
        <w:ind w:firstLine="708"/>
        <w:jc w:val="both"/>
      </w:pPr>
      <w:r>
        <w:t>Ebbene, l’affermazione c</w:t>
      </w:r>
      <w:r w:rsidR="00000000">
        <w:t xml:space="preserve">he </w:t>
      </w:r>
      <w:proofErr w:type="spellStart"/>
      <w:r w:rsidR="00000000">
        <w:t>UniAcque</w:t>
      </w:r>
      <w:proofErr w:type="spellEnd"/>
      <w:r w:rsidR="00000000">
        <w:t xml:space="preserve"> non sarebbe tenuta al pagamento del Canone Unico, in virtù d</w:t>
      </w:r>
      <w:r>
        <w:t xml:space="preserve">ella suddetta </w:t>
      </w:r>
      <w:r w:rsidR="00000000">
        <w:t>esenzione, muove da un’interpretazione non corretta della norma.</w:t>
      </w:r>
    </w:p>
    <w:p w14:paraId="4016C281" w14:textId="77777777" w:rsidR="002A0492" w:rsidRDefault="00000000">
      <w:pPr>
        <w:snapToGrid w:val="0"/>
        <w:spacing w:line="360" w:lineRule="auto"/>
        <w:ind w:firstLine="708"/>
        <w:jc w:val="both"/>
      </w:pPr>
      <w:r>
        <w:t xml:space="preserve">Ed infatti, l’esenzione in parola presuppone necessariamente che il </w:t>
      </w:r>
      <w:r w:rsidRPr="002A0492">
        <w:rPr>
          <w:b/>
          <w:u w:val="single"/>
        </w:rPr>
        <w:t>concessionario abbia realizzato impianti di propria pertinenza e a proprie spese, destinati ad essere devoluti gratuitamente al Comune al termine del rapporto concessorio.</w:t>
      </w:r>
      <w:r>
        <w:t xml:space="preserve"> </w:t>
      </w:r>
    </w:p>
    <w:p w14:paraId="1A0AC6A1" w14:textId="666B5E8A" w:rsidR="008A0D94" w:rsidRDefault="00000000">
      <w:pPr>
        <w:snapToGrid w:val="0"/>
        <w:spacing w:line="360" w:lineRule="auto"/>
        <w:ind w:firstLine="708"/>
        <w:jc w:val="both"/>
      </w:pPr>
      <w:r>
        <w:t xml:space="preserve">La </w:t>
      </w:r>
      <w:r>
        <w:rPr>
          <w:i/>
        </w:rPr>
        <w:t>ratio</w:t>
      </w:r>
      <w:r>
        <w:t xml:space="preserve"> della norma risiede nel fatto che, a fronte del </w:t>
      </w:r>
      <w:r w:rsidRPr="002A0492">
        <w:rPr>
          <w:u w:val="single"/>
        </w:rPr>
        <w:t>sacrificio patrimoniale</w:t>
      </w:r>
      <w:r>
        <w:t xml:space="preserve"> sopportato dal concessionario che rinuncia senza compenso ai propri impianti, viene meno il presupposto essenziale per l’applicazione del canone: il </w:t>
      </w:r>
      <w:r w:rsidRPr="002A0492">
        <w:rPr>
          <w:b/>
          <w:u w:val="single"/>
        </w:rPr>
        <w:t>beneficio arrecato all’ente con la devoluzione gratuita di infrastrutture realizzate dalla società di gestione giustifica l’esonero dal canone durante il rapporto</w:t>
      </w:r>
      <w:r>
        <w:t xml:space="preserve"> (cfr. Cass. sez. trib. n. 15247/2012).</w:t>
      </w:r>
    </w:p>
    <w:p w14:paraId="2A72D7B2" w14:textId="77777777" w:rsidR="008A0D94" w:rsidRDefault="00000000">
      <w:pPr>
        <w:snapToGrid w:val="0"/>
        <w:spacing w:line="360" w:lineRule="auto"/>
        <w:ind w:firstLine="708"/>
        <w:jc w:val="both"/>
      </w:pPr>
      <w:r>
        <w:rPr>
          <w:b/>
        </w:rPr>
        <w:lastRenderedPageBreak/>
        <w:t>Nel caso di specie, tale presupposto è radicalmente assente.</w:t>
      </w:r>
    </w:p>
    <w:p w14:paraId="194378E3" w14:textId="77777777" w:rsidR="002A0492" w:rsidRDefault="00000000">
      <w:pPr>
        <w:snapToGrid w:val="0"/>
        <w:spacing w:line="360" w:lineRule="auto"/>
        <w:ind w:firstLine="708"/>
        <w:jc w:val="both"/>
      </w:pPr>
      <w:r>
        <w:t xml:space="preserve">Le reti idriche e fognarie utilizzate da UniAcque non sono di sua proprietà, bensì sono già di proprietà pubblica degli enti locali ai sensi dell’art. 143 D.Lgs. n. 152/2006, e le stesse vengono semplicemente </w:t>
      </w:r>
      <w:r>
        <w:rPr>
          <w:b/>
        </w:rPr>
        <w:t>concesse in uso gratuito</w:t>
      </w:r>
      <w:r>
        <w:t xml:space="preserve"> al Gestore ai sensi dell’art. 153 del medesimo decreto.</w:t>
      </w:r>
    </w:p>
    <w:p w14:paraId="12C98CE7" w14:textId="4430A555" w:rsidR="008A0D94" w:rsidRDefault="00000000">
      <w:pPr>
        <w:snapToGrid w:val="0"/>
        <w:spacing w:line="360" w:lineRule="auto"/>
        <w:ind w:firstLine="708"/>
        <w:jc w:val="both"/>
      </w:pPr>
      <w:r>
        <w:t xml:space="preserve"> Al termine dell’affidamento, tali beni verranno </w:t>
      </w:r>
      <w:r>
        <w:rPr>
          <w:b/>
          <w:u w:val="single"/>
        </w:rPr>
        <w:t>restituiti</w:t>
      </w:r>
      <w:r>
        <w:t xml:space="preserve">, </w:t>
      </w:r>
      <w:r>
        <w:rPr>
          <w:b/>
          <w:u w:val="single"/>
        </w:rPr>
        <w:t>non devoluti</w:t>
      </w:r>
      <w:r>
        <w:t xml:space="preserve">: si tratta di una </w:t>
      </w:r>
      <w:r w:rsidRPr="002A0492">
        <w:rPr>
          <w:u w:val="single"/>
        </w:rPr>
        <w:t>restituzione di beni già altrui e non di una cessione di beni propri da parte di UniAcque al Comune</w:t>
      </w:r>
      <w:r>
        <w:t>.</w:t>
      </w:r>
    </w:p>
    <w:p w14:paraId="592F2719" w14:textId="77777777" w:rsidR="008A0D94" w:rsidRPr="00285EA9" w:rsidRDefault="00000000">
      <w:pPr>
        <w:snapToGrid w:val="0"/>
        <w:spacing w:line="360" w:lineRule="auto"/>
        <w:ind w:firstLine="708"/>
        <w:jc w:val="both"/>
        <w:rPr>
          <w:b/>
        </w:rPr>
      </w:pPr>
      <w:r w:rsidRPr="00285EA9">
        <w:rPr>
          <w:b/>
          <w:u w:val="single"/>
        </w:rPr>
        <w:t>La stessa Convenzione richiamata da UniAcque è univoca sul punto</w:t>
      </w:r>
    </w:p>
    <w:p w14:paraId="2CDD0E57" w14:textId="77777777" w:rsidR="00285EA9" w:rsidRDefault="00000000">
      <w:pPr>
        <w:snapToGrid w:val="0"/>
        <w:spacing w:line="360" w:lineRule="auto"/>
        <w:ind w:firstLine="708"/>
        <w:jc w:val="both"/>
      </w:pPr>
      <w:r>
        <w:t>Come</w:t>
      </w:r>
      <w:r w:rsidR="00285EA9">
        <w:t>, già,</w:t>
      </w:r>
      <w:r>
        <w:t xml:space="preserve"> </w:t>
      </w:r>
      <w:r w:rsidR="00285EA9">
        <w:t xml:space="preserve">evidenziato </w:t>
      </w:r>
      <w:r>
        <w:t>Archivia Solution nella propria replica del 22 ottobre 2025, lo stesso Disciplinare Tecnico allegato alla Convenzione di affidamento – richiamata da UniAcque a proprio favore – alla lettera P stabilisce espressamente che “</w:t>
      </w:r>
      <w:r>
        <w:rPr>
          <w:i/>
        </w:rPr>
        <w:t xml:space="preserve">i beni oggetto della concessione, al termine della stessa o in caso di interruzione anticipata nei casi previsti dalla Convenzione in essere tra il concessionario e l’Ufficio d’Ambito, verranno </w:t>
      </w:r>
      <w:r w:rsidRPr="00285EA9">
        <w:rPr>
          <w:b/>
          <w:i/>
          <w:u w:val="single"/>
        </w:rPr>
        <w:t>restituiti</w:t>
      </w:r>
      <w:r>
        <w:rPr>
          <w:i/>
        </w:rPr>
        <w:t xml:space="preserve"> da Uniacque SpA al concedente</w:t>
      </w:r>
      <w:r>
        <w:t xml:space="preserve">”. </w:t>
      </w:r>
    </w:p>
    <w:p w14:paraId="00FBD83B" w14:textId="5EB6FB8C" w:rsidR="008A0D94" w:rsidRDefault="00000000">
      <w:pPr>
        <w:snapToGrid w:val="0"/>
        <w:spacing w:line="360" w:lineRule="auto"/>
        <w:ind w:firstLine="708"/>
        <w:jc w:val="both"/>
      </w:pPr>
      <w:r>
        <w:t xml:space="preserve">Il verbo utilizzato è </w:t>
      </w:r>
      <w:r>
        <w:rPr>
          <w:b/>
        </w:rPr>
        <w:t>“restituire”</w:t>
      </w:r>
      <w:r>
        <w:t xml:space="preserve">, </w:t>
      </w:r>
      <w:r w:rsidRPr="00285EA9">
        <w:rPr>
          <w:u w:val="single"/>
        </w:rPr>
        <w:t>non “devolvere</w:t>
      </w:r>
      <w:r>
        <w:t>”: distinzione lessicale che riflette esattamente la differenza giuridica tra la riconsegna di beni altrui e la cessione di beni propri.</w:t>
      </w:r>
    </w:p>
    <w:p w14:paraId="58A3035C" w14:textId="77777777" w:rsidR="008A0D94" w:rsidRPr="00285EA9" w:rsidRDefault="00000000">
      <w:pPr>
        <w:snapToGrid w:val="0"/>
        <w:spacing w:line="360" w:lineRule="auto"/>
        <w:ind w:firstLine="708"/>
        <w:jc w:val="both"/>
        <w:rPr>
          <w:b/>
          <w:u w:val="single"/>
        </w:rPr>
      </w:pPr>
      <w:r>
        <w:t>Lo stesso art. 27 del Disciplinare Tecnico, nel prevedere l’esclusione dell’applicazione di tributi a carico di UniAcque, fa comunque espressamente “</w:t>
      </w:r>
      <w:r>
        <w:rPr>
          <w:u w:val="single"/>
        </w:rPr>
        <w:t>salve le previsioni di cui all’art. 47 della Convenzione di Gestione e ogni diversa disposizione di legge o regolamento normativo</w:t>
      </w:r>
      <w:r>
        <w:t xml:space="preserve">”, con ciò confermando che </w:t>
      </w:r>
      <w:r w:rsidRPr="00285EA9">
        <w:rPr>
          <w:b/>
          <w:u w:val="single"/>
        </w:rPr>
        <w:t>nessuna clausola convenzionale può prevalere su una disposizione di legge.</w:t>
      </w:r>
    </w:p>
    <w:p w14:paraId="00C4B58C" w14:textId="501CEAE8" w:rsidR="008A0D94" w:rsidRDefault="00000000">
      <w:pPr>
        <w:snapToGrid w:val="0"/>
        <w:spacing w:line="360" w:lineRule="auto"/>
        <w:ind w:firstLine="708"/>
        <w:jc w:val="both"/>
      </w:pPr>
      <w:r>
        <w:rPr>
          <w:u w:val="single"/>
        </w:rPr>
        <w:t xml:space="preserve">La giurisprudenza </w:t>
      </w:r>
      <w:r w:rsidR="00285EA9">
        <w:rPr>
          <w:u w:val="single"/>
        </w:rPr>
        <w:t xml:space="preserve">sul punto </w:t>
      </w:r>
      <w:r>
        <w:rPr>
          <w:u w:val="single"/>
        </w:rPr>
        <w:t>è univoca</w:t>
      </w:r>
    </w:p>
    <w:p w14:paraId="157561A0" w14:textId="39CB3BD8" w:rsidR="008A0D94" w:rsidRDefault="00285EA9">
      <w:pPr>
        <w:snapToGrid w:val="0"/>
        <w:spacing w:line="360" w:lineRule="auto"/>
        <w:ind w:firstLine="708"/>
        <w:jc w:val="both"/>
      </w:pPr>
      <w:proofErr w:type="gramStart"/>
      <w:r>
        <w:t>E’</w:t>
      </w:r>
      <w:proofErr w:type="gramEnd"/>
      <w:r>
        <w:t xml:space="preserve"> stato, infatti, ribadito </w:t>
      </w:r>
      <w:proofErr w:type="gramStart"/>
      <w:r>
        <w:t xml:space="preserve">che </w:t>
      </w:r>
      <w:r w:rsidR="00000000">
        <w:t>:</w:t>
      </w:r>
      <w:proofErr w:type="gramEnd"/>
      <w:r w:rsidR="00000000">
        <w:t xml:space="preserve"> “</w:t>
      </w:r>
      <w:r w:rsidR="00000000">
        <w:rPr>
          <w:i/>
        </w:rPr>
        <w:t>non è gratuita la devoluzione di un impianto che già era di proprietà dell’ente, trattandosi di mera restituzione</w:t>
      </w:r>
      <w:r w:rsidR="00000000">
        <w:t xml:space="preserve">” (Tribunale di Rovigo, 22 novembre 2024, </w:t>
      </w:r>
      <w:r w:rsidR="00000000" w:rsidRPr="00285EA9">
        <w:rPr>
          <w:b/>
        </w:rPr>
        <w:t>doc. 8</w:t>
      </w:r>
      <w:r w:rsidR="00000000">
        <w:t>).</w:t>
      </w:r>
    </w:p>
    <w:p w14:paraId="532EFF95" w14:textId="77777777" w:rsidR="008A0D94" w:rsidRDefault="00000000">
      <w:pPr>
        <w:snapToGrid w:val="0"/>
        <w:spacing w:line="360" w:lineRule="auto"/>
        <w:ind w:firstLine="708"/>
        <w:jc w:val="both"/>
      </w:pPr>
      <w:r>
        <w:t>Nello stesso senso si è espressa la Corte di Giustizia Tributaria di secondo grado dell’Emilia-Romagna con sentenza n. 526/2024: “</w:t>
      </w:r>
      <w:r>
        <w:rPr>
          <w:i/>
        </w:rPr>
        <w:t>la devoluzione gratuita va intesa in senso letterale: gratuito vuol dire gratuito; al Comune vuol dire al Comune</w:t>
      </w:r>
      <w:r>
        <w:t>”, ribadendo la natura tassativa delle ipotesi di esenzione (</w:t>
      </w:r>
      <w:r w:rsidRPr="00285EA9">
        <w:rPr>
          <w:b/>
        </w:rPr>
        <w:t>doc. 9</w:t>
      </w:r>
      <w:r>
        <w:t>).</w:t>
      </w:r>
    </w:p>
    <w:p w14:paraId="4D0FCEE8" w14:textId="77777777" w:rsidR="008A0D94" w:rsidRDefault="00000000">
      <w:pPr>
        <w:snapToGrid w:val="0"/>
        <w:spacing w:line="360" w:lineRule="auto"/>
        <w:ind w:firstLine="708"/>
        <w:jc w:val="both"/>
      </w:pPr>
      <w:r>
        <w:t xml:space="preserve">La </w:t>
      </w:r>
      <w:r w:rsidRPr="00285EA9">
        <w:rPr>
          <w:b/>
        </w:rPr>
        <w:t>Corte d’Appello di Venezia, sent. n. 3441/2025</w:t>
      </w:r>
      <w:r>
        <w:t xml:space="preserve">, pronunciata su un caso del tutto analogo (gestore idrico in-house), ha definitivamente statuito che la restituzione di beni già di proprietà pubblica non integra mai il presupposto della </w:t>
      </w:r>
      <w:r>
        <w:lastRenderedPageBreak/>
        <w:t>devoluzione gratuita di cui alla lett. d) e che la soggettività passiva al CUP sussiste anche per i gestori in-house (</w:t>
      </w:r>
      <w:r w:rsidRPr="00285EA9">
        <w:rPr>
          <w:b/>
        </w:rPr>
        <w:t>doc. 7</w:t>
      </w:r>
      <w:r>
        <w:t>).</w:t>
      </w:r>
    </w:p>
    <w:p w14:paraId="72817F5B" w14:textId="77777777" w:rsidR="008A0D94" w:rsidRDefault="00000000">
      <w:pPr>
        <w:pStyle w:val="Enfasigrassetto1"/>
        <w:snapToGrid w:val="0"/>
        <w:spacing w:line="360" w:lineRule="auto"/>
        <w:ind w:firstLine="708"/>
        <w:jc w:val="both"/>
      </w:pPr>
      <w:r>
        <w:t>3. IRRILEVANZA DELL’ARGOMENTO TARIFFARIO E INAMMISSIBILITÀ DELLA DEROGA CONVENZIONALE ALL’OBBLIGO LEGALE</w:t>
      </w:r>
    </w:p>
    <w:p w14:paraId="6CFFC788" w14:textId="77777777" w:rsidR="008A0D94" w:rsidRDefault="00000000">
      <w:pPr>
        <w:snapToGrid w:val="0"/>
        <w:spacing w:line="360" w:lineRule="auto"/>
        <w:ind w:firstLine="708"/>
        <w:jc w:val="both"/>
      </w:pPr>
      <w:r>
        <w:rPr>
          <w:u w:val="single"/>
        </w:rPr>
        <w:t>Irrilevanza dell’argomento del “ribaltamento tariffario”</w:t>
      </w:r>
    </w:p>
    <w:p w14:paraId="2B96A7D1" w14:textId="77777777" w:rsidR="008A0D94" w:rsidRDefault="00000000">
      <w:pPr>
        <w:snapToGrid w:val="0"/>
        <w:spacing w:line="360" w:lineRule="auto"/>
        <w:ind w:firstLine="708"/>
        <w:jc w:val="both"/>
      </w:pPr>
      <w:r>
        <w:t>UniAcque sostiene che, ove per assurdo fosse tenuta al pagamento del CUP a ciascun Comune della Provincia di Bergamo, tale pagamento diverrebbe parte dei costi di gestione inevitabilmente ribaltati sulle tariffe dei cittadini utenti.</w:t>
      </w:r>
    </w:p>
    <w:p w14:paraId="513C7D0E" w14:textId="77777777" w:rsidR="00FC0FA8" w:rsidRDefault="00000000">
      <w:pPr>
        <w:snapToGrid w:val="0"/>
        <w:spacing w:line="360" w:lineRule="auto"/>
        <w:ind w:firstLine="708"/>
        <w:jc w:val="both"/>
      </w:pPr>
      <w:r>
        <w:t xml:space="preserve">Tale argomento è del tutto irrilevante sul piano giuridico: si tratta di una considerazione di politica economica, non di un argomento normativo o giurisprudenziale che incida sulla sussistenza del presupposto impositivo o sull’applicabilità delle esenzioni. </w:t>
      </w:r>
    </w:p>
    <w:p w14:paraId="4DB0B6B2" w14:textId="507C725F" w:rsidR="008A0D94" w:rsidRDefault="00000000">
      <w:pPr>
        <w:snapToGrid w:val="0"/>
        <w:spacing w:line="360" w:lineRule="auto"/>
        <w:ind w:firstLine="708"/>
        <w:jc w:val="both"/>
      </w:pPr>
      <w:r>
        <w:t>È principio generale che i costi operativi del gestore, inclusi quelli tributari, vengano recuperati attraverso la tariffa regolata da ARERA: ma questo è un rapporto tra UniAcque e la sua utenza, che non incide in alcun modo sul rapporto tributario tra UniAcque e il Comune.</w:t>
      </w:r>
    </w:p>
    <w:p w14:paraId="0F5DA63B" w14:textId="77777777" w:rsidR="008A0D94" w:rsidRPr="00FC0FA8" w:rsidRDefault="00000000">
      <w:pPr>
        <w:snapToGrid w:val="0"/>
        <w:spacing w:line="360" w:lineRule="auto"/>
        <w:ind w:firstLine="708"/>
        <w:jc w:val="both"/>
        <w:rPr>
          <w:b/>
        </w:rPr>
      </w:pPr>
      <w:r w:rsidRPr="00FC0FA8">
        <w:rPr>
          <w:b/>
          <w:u w:val="single"/>
        </w:rPr>
        <w:t>Inammissibilità della deroga convenzionale all’obbligo di legge</w:t>
      </w:r>
    </w:p>
    <w:p w14:paraId="16BED790" w14:textId="06B7779F" w:rsidR="008A0D94" w:rsidRDefault="00FC0FA8">
      <w:pPr>
        <w:snapToGrid w:val="0"/>
        <w:spacing w:line="360" w:lineRule="auto"/>
        <w:ind w:firstLine="708"/>
        <w:jc w:val="both"/>
      </w:pPr>
      <w:r>
        <w:t xml:space="preserve">Come visto, </w:t>
      </w:r>
      <w:proofErr w:type="spellStart"/>
      <w:r w:rsidR="00000000">
        <w:t>UniAcque</w:t>
      </w:r>
      <w:proofErr w:type="spellEnd"/>
      <w:r w:rsidR="00000000">
        <w:t xml:space="preserve"> richiama, a sostegno della propria tesi, l’art. 27, lettera h, del Disciplinare Tecnico allegato alla Convenzione di affidamento, nonché il contratto di concessione d’uso gratuita delle infrastrutture del SII sottoscritto con il Comune di Capriate San Gervasio in data 11 aprile 2024, con cui l’ente concedente esclude l’applicazione di tributi a carico del concessionario.</w:t>
      </w:r>
    </w:p>
    <w:p w14:paraId="62FF2A58" w14:textId="77777777" w:rsidR="00FC0FA8" w:rsidRDefault="00000000">
      <w:pPr>
        <w:snapToGrid w:val="0"/>
        <w:spacing w:line="360" w:lineRule="auto"/>
        <w:ind w:firstLine="708"/>
        <w:jc w:val="both"/>
      </w:pPr>
      <w:r>
        <w:t xml:space="preserve">Tale clausola contrattuale è inidonea a derogare a una norma imperativa di legge. </w:t>
      </w:r>
      <w:r>
        <w:rPr>
          <w:b/>
        </w:rPr>
        <w:t>Nessuna convenzione di diritto privato – ancorché tra soggetti pubblici – può esonerare un soggetto passivo da un obbligo imposto dalla legge</w:t>
      </w:r>
      <w:r>
        <w:t xml:space="preserve">: il </w:t>
      </w:r>
      <w:r w:rsidRPr="00FC0FA8">
        <w:rPr>
          <w:b/>
          <w:u w:val="single"/>
        </w:rPr>
        <w:t>principio di riserva di legge</w:t>
      </w:r>
      <w:r>
        <w:t xml:space="preserve"> in materia di entrate pubbliche preclude che un atto negoziale produca tale effetto. </w:t>
      </w:r>
    </w:p>
    <w:p w14:paraId="326076A5" w14:textId="4774B2E1" w:rsidR="008A0D94" w:rsidRDefault="00000000">
      <w:pPr>
        <w:snapToGrid w:val="0"/>
        <w:spacing w:line="360" w:lineRule="auto"/>
        <w:ind w:firstLine="708"/>
        <w:jc w:val="both"/>
      </w:pPr>
      <w:r>
        <w:t>Qualunque tipo di agevolazione in materia fiscale deve trovare previsione nella Legge o nei singoli Regolamenti degli Enti locali; non è possibile accordare specifiche esenzioni ad alcuni soggetti, fisici o giuridici, contenute in atti di convenzione.</w:t>
      </w:r>
    </w:p>
    <w:p w14:paraId="39B46EC9" w14:textId="77777777" w:rsidR="008A0D94" w:rsidRDefault="00000000">
      <w:pPr>
        <w:snapToGrid w:val="0"/>
        <w:spacing w:line="360" w:lineRule="auto"/>
        <w:ind w:firstLine="708"/>
        <w:jc w:val="both"/>
      </w:pPr>
      <w:r>
        <w:t xml:space="preserve">D’altra parte, lo stesso art. 27 del Disciplinare Tecnico, nel prevedere l’esclusione dell’applicazione di tributi a carico di UniAcque, fa espressamente </w:t>
      </w:r>
      <w:r w:rsidRPr="00FC0FA8">
        <w:rPr>
          <w:i/>
        </w:rPr>
        <w:t>“</w:t>
      </w:r>
      <w:r w:rsidRPr="00FC0FA8">
        <w:rPr>
          <w:i/>
          <w:u w:val="single"/>
        </w:rPr>
        <w:t>salve le previsioni di cui all’art. 47 della Convenzione di Gestione e ogni diversa disposizione di legge o regolamento normativo</w:t>
      </w:r>
      <w:r w:rsidRPr="00FC0FA8">
        <w:rPr>
          <w:i/>
        </w:rPr>
        <w:t>”</w:t>
      </w:r>
      <w:r>
        <w:t>, con ciò confermando che nessuna clausola pattizia può prevalere sul comma 831 della L. n. 160/2019.</w:t>
      </w:r>
    </w:p>
    <w:p w14:paraId="5A0ADC80" w14:textId="77777777" w:rsidR="008A0D94" w:rsidRDefault="00000000">
      <w:pPr>
        <w:snapToGrid w:val="0"/>
        <w:spacing w:line="360" w:lineRule="auto"/>
        <w:ind w:firstLine="567"/>
        <w:jc w:val="both"/>
      </w:pPr>
      <w:r>
        <w:lastRenderedPageBreak/>
        <w:t xml:space="preserve">Per tutto quanto innanzi dedotto ed eccepito si rassegnano le seguenti </w:t>
      </w:r>
    </w:p>
    <w:p w14:paraId="6DB9FF47" w14:textId="77777777" w:rsidR="008A0D94" w:rsidRDefault="00000000">
      <w:pPr>
        <w:pStyle w:val="Enfasigrassetto1"/>
        <w:snapToGrid w:val="0"/>
        <w:spacing w:line="360" w:lineRule="auto"/>
        <w:jc w:val="center"/>
      </w:pPr>
      <w:r>
        <w:t>CONCLUSIONI</w:t>
      </w:r>
    </w:p>
    <w:p w14:paraId="13832C66" w14:textId="77777777" w:rsidR="008A0D94" w:rsidRDefault="00000000">
      <w:pPr>
        <w:snapToGrid w:val="0"/>
        <w:spacing w:line="360" w:lineRule="auto"/>
        <w:ind w:firstLine="708"/>
        <w:jc w:val="both"/>
      </w:pPr>
      <w:r>
        <w:t>Il Comune di Capriate San Gervasio chiede che l’Ill.mo Tribunale adito voglia:</w:t>
      </w:r>
    </w:p>
    <w:p w14:paraId="2A4B0439" w14:textId="77777777" w:rsidR="008A0D94" w:rsidRDefault="00000000">
      <w:pPr>
        <w:pStyle w:val="Paragrafoelenco"/>
        <w:numPr>
          <w:ilvl w:val="0"/>
          <w:numId w:val="3"/>
        </w:numPr>
        <w:snapToGrid w:val="0"/>
        <w:spacing w:line="360" w:lineRule="auto"/>
        <w:ind w:left="0"/>
        <w:jc w:val="both"/>
      </w:pPr>
      <w:r>
        <w:t>rigettare integralmente l’opposizione proposta da UniAcque S.p.A.;</w:t>
      </w:r>
    </w:p>
    <w:p w14:paraId="1AEDB6E8" w14:textId="77777777" w:rsidR="008A0D94" w:rsidRDefault="00000000">
      <w:pPr>
        <w:pStyle w:val="Paragrafoelenco"/>
        <w:numPr>
          <w:ilvl w:val="0"/>
          <w:numId w:val="3"/>
        </w:numPr>
        <w:snapToGrid w:val="0"/>
        <w:spacing w:line="360" w:lineRule="auto"/>
        <w:ind w:left="0"/>
        <w:jc w:val="both"/>
      </w:pPr>
      <w:r>
        <w:t>confermare la piena legittimità dell’avviso di accertamento esecutivo n. 1 del 30 dicembre 2025, emesso dal Comune di Capriate San Gervasio a titolo di Canone Unico Patrimoniale per gli anni 2021-2024;</w:t>
      </w:r>
    </w:p>
    <w:p w14:paraId="2C8E9E9A" w14:textId="77777777" w:rsidR="008A0D94" w:rsidRDefault="00000000">
      <w:pPr>
        <w:pStyle w:val="Paragrafoelenco"/>
        <w:numPr>
          <w:ilvl w:val="0"/>
          <w:numId w:val="3"/>
        </w:numPr>
        <w:snapToGrid w:val="0"/>
        <w:spacing w:line="360" w:lineRule="auto"/>
        <w:ind w:left="0"/>
        <w:jc w:val="both"/>
      </w:pPr>
      <w:r>
        <w:t>condannare la parte attrice-opponente al pagamento delle spese del presente giudizio.</w:t>
      </w:r>
    </w:p>
    <w:p w14:paraId="766735E3" w14:textId="77777777" w:rsidR="008A0D94" w:rsidRDefault="008A0D94">
      <w:pPr>
        <w:snapToGrid w:val="0"/>
        <w:spacing w:line="360" w:lineRule="auto"/>
      </w:pPr>
    </w:p>
    <w:p w14:paraId="708B2B4A" w14:textId="77777777" w:rsidR="008A0D94" w:rsidRDefault="00000000">
      <w:pPr>
        <w:snapToGrid w:val="0"/>
        <w:spacing w:line="360" w:lineRule="auto"/>
        <w:ind w:firstLine="708"/>
        <w:jc w:val="both"/>
      </w:pPr>
      <w:r>
        <w:t>Si depositano i seguenti documenti:</w:t>
      </w:r>
    </w:p>
    <w:p w14:paraId="2608B064" w14:textId="77777777" w:rsidR="008A0D94" w:rsidRDefault="00000000">
      <w:pPr>
        <w:pStyle w:val="Paragrafoelenco"/>
        <w:numPr>
          <w:ilvl w:val="0"/>
          <w:numId w:val="2"/>
        </w:numPr>
        <w:snapToGrid w:val="0"/>
        <w:spacing w:line="360" w:lineRule="auto"/>
        <w:ind w:left="0"/>
        <w:jc w:val="both"/>
      </w:pPr>
      <w:r>
        <w:t>Atto di citazione notificato al Comune di Capriate San Gervasio in data 27 marzo 2026.</w:t>
      </w:r>
    </w:p>
    <w:p w14:paraId="3663C592" w14:textId="77777777" w:rsidR="008A0D94" w:rsidRDefault="00000000">
      <w:pPr>
        <w:pStyle w:val="Paragrafoelenco"/>
        <w:numPr>
          <w:ilvl w:val="0"/>
          <w:numId w:val="2"/>
        </w:numPr>
        <w:snapToGrid w:val="0"/>
        <w:spacing w:line="360" w:lineRule="auto"/>
        <w:ind w:left="0"/>
        <w:jc w:val="both"/>
      </w:pPr>
      <w:r>
        <w:t>Avviso di accertamento esecutivo n. 1 del 30 dicembre 2025.</w:t>
      </w:r>
    </w:p>
    <w:p w14:paraId="2C9F3254" w14:textId="77777777" w:rsidR="008A0D94" w:rsidRDefault="00000000">
      <w:pPr>
        <w:pStyle w:val="Paragrafoelenco"/>
        <w:numPr>
          <w:ilvl w:val="0"/>
          <w:numId w:val="2"/>
        </w:numPr>
        <w:snapToGrid w:val="0"/>
        <w:spacing w:line="360" w:lineRule="auto"/>
        <w:ind w:left="0"/>
        <w:jc w:val="both"/>
      </w:pPr>
      <w:r>
        <w:t>Determina n. 357 del 26/06/2025 di affidamento incarico ad Archivia Solution S.p.A.</w:t>
      </w:r>
    </w:p>
    <w:p w14:paraId="725A9482" w14:textId="77777777" w:rsidR="008A0D94" w:rsidRDefault="00000000">
      <w:pPr>
        <w:pStyle w:val="Paragrafoelenco"/>
        <w:numPr>
          <w:ilvl w:val="0"/>
          <w:numId w:val="2"/>
        </w:numPr>
        <w:snapToGrid w:val="0"/>
        <w:spacing w:line="360" w:lineRule="auto"/>
        <w:ind w:left="0"/>
        <w:jc w:val="both"/>
      </w:pPr>
      <w:r>
        <w:t>Lettera Archivia Solution del 18 settembre 2025 (richiesta dichiarazione utenze e versamenti).</w:t>
      </w:r>
    </w:p>
    <w:p w14:paraId="180030D2" w14:textId="77777777" w:rsidR="008A0D94" w:rsidRDefault="00000000">
      <w:pPr>
        <w:pStyle w:val="Paragrafoelenco"/>
        <w:numPr>
          <w:ilvl w:val="0"/>
          <w:numId w:val="2"/>
        </w:numPr>
        <w:snapToGrid w:val="0"/>
        <w:spacing w:line="360" w:lineRule="auto"/>
        <w:ind w:left="0"/>
        <w:jc w:val="both"/>
      </w:pPr>
      <w:r>
        <w:t>Riscontro UniAcque S.p.A. del 6 ottobre 2025 (prot. n. 22847/25 – 0246ST/nv).</w:t>
      </w:r>
    </w:p>
    <w:p w14:paraId="5A5DA9DA" w14:textId="77777777" w:rsidR="008A0D94" w:rsidRDefault="00000000">
      <w:pPr>
        <w:pStyle w:val="Paragrafoelenco"/>
        <w:numPr>
          <w:ilvl w:val="0"/>
          <w:numId w:val="2"/>
        </w:numPr>
        <w:snapToGrid w:val="0"/>
        <w:spacing w:line="360" w:lineRule="auto"/>
        <w:ind w:left="0"/>
        <w:jc w:val="both"/>
      </w:pPr>
      <w:r>
        <w:t>Replica Archivia Solution del 22 ottobre 2025.</w:t>
      </w:r>
    </w:p>
    <w:p w14:paraId="5649E790" w14:textId="77777777" w:rsidR="008A0D94" w:rsidRDefault="00000000">
      <w:pPr>
        <w:pStyle w:val="Paragrafoelenco"/>
        <w:numPr>
          <w:ilvl w:val="0"/>
          <w:numId w:val="2"/>
        </w:numPr>
        <w:snapToGrid w:val="0"/>
        <w:spacing w:line="360" w:lineRule="auto"/>
        <w:ind w:left="0"/>
        <w:jc w:val="both"/>
      </w:pPr>
      <w:r>
        <w:t>Sentenza Corte d’Appello di Venezia n. 3441/2025 e sentenza sez. II n. 84 del 9 marzo 2026.</w:t>
      </w:r>
    </w:p>
    <w:p w14:paraId="6C455135" w14:textId="77777777" w:rsidR="008A0D94" w:rsidRDefault="00000000">
      <w:pPr>
        <w:pStyle w:val="Paragrafoelenco"/>
        <w:numPr>
          <w:ilvl w:val="0"/>
          <w:numId w:val="2"/>
        </w:numPr>
        <w:snapToGrid w:val="0"/>
        <w:spacing w:line="360" w:lineRule="auto"/>
        <w:ind w:left="0"/>
        <w:jc w:val="both"/>
      </w:pPr>
      <w:r>
        <w:t>Sentenza Tribunale di Rovigo del 22 novembre 2024.</w:t>
      </w:r>
    </w:p>
    <w:p w14:paraId="3A494C8D" w14:textId="77777777" w:rsidR="008A0D94" w:rsidRDefault="00000000">
      <w:pPr>
        <w:pStyle w:val="Paragrafoelenco"/>
        <w:numPr>
          <w:ilvl w:val="0"/>
          <w:numId w:val="2"/>
        </w:numPr>
        <w:snapToGrid w:val="0"/>
        <w:spacing w:line="360" w:lineRule="auto"/>
        <w:ind w:left="0"/>
        <w:jc w:val="both"/>
      </w:pPr>
      <w:r>
        <w:t>Sentenza Corte di Giustizia Tributaria di secondo grado dell’Emilia-Romagna n. 526/2024.</w:t>
      </w:r>
    </w:p>
    <w:p w14:paraId="12BA3BDF" w14:textId="77777777" w:rsidR="008A0D94" w:rsidRDefault="00000000">
      <w:pPr>
        <w:snapToGrid w:val="0"/>
        <w:spacing w:line="360" w:lineRule="auto"/>
        <w:ind w:firstLine="708"/>
        <w:jc w:val="both"/>
      </w:pPr>
      <w:r>
        <w:t>Con riserva di ulteriori produzioni documentali e di replicare alle eventuali istanze istruttorie di controparte.</w:t>
      </w:r>
    </w:p>
    <w:p w14:paraId="0D979B6D" w14:textId="77777777" w:rsidR="008A0D94" w:rsidRDefault="008A0D94">
      <w:pPr>
        <w:snapToGrid w:val="0"/>
        <w:spacing w:line="360" w:lineRule="auto"/>
      </w:pPr>
    </w:p>
    <w:p w14:paraId="05B3DCB0" w14:textId="73262418" w:rsidR="008A0D94" w:rsidRDefault="00000000" w:rsidP="00FC0FA8">
      <w:pPr>
        <w:snapToGrid w:val="0"/>
        <w:spacing w:line="360" w:lineRule="auto"/>
        <w:ind w:firstLine="708"/>
        <w:jc w:val="both"/>
      </w:pPr>
      <w:r>
        <w:t>Salerno</w:t>
      </w:r>
      <w:r w:rsidR="00FC0FA8">
        <w:t>- Capriate San Gervasio, 30.04.2026</w:t>
      </w:r>
    </w:p>
    <w:p w14:paraId="50E6B297" w14:textId="77777777" w:rsidR="00FC0FA8" w:rsidRDefault="00FC0FA8" w:rsidP="00BF0E6D">
      <w:pPr>
        <w:snapToGrid w:val="0"/>
        <w:spacing w:line="360" w:lineRule="auto"/>
        <w:ind w:firstLine="708"/>
        <w:jc w:val="right"/>
        <w:rPr>
          <w:b/>
        </w:rPr>
      </w:pPr>
    </w:p>
    <w:p w14:paraId="23A0A540" w14:textId="19439638" w:rsidR="008A0D94" w:rsidRDefault="00000000" w:rsidP="00FC0FA8">
      <w:pPr>
        <w:snapToGrid w:val="0"/>
        <w:spacing w:line="360" w:lineRule="auto"/>
        <w:jc w:val="right"/>
      </w:pPr>
      <w:r>
        <w:rPr>
          <w:b/>
        </w:rPr>
        <w:t>Avv. Maria Voccia De Felice</w:t>
      </w:r>
    </w:p>
    <w:sectPr w:rsidR="008A0D94" w:rsidSect="007E4ECE">
      <w:pgSz w:w="11906" w:h="16838"/>
      <w:pgMar w:top="567" w:right="1418" w:bottom="1418" w:left="1701"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21D4B"/>
    <w:multiLevelType w:val="hybridMultilevel"/>
    <w:tmpl w:val="FF18C09C"/>
    <w:lvl w:ilvl="0" w:tplc="4E34AE72">
      <w:start w:val="1"/>
      <w:numFmt w:val="decimal"/>
      <w:lvlText w:val="%1)"/>
      <w:lvlJc w:val="left"/>
      <w:pPr>
        <w:ind w:left="720" w:hanging="360"/>
      </w:pPr>
      <w:rPr>
        <w:rFonts w:ascii="Arial" w:eastAsia="Arial" w:hAnsi="Arial" w:cs="Arial"/>
      </w:rPr>
    </w:lvl>
    <w:lvl w:ilvl="1" w:tplc="FD6CDEEC">
      <w:numFmt w:val="decimal"/>
      <w:lvlText w:val=""/>
      <w:lvlJc w:val="left"/>
    </w:lvl>
    <w:lvl w:ilvl="2" w:tplc="834434BA">
      <w:numFmt w:val="decimal"/>
      <w:lvlText w:val=""/>
      <w:lvlJc w:val="left"/>
    </w:lvl>
    <w:lvl w:ilvl="3" w:tplc="4634B394">
      <w:numFmt w:val="decimal"/>
      <w:lvlText w:val=""/>
      <w:lvlJc w:val="left"/>
    </w:lvl>
    <w:lvl w:ilvl="4" w:tplc="E534BFC0">
      <w:numFmt w:val="decimal"/>
      <w:lvlText w:val=""/>
      <w:lvlJc w:val="left"/>
    </w:lvl>
    <w:lvl w:ilvl="5" w:tplc="BA0044F8">
      <w:numFmt w:val="decimal"/>
      <w:lvlText w:val=""/>
      <w:lvlJc w:val="left"/>
    </w:lvl>
    <w:lvl w:ilvl="6" w:tplc="3050DE66">
      <w:numFmt w:val="decimal"/>
      <w:lvlText w:val=""/>
      <w:lvlJc w:val="left"/>
    </w:lvl>
    <w:lvl w:ilvl="7" w:tplc="6BFABDA4">
      <w:numFmt w:val="decimal"/>
      <w:lvlText w:val=""/>
      <w:lvlJc w:val="left"/>
    </w:lvl>
    <w:lvl w:ilvl="8" w:tplc="ED323690">
      <w:numFmt w:val="decimal"/>
      <w:lvlText w:val=""/>
      <w:lvlJc w:val="left"/>
    </w:lvl>
  </w:abstractNum>
  <w:abstractNum w:abstractNumId="1" w15:restartNumberingAfterBreak="0">
    <w:nsid w:val="34377280"/>
    <w:multiLevelType w:val="hybridMultilevel"/>
    <w:tmpl w:val="BF48D2E4"/>
    <w:lvl w:ilvl="0" w:tplc="2AD82262">
      <w:start w:val="1"/>
      <w:numFmt w:val="decimal"/>
      <w:lvlText w:val="%1."/>
      <w:lvlJc w:val="left"/>
      <w:pPr>
        <w:ind w:left="720" w:hanging="360"/>
      </w:pPr>
    </w:lvl>
    <w:lvl w:ilvl="1" w:tplc="7DEC423C">
      <w:numFmt w:val="decimal"/>
      <w:lvlText w:val=""/>
      <w:lvlJc w:val="left"/>
    </w:lvl>
    <w:lvl w:ilvl="2" w:tplc="5BECF43C">
      <w:numFmt w:val="decimal"/>
      <w:lvlText w:val=""/>
      <w:lvlJc w:val="left"/>
    </w:lvl>
    <w:lvl w:ilvl="3" w:tplc="29DA095A">
      <w:numFmt w:val="decimal"/>
      <w:lvlText w:val=""/>
      <w:lvlJc w:val="left"/>
    </w:lvl>
    <w:lvl w:ilvl="4" w:tplc="0DEEDE62">
      <w:numFmt w:val="decimal"/>
      <w:lvlText w:val=""/>
      <w:lvlJc w:val="left"/>
    </w:lvl>
    <w:lvl w:ilvl="5" w:tplc="D430D9F6">
      <w:numFmt w:val="decimal"/>
      <w:lvlText w:val=""/>
      <w:lvlJc w:val="left"/>
    </w:lvl>
    <w:lvl w:ilvl="6" w:tplc="6C5C82B8">
      <w:numFmt w:val="decimal"/>
      <w:lvlText w:val=""/>
      <w:lvlJc w:val="left"/>
    </w:lvl>
    <w:lvl w:ilvl="7" w:tplc="46B6048A">
      <w:numFmt w:val="decimal"/>
      <w:lvlText w:val=""/>
      <w:lvlJc w:val="left"/>
    </w:lvl>
    <w:lvl w:ilvl="8" w:tplc="87368CB8">
      <w:numFmt w:val="decimal"/>
      <w:lvlText w:val=""/>
      <w:lvlJc w:val="left"/>
    </w:lvl>
  </w:abstractNum>
  <w:abstractNum w:abstractNumId="2" w15:restartNumberingAfterBreak="0">
    <w:nsid w:val="45C43469"/>
    <w:multiLevelType w:val="hybridMultilevel"/>
    <w:tmpl w:val="AA0030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4D9919E5"/>
    <w:multiLevelType w:val="hybridMultilevel"/>
    <w:tmpl w:val="48F2E4D2"/>
    <w:lvl w:ilvl="0" w:tplc="CDD05B8E">
      <w:start w:val="1"/>
      <w:numFmt w:val="bullet"/>
      <w:lvlText w:val="●"/>
      <w:lvlJc w:val="left"/>
      <w:pPr>
        <w:ind w:left="720" w:hanging="360"/>
      </w:pPr>
    </w:lvl>
    <w:lvl w:ilvl="1" w:tplc="F2AE9AB2">
      <w:start w:val="1"/>
      <w:numFmt w:val="bullet"/>
      <w:lvlText w:val="○"/>
      <w:lvlJc w:val="left"/>
      <w:pPr>
        <w:ind w:left="1440" w:hanging="360"/>
      </w:pPr>
    </w:lvl>
    <w:lvl w:ilvl="2" w:tplc="4B28C84E">
      <w:start w:val="1"/>
      <w:numFmt w:val="bullet"/>
      <w:lvlText w:val="■"/>
      <w:lvlJc w:val="left"/>
      <w:pPr>
        <w:ind w:left="2160" w:hanging="360"/>
      </w:pPr>
    </w:lvl>
    <w:lvl w:ilvl="3" w:tplc="12C69FB4">
      <w:start w:val="1"/>
      <w:numFmt w:val="bullet"/>
      <w:lvlText w:val="●"/>
      <w:lvlJc w:val="left"/>
      <w:pPr>
        <w:ind w:left="2880" w:hanging="360"/>
      </w:pPr>
    </w:lvl>
    <w:lvl w:ilvl="4" w:tplc="576E8562">
      <w:start w:val="1"/>
      <w:numFmt w:val="bullet"/>
      <w:lvlText w:val="○"/>
      <w:lvlJc w:val="left"/>
      <w:pPr>
        <w:ind w:left="3600" w:hanging="360"/>
      </w:pPr>
    </w:lvl>
    <w:lvl w:ilvl="5" w:tplc="6F322EE8">
      <w:start w:val="1"/>
      <w:numFmt w:val="bullet"/>
      <w:lvlText w:val="■"/>
      <w:lvlJc w:val="left"/>
      <w:pPr>
        <w:ind w:left="4320" w:hanging="360"/>
      </w:pPr>
    </w:lvl>
    <w:lvl w:ilvl="6" w:tplc="00DA191A">
      <w:start w:val="1"/>
      <w:numFmt w:val="bullet"/>
      <w:lvlText w:val="●"/>
      <w:lvlJc w:val="left"/>
      <w:pPr>
        <w:ind w:left="5040" w:hanging="360"/>
      </w:pPr>
    </w:lvl>
    <w:lvl w:ilvl="7" w:tplc="4BD6B40E">
      <w:start w:val="1"/>
      <w:numFmt w:val="bullet"/>
      <w:lvlText w:val="●"/>
      <w:lvlJc w:val="left"/>
      <w:pPr>
        <w:ind w:left="5760" w:hanging="360"/>
      </w:pPr>
    </w:lvl>
    <w:lvl w:ilvl="8" w:tplc="123E36E6">
      <w:start w:val="1"/>
      <w:numFmt w:val="bullet"/>
      <w:lvlText w:val="●"/>
      <w:lvlJc w:val="left"/>
      <w:pPr>
        <w:ind w:left="6480" w:hanging="360"/>
      </w:pPr>
    </w:lvl>
  </w:abstractNum>
  <w:num w:numId="1" w16cid:durableId="191765213">
    <w:abstractNumId w:val="3"/>
    <w:lvlOverride w:ilvl="0">
      <w:startOverride w:val="1"/>
    </w:lvlOverride>
  </w:num>
  <w:num w:numId="2" w16cid:durableId="167908705">
    <w:abstractNumId w:val="0"/>
  </w:num>
  <w:num w:numId="3" w16cid:durableId="820193938">
    <w:abstractNumId w:val="1"/>
    <w:lvlOverride w:ilvl="0">
      <w:startOverride w:val="1"/>
    </w:lvlOverride>
  </w:num>
  <w:num w:numId="4" w16cid:durableId="1436562252">
    <w:abstractNumId w:val="2"/>
  </w:num>
  <w:num w:numId="5" w16cid:durableId="1074740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FE3"/>
    <w:rsid w:val="000059F6"/>
    <w:rsid w:val="000272DF"/>
    <w:rsid w:val="000325DC"/>
    <w:rsid w:val="00056CC0"/>
    <w:rsid w:val="00057253"/>
    <w:rsid w:val="00073244"/>
    <w:rsid w:val="000A1B86"/>
    <w:rsid w:val="000A5D6A"/>
    <w:rsid w:val="000A6DA3"/>
    <w:rsid w:val="000A78D9"/>
    <w:rsid w:val="000D49F5"/>
    <w:rsid w:val="000D743F"/>
    <w:rsid w:val="0010182C"/>
    <w:rsid w:val="00114A32"/>
    <w:rsid w:val="00120A6A"/>
    <w:rsid w:val="00162BE3"/>
    <w:rsid w:val="00170595"/>
    <w:rsid w:val="00171937"/>
    <w:rsid w:val="00183937"/>
    <w:rsid w:val="00191724"/>
    <w:rsid w:val="001B3FBC"/>
    <w:rsid w:val="001B4E8A"/>
    <w:rsid w:val="001C3A1C"/>
    <w:rsid w:val="001C3A38"/>
    <w:rsid w:val="001D1E5F"/>
    <w:rsid w:val="001E04A9"/>
    <w:rsid w:val="001E1880"/>
    <w:rsid w:val="00206417"/>
    <w:rsid w:val="00235D1D"/>
    <w:rsid w:val="002563BF"/>
    <w:rsid w:val="00261CE8"/>
    <w:rsid w:val="002643FC"/>
    <w:rsid w:val="0026500E"/>
    <w:rsid w:val="00272164"/>
    <w:rsid w:val="00285EA9"/>
    <w:rsid w:val="00287A3C"/>
    <w:rsid w:val="0029792F"/>
    <w:rsid w:val="002A0492"/>
    <w:rsid w:val="002A1557"/>
    <w:rsid w:val="002B0A3B"/>
    <w:rsid w:val="002B10AF"/>
    <w:rsid w:val="002B1B0C"/>
    <w:rsid w:val="002D44D8"/>
    <w:rsid w:val="00305BF1"/>
    <w:rsid w:val="003206B0"/>
    <w:rsid w:val="00320E86"/>
    <w:rsid w:val="003323F4"/>
    <w:rsid w:val="00374667"/>
    <w:rsid w:val="003755F5"/>
    <w:rsid w:val="0037721F"/>
    <w:rsid w:val="003773BB"/>
    <w:rsid w:val="0038509C"/>
    <w:rsid w:val="003A17ED"/>
    <w:rsid w:val="003C7810"/>
    <w:rsid w:val="003D12CA"/>
    <w:rsid w:val="003D525B"/>
    <w:rsid w:val="003E4032"/>
    <w:rsid w:val="003E4606"/>
    <w:rsid w:val="003E5486"/>
    <w:rsid w:val="003F2C0D"/>
    <w:rsid w:val="00407E27"/>
    <w:rsid w:val="00413D40"/>
    <w:rsid w:val="00422ED6"/>
    <w:rsid w:val="00424FFA"/>
    <w:rsid w:val="0044247A"/>
    <w:rsid w:val="0045385E"/>
    <w:rsid w:val="00453B85"/>
    <w:rsid w:val="0047057C"/>
    <w:rsid w:val="00473BA2"/>
    <w:rsid w:val="00476F6A"/>
    <w:rsid w:val="004770B3"/>
    <w:rsid w:val="0049537A"/>
    <w:rsid w:val="00497A8A"/>
    <w:rsid w:val="004A18AF"/>
    <w:rsid w:val="004C6FE3"/>
    <w:rsid w:val="004E3336"/>
    <w:rsid w:val="004F2061"/>
    <w:rsid w:val="00505776"/>
    <w:rsid w:val="00514F7D"/>
    <w:rsid w:val="00515E63"/>
    <w:rsid w:val="00533373"/>
    <w:rsid w:val="00562F28"/>
    <w:rsid w:val="0056711E"/>
    <w:rsid w:val="005A3F8C"/>
    <w:rsid w:val="005A5153"/>
    <w:rsid w:val="005F7ED1"/>
    <w:rsid w:val="0060528D"/>
    <w:rsid w:val="00610212"/>
    <w:rsid w:val="006140B5"/>
    <w:rsid w:val="00623FD4"/>
    <w:rsid w:val="00624D39"/>
    <w:rsid w:val="006262B8"/>
    <w:rsid w:val="00637BCC"/>
    <w:rsid w:val="006411CB"/>
    <w:rsid w:val="00652FCD"/>
    <w:rsid w:val="00655BA3"/>
    <w:rsid w:val="006774E0"/>
    <w:rsid w:val="0068710A"/>
    <w:rsid w:val="006A59EE"/>
    <w:rsid w:val="006C2770"/>
    <w:rsid w:val="006D0097"/>
    <w:rsid w:val="006D5677"/>
    <w:rsid w:val="006D7746"/>
    <w:rsid w:val="006E5B74"/>
    <w:rsid w:val="006F2606"/>
    <w:rsid w:val="0071589C"/>
    <w:rsid w:val="00716F16"/>
    <w:rsid w:val="0075614F"/>
    <w:rsid w:val="00784FE6"/>
    <w:rsid w:val="0079702C"/>
    <w:rsid w:val="00797803"/>
    <w:rsid w:val="007B38FB"/>
    <w:rsid w:val="007C39B3"/>
    <w:rsid w:val="007C5251"/>
    <w:rsid w:val="007C7535"/>
    <w:rsid w:val="007D73F3"/>
    <w:rsid w:val="007E1D2C"/>
    <w:rsid w:val="007E4ECE"/>
    <w:rsid w:val="007E7189"/>
    <w:rsid w:val="00866A2F"/>
    <w:rsid w:val="00882020"/>
    <w:rsid w:val="00882922"/>
    <w:rsid w:val="00886C42"/>
    <w:rsid w:val="00887A82"/>
    <w:rsid w:val="00895ACF"/>
    <w:rsid w:val="008974F7"/>
    <w:rsid w:val="008A0D94"/>
    <w:rsid w:val="008C36C1"/>
    <w:rsid w:val="008D3F64"/>
    <w:rsid w:val="008D7F14"/>
    <w:rsid w:val="008F5F3A"/>
    <w:rsid w:val="00901CD7"/>
    <w:rsid w:val="00911EA6"/>
    <w:rsid w:val="00957F10"/>
    <w:rsid w:val="0096311A"/>
    <w:rsid w:val="0096390B"/>
    <w:rsid w:val="00986028"/>
    <w:rsid w:val="00996045"/>
    <w:rsid w:val="00996337"/>
    <w:rsid w:val="009A04CE"/>
    <w:rsid w:val="009B0F65"/>
    <w:rsid w:val="009F29FF"/>
    <w:rsid w:val="00A34AD0"/>
    <w:rsid w:val="00A51E36"/>
    <w:rsid w:val="00A73EB0"/>
    <w:rsid w:val="00A824B3"/>
    <w:rsid w:val="00AA1CFF"/>
    <w:rsid w:val="00AA3050"/>
    <w:rsid w:val="00AA6D74"/>
    <w:rsid w:val="00AC06D3"/>
    <w:rsid w:val="00AC250F"/>
    <w:rsid w:val="00AF1C22"/>
    <w:rsid w:val="00B20C92"/>
    <w:rsid w:val="00B57087"/>
    <w:rsid w:val="00B573E3"/>
    <w:rsid w:val="00B57BB0"/>
    <w:rsid w:val="00B61F0D"/>
    <w:rsid w:val="00B77564"/>
    <w:rsid w:val="00B846CD"/>
    <w:rsid w:val="00BA269C"/>
    <w:rsid w:val="00BC4BB6"/>
    <w:rsid w:val="00BF0E6D"/>
    <w:rsid w:val="00BF1B4F"/>
    <w:rsid w:val="00C06B7B"/>
    <w:rsid w:val="00C23D97"/>
    <w:rsid w:val="00C404AC"/>
    <w:rsid w:val="00C55BA7"/>
    <w:rsid w:val="00C74595"/>
    <w:rsid w:val="00CB009A"/>
    <w:rsid w:val="00CB3104"/>
    <w:rsid w:val="00CB6CBF"/>
    <w:rsid w:val="00CC1597"/>
    <w:rsid w:val="00CC3365"/>
    <w:rsid w:val="00CD5330"/>
    <w:rsid w:val="00CF4224"/>
    <w:rsid w:val="00D06E7A"/>
    <w:rsid w:val="00D366B8"/>
    <w:rsid w:val="00D53527"/>
    <w:rsid w:val="00D53A5F"/>
    <w:rsid w:val="00D56584"/>
    <w:rsid w:val="00D61281"/>
    <w:rsid w:val="00D717C5"/>
    <w:rsid w:val="00D805C5"/>
    <w:rsid w:val="00D84EA5"/>
    <w:rsid w:val="00DD4B7C"/>
    <w:rsid w:val="00DD4E83"/>
    <w:rsid w:val="00DD7B43"/>
    <w:rsid w:val="00DE7D13"/>
    <w:rsid w:val="00DF3A2C"/>
    <w:rsid w:val="00E32AFC"/>
    <w:rsid w:val="00E67BF6"/>
    <w:rsid w:val="00E7126C"/>
    <w:rsid w:val="00E80B40"/>
    <w:rsid w:val="00E90C9C"/>
    <w:rsid w:val="00EA3AAA"/>
    <w:rsid w:val="00EB0B00"/>
    <w:rsid w:val="00ED4636"/>
    <w:rsid w:val="00EF6206"/>
    <w:rsid w:val="00F01AF4"/>
    <w:rsid w:val="00F40D70"/>
    <w:rsid w:val="00F8594F"/>
    <w:rsid w:val="00F955B3"/>
    <w:rsid w:val="00FB10BF"/>
    <w:rsid w:val="00FC0DF8"/>
    <w:rsid w:val="00FC0FA8"/>
    <w:rsid w:val="00FD1870"/>
    <w:rsid w:val="00FD2EDF"/>
    <w:rsid w:val="00FD5765"/>
    <w:rsid w:val="00FF22CD"/>
    <w:rsid w:val="00FF58C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8A3AC"/>
  <w15:docId w15:val="{BBA65E1E-AB86-9D4D-B8FD-6D1466C48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00" w:after="180"/>
      <w:outlineLvl w:val="0"/>
    </w:pPr>
    <w:rPr>
      <w:b/>
      <w:bCs/>
      <w:sz w:val="26"/>
      <w:szCs w:val="26"/>
    </w:rPr>
  </w:style>
  <w:style w:type="paragraph" w:styleId="Titolo2">
    <w:name w:val="heading 2"/>
    <w:uiPriority w:val="9"/>
    <w:semiHidden/>
    <w:unhideWhenUsed/>
    <w:qFormat/>
    <w:pPr>
      <w:spacing w:before="240" w:after="120"/>
      <w:outlineLvl w:val="1"/>
    </w:pPr>
    <w:rPr>
      <w:b/>
      <w:bCs/>
      <w:u w:val="single"/>
    </w:rPr>
  </w:style>
  <w:style w:type="paragraph" w:styleId="Titolo3">
    <w:name w:val="heading 3"/>
    <w:uiPriority w:val="9"/>
    <w:semiHidden/>
    <w:unhideWhenUsed/>
    <w:qFormat/>
    <w:pPr>
      <w:outlineLvl w:val="2"/>
    </w:pPr>
    <w:rPr>
      <w:color w:val="1F4D78"/>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customStyle="1" w:styleId="vcex-page-titletext">
    <w:name w:val="vcex-page-title__text"/>
    <w:basedOn w:val="Carpredefinitoparagrafo"/>
    <w:rsid w:val="00D53527"/>
  </w:style>
  <w:style w:type="paragraph" w:styleId="NormaleWeb">
    <w:name w:val="Normal (Web)"/>
    <w:basedOn w:val="Normale"/>
    <w:uiPriority w:val="99"/>
    <w:semiHidden/>
    <w:unhideWhenUsed/>
    <w:rsid w:val="00D53527"/>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Carpredefinitoparagrafo"/>
    <w:rsid w:val="00D53527"/>
  </w:style>
  <w:style w:type="character" w:styleId="Enfasigrassetto">
    <w:name w:val="Strong"/>
    <w:basedOn w:val="Carpredefinitoparagrafo"/>
    <w:uiPriority w:val="22"/>
    <w:qFormat/>
    <w:rsid w:val="00D53527"/>
    <w:rPr>
      <w:b/>
      <w:bCs/>
    </w:rPr>
  </w:style>
  <w:style w:type="character" w:styleId="Enfasicorsivo">
    <w:name w:val="Emphasis"/>
    <w:basedOn w:val="Carpredefinitoparagrafo"/>
    <w:uiPriority w:val="20"/>
    <w:qFormat/>
    <w:rsid w:val="00D53527"/>
    <w:rPr>
      <w:i/>
      <w:iCs/>
    </w:rPr>
  </w:style>
  <w:style w:type="paragraph" w:customStyle="1" w:styleId="Default">
    <w:name w:val="Default"/>
    <w:rsid w:val="00B846CD"/>
    <w:pPr>
      <w:autoSpaceDE w:val="0"/>
      <w:autoSpaceDN w:val="0"/>
      <w:adjustRightInd w:val="0"/>
    </w:pPr>
    <w:rPr>
      <w:rFonts w:ascii="Times New Roman" w:hAnsi="Times New Roman" w:cs="Times New Roman"/>
      <w:color w:val="000000"/>
    </w:rPr>
  </w:style>
  <w:style w:type="paragraph" w:styleId="Testofumetto">
    <w:name w:val="Balloon Text"/>
    <w:basedOn w:val="Normale"/>
    <w:link w:val="TestofumettoCarattere"/>
    <w:uiPriority w:val="99"/>
    <w:semiHidden/>
    <w:unhideWhenUsed/>
    <w:rsid w:val="00D61281"/>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D6128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vocciaordsa@pec.giuffre.i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1CAB3F-6917-499F-8FAB-3C9DAFA48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2762</Words>
  <Characters>15750</Characters>
  <Application>Microsoft Office Word</Application>
  <DocSecurity>0</DocSecurity>
  <Lines>131</Lines>
  <Paragraphs>36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ROSA VICIDOMINI</cp:lastModifiedBy>
  <cp:revision>2</cp:revision>
  <cp:lastPrinted>2026-04-02T11:00:00Z</cp:lastPrinted>
  <dcterms:created xsi:type="dcterms:W3CDTF">2026-05-01T09:33:00Z</dcterms:created>
  <dcterms:modified xsi:type="dcterms:W3CDTF">2026-05-01T09:33:00Z</dcterms:modified>
</cp:coreProperties>
</file>