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B3E85" w14:textId="77777777" w:rsidR="00BF0E6D" w:rsidRPr="00056E89" w:rsidRDefault="00BF0E6D" w:rsidP="00056E89">
      <w:pPr>
        <w:snapToGrid w:val="0"/>
        <w:spacing w:line="360" w:lineRule="auto"/>
        <w:jc w:val="center"/>
      </w:pPr>
    </w:p>
    <w:p w14:paraId="160CE080" w14:textId="07EC8306" w:rsidR="008A0D94" w:rsidRPr="00056E89" w:rsidRDefault="00FD7808" w:rsidP="00056E89">
      <w:pPr>
        <w:snapToGrid w:val="0"/>
        <w:spacing w:line="360" w:lineRule="auto"/>
        <w:jc w:val="center"/>
      </w:pPr>
      <w:r w:rsidRPr="00056E89">
        <w:rPr>
          <w:b/>
        </w:rPr>
        <w:t>CORTE DI GIUSTIZIA TRIBUTARIA DI PRIMO GRADO DI MILANO</w:t>
      </w:r>
    </w:p>
    <w:p w14:paraId="2E31362F" w14:textId="77777777" w:rsidR="001E4A66" w:rsidRDefault="001E4A66" w:rsidP="00056E89">
      <w:pPr>
        <w:spacing w:line="360" w:lineRule="auto"/>
        <w:jc w:val="center"/>
        <w:rPr>
          <w:b/>
          <w:bCs/>
        </w:rPr>
      </w:pPr>
    </w:p>
    <w:p w14:paraId="2206041F" w14:textId="2CC46AD7" w:rsidR="00DD7B43" w:rsidRPr="00056E89" w:rsidRDefault="00DD7B43" w:rsidP="00056E89">
      <w:pPr>
        <w:spacing w:line="360" w:lineRule="auto"/>
        <w:jc w:val="center"/>
      </w:pPr>
      <w:r w:rsidRPr="00056E89">
        <w:rPr>
          <w:b/>
          <w:bCs/>
        </w:rPr>
        <w:t>MEMORI</w:t>
      </w:r>
      <w:r w:rsidR="001E4A66">
        <w:rPr>
          <w:b/>
          <w:bCs/>
        </w:rPr>
        <w:t>A</w:t>
      </w:r>
      <w:r w:rsidRPr="00056E89">
        <w:rPr>
          <w:b/>
          <w:bCs/>
        </w:rPr>
        <w:t xml:space="preserve"> DI COSTITUZIONE IN GIUDIZIO</w:t>
      </w:r>
    </w:p>
    <w:p w14:paraId="1F7724A6" w14:textId="0C1C0B62" w:rsidR="008A0D94" w:rsidRPr="00056E89" w:rsidRDefault="00FD7808" w:rsidP="00056E89">
      <w:pPr>
        <w:snapToGrid w:val="0"/>
        <w:spacing w:line="360" w:lineRule="auto"/>
        <w:ind w:firstLine="708"/>
        <w:jc w:val="both"/>
        <w:rPr>
          <w:b/>
        </w:rPr>
      </w:pPr>
      <w:r w:rsidRPr="00056E89">
        <w:rPr>
          <w:b/>
        </w:rPr>
        <w:t xml:space="preserve">PER: </w:t>
      </w:r>
      <w:r w:rsidRPr="00056E89">
        <w:t xml:space="preserve">Comune di Cinisello Balsamo (MI) (C.F. 01971350150), in persona del Sindaco pro tempore, domiciliato per la carica in Cinisello Balsamo, Via XXV Aprile n. 4, rappresentato e difeso, </w:t>
      </w:r>
      <w:r w:rsidR="001E4A66">
        <w:t>………………..</w:t>
      </w:r>
      <w:r w:rsidRPr="00056E89">
        <w:rPr>
          <w:b/>
        </w:rPr>
        <w:t>;</w:t>
      </w:r>
    </w:p>
    <w:p w14:paraId="707A3C69" w14:textId="77A0F2AC" w:rsidR="00DD7B43" w:rsidRPr="00056E89" w:rsidRDefault="00FD7808" w:rsidP="00056E89">
      <w:pPr>
        <w:snapToGrid w:val="0"/>
        <w:spacing w:line="360" w:lineRule="auto"/>
        <w:ind w:firstLine="708"/>
        <w:jc w:val="both"/>
        <w:rPr>
          <w:b/>
        </w:rPr>
      </w:pPr>
      <w:r w:rsidRPr="00056E89">
        <w:rPr>
          <w:b/>
        </w:rPr>
        <w:t>CONTRO</w:t>
      </w:r>
      <w:r w:rsidRPr="00056E89">
        <w:rPr>
          <w:b/>
        </w:rPr>
        <w:t xml:space="preserve"> </w:t>
      </w:r>
    </w:p>
    <w:p w14:paraId="2C3E948C" w14:textId="09B07FF4" w:rsidR="007F4C11" w:rsidRPr="00056E89" w:rsidRDefault="00FD7808" w:rsidP="00056E89">
      <w:pPr>
        <w:snapToGrid w:val="0"/>
        <w:spacing w:line="360" w:lineRule="auto"/>
        <w:ind w:firstLine="708"/>
        <w:jc w:val="both"/>
      </w:pPr>
      <w:r w:rsidRPr="00056E89">
        <w:rPr>
          <w:b/>
        </w:rPr>
        <w:t>CAP HOLDING S.p.A.</w:t>
      </w:r>
      <w:r w:rsidRPr="00056E89">
        <w:t>, con sede legale in Milano, Via Rimini n. 38 (20142), codice fiscale e P.IVA 13187590156, in persona del legale rappresentante Avv. Michele Falcone, rappresentata e difesa dall’Avv. Claudio Grisanti, elettivamente domiciliat</w:t>
      </w:r>
      <w:r w:rsidR="000A27C1">
        <w:t xml:space="preserve">o </w:t>
      </w:r>
      <w:r w:rsidRPr="00056E89">
        <w:t>presso lo Studio Osborne Clarke in Milano, Corso di Porta Vittoria n. 9.</w:t>
      </w:r>
    </w:p>
    <w:p w14:paraId="356BEBED" w14:textId="75FE4960" w:rsidR="008A0D94" w:rsidRPr="00056E89" w:rsidRDefault="00593D42" w:rsidP="00056E89">
      <w:pPr>
        <w:snapToGrid w:val="0"/>
        <w:spacing w:line="360" w:lineRule="auto"/>
        <w:ind w:firstLine="708"/>
        <w:jc w:val="both"/>
        <w:rPr>
          <w:b/>
          <w:bCs/>
        </w:rPr>
      </w:pPr>
      <w:r>
        <w:rPr>
          <w:b/>
          <w:bCs/>
        </w:rPr>
        <w:t>FATTO</w:t>
      </w:r>
    </w:p>
    <w:p w14:paraId="407AC8AE" w14:textId="748AB062" w:rsidR="007E1D2C" w:rsidRPr="00056E89" w:rsidRDefault="00FD7808" w:rsidP="00056E89">
      <w:pPr>
        <w:snapToGrid w:val="0"/>
        <w:spacing w:line="360" w:lineRule="auto"/>
        <w:ind w:firstLine="708"/>
        <w:jc w:val="both"/>
      </w:pPr>
      <w:r w:rsidRPr="00056E89">
        <w:t xml:space="preserve">Con ricorso notificato a mezzo pec in data 20 maggio 2026 </w:t>
      </w:r>
      <w:r w:rsidRPr="00056E89">
        <w:rPr>
          <w:b/>
          <w:bCs/>
        </w:rPr>
        <w:t>(Doc. 1)</w:t>
      </w:r>
      <w:r w:rsidRPr="00056E89">
        <w:t xml:space="preserve"> la società </w:t>
      </w:r>
      <w:r w:rsidRPr="00056E89">
        <w:rPr>
          <w:b/>
        </w:rPr>
        <w:t>CAP HOLDING S.p.A.</w:t>
      </w:r>
      <w:r w:rsidRPr="00056E89">
        <w:t xml:space="preserve"> ha impugnato </w:t>
      </w:r>
      <w:r w:rsidRPr="00056E89">
        <w:t>l’</w:t>
      </w:r>
      <w:r w:rsidRPr="00056E89">
        <w:rPr>
          <w:b/>
        </w:rPr>
        <w:t>avviso di accertamento esecutivo n. 19 dell’11 marzo 2026</w:t>
      </w:r>
      <w:r w:rsidRPr="00056E89">
        <w:t xml:space="preserve"> </w:t>
      </w:r>
      <w:r w:rsidRPr="00056E89">
        <w:rPr>
          <w:b/>
        </w:rPr>
        <w:t>(Doc. 2)</w:t>
      </w:r>
      <w:r w:rsidRPr="00056E89">
        <w:t xml:space="preserve">, emesso dal Comune di Cinisello Balsamo per il recupero del </w:t>
      </w:r>
      <w:r w:rsidRPr="00056E89">
        <w:rPr>
          <w:b/>
        </w:rPr>
        <w:t>Canone Unico Patrimoniale (CUP)</w:t>
      </w:r>
      <w:r w:rsidRPr="00056E89">
        <w:t xml:space="preserve"> ai sensi dell’art. 1, comma 831, della L. n. 160/2019</w:t>
      </w:r>
      <w:r w:rsidR="008C4669" w:rsidRPr="00056E89">
        <w:t xml:space="preserve"> e del Regolamento Comunale </w:t>
      </w:r>
      <w:r w:rsidR="0015724E">
        <w:t xml:space="preserve">CUP </w:t>
      </w:r>
      <w:r w:rsidR="008C4669" w:rsidRPr="00056E89">
        <w:rPr>
          <w:b/>
        </w:rPr>
        <w:t>(Doc. 3)</w:t>
      </w:r>
      <w:r w:rsidRPr="00056E89">
        <w:t>, per gli anni 2021-2022-2023-2024-2025</w:t>
      </w:r>
      <w:r w:rsidR="00D63DB3" w:rsidRPr="00056E89">
        <w:t>,</w:t>
      </w:r>
      <w:r w:rsidRPr="00056E89">
        <w:t xml:space="preserve"> in ragione del parziale versamento del canone effettuato dalla ricorrente, calcolato dalla stessa sul solo servizio di acquedotto e non anche sul servizio di rete fognaria.</w:t>
      </w:r>
    </w:p>
    <w:p w14:paraId="10000001" w14:textId="77777777" w:rsidR="00DD7B43" w:rsidRPr="00056E89" w:rsidRDefault="00DD7B43" w:rsidP="00056E89">
      <w:pPr>
        <w:snapToGrid w:val="0"/>
        <w:spacing w:line="360" w:lineRule="auto"/>
        <w:ind w:firstLine="708"/>
        <w:jc w:val="both"/>
      </w:pPr>
      <w:r w:rsidRPr="00056E89">
        <w:t xml:space="preserve">Va subito riferito che </w:t>
      </w:r>
      <w:r w:rsidRPr="0015724E">
        <w:rPr>
          <w:b/>
          <w:bCs/>
          <w:u w:val="single"/>
        </w:rPr>
        <w:t>l’accertamento è stato preceduto da un’articolata fase di contraddittorio,</w:t>
      </w:r>
      <w:r w:rsidRPr="00056E89">
        <w:t xml:space="preserve"> promossa dal Comune di Cinisello Balsamo con l’ausilio della società </w:t>
      </w:r>
      <w:r w:rsidRPr="00056E89">
        <w:rPr>
          <w:b/>
        </w:rPr>
        <w:t>Archivia Solution S.p.A.</w:t>
      </w:r>
      <w:r w:rsidRPr="00056E89">
        <w:t xml:space="preserve">, alla quale, con </w:t>
      </w:r>
      <w:r w:rsidRPr="00056E89">
        <w:rPr>
          <w:b/>
        </w:rPr>
        <w:t>Determinazione n. 709 dell’11 giugno 2025</w:t>
      </w:r>
      <w:r w:rsidRPr="00056E89">
        <w:t xml:space="preserve"> </w:t>
      </w:r>
      <w:r w:rsidRPr="00056E89">
        <w:rPr>
          <w:b/>
        </w:rPr>
        <w:t>(Doc. 4)</w:t>
      </w:r>
      <w:r w:rsidRPr="00056E89">
        <w:t>, è stato affidato il servizio di supporto nella verifica della congruità dei versamenti CUP per gli anni 2021-2025.</w:t>
      </w:r>
    </w:p>
    <w:p w14:paraId="20000010" w14:textId="15D72E25" w:rsidR="00DD7B43" w:rsidRPr="00056E89" w:rsidRDefault="0015724E" w:rsidP="00056E89">
      <w:pPr>
        <w:snapToGrid w:val="0"/>
        <w:spacing w:line="360" w:lineRule="auto"/>
        <w:ind w:firstLine="708"/>
        <w:jc w:val="both"/>
      </w:pPr>
      <w:r>
        <w:t>Ed infatti, i</w:t>
      </w:r>
      <w:r w:rsidR="00DD7B43" w:rsidRPr="00056E89">
        <w:t xml:space="preserve">n data </w:t>
      </w:r>
      <w:r w:rsidR="00DD7B43" w:rsidRPr="0015724E">
        <w:rPr>
          <w:b/>
          <w:bCs/>
        </w:rPr>
        <w:t>11 novembre 2025,</w:t>
      </w:r>
      <w:r w:rsidR="00DD7B43" w:rsidRPr="00056E89">
        <w:t xml:space="preserve"> Archivia Solution ha inviato a CAP Holding la prima richiesta formale di documentazione dei versamenti CUP per gli anni 2021-2024 </w:t>
      </w:r>
      <w:r w:rsidR="00DD7B43" w:rsidRPr="00056E89">
        <w:rPr>
          <w:b/>
        </w:rPr>
        <w:t>(Doc. 5)</w:t>
      </w:r>
      <w:r w:rsidR="00DD7B43" w:rsidRPr="00056E89">
        <w:t xml:space="preserve">, segnalando che dai controlli </w:t>
      </w:r>
      <w:r w:rsidR="00C4180B">
        <w:t>effettuati</w:t>
      </w:r>
      <w:r w:rsidR="00DD7B43" w:rsidRPr="00056E89">
        <w:t xml:space="preserve"> erano emersi versamenti parziali per le annualità 2021-2022 e l’assenza di qualsiasi versamento per gli anni 2023-2024, invitando la società a trasmettere copia dei pagamenti effettuati entro quindici giorni.</w:t>
      </w:r>
    </w:p>
    <w:p w14:paraId="7B2CEA32" w14:textId="77777777" w:rsidR="00C4180B" w:rsidRDefault="00DD7B43" w:rsidP="00056E89">
      <w:pPr>
        <w:snapToGrid w:val="0"/>
        <w:spacing w:line="360" w:lineRule="auto"/>
        <w:ind w:firstLine="708"/>
        <w:jc w:val="both"/>
      </w:pPr>
      <w:r w:rsidRPr="00056E89">
        <w:t xml:space="preserve">In data </w:t>
      </w:r>
      <w:r w:rsidRPr="0015724E">
        <w:rPr>
          <w:b/>
          <w:bCs/>
        </w:rPr>
        <w:t>18 novembre 2025</w:t>
      </w:r>
      <w:r w:rsidRPr="00056E89">
        <w:t xml:space="preserve">, CAP Holding ha trasmesso ad Archivia Solution copia delle quietanze dei versamenti effettuati per gli anni 2021-2025, calcolati sul solo servizio di acqua potabile </w:t>
      </w:r>
      <w:r w:rsidRPr="00056E89">
        <w:rPr>
          <w:b/>
        </w:rPr>
        <w:t>(Doc. 6)</w:t>
      </w:r>
      <w:r w:rsidRPr="00056E89">
        <w:t xml:space="preserve">. </w:t>
      </w:r>
    </w:p>
    <w:p w14:paraId="10000002" w14:textId="657ED68E" w:rsidR="00DD7B43" w:rsidRPr="00056E89" w:rsidRDefault="00DD7B43" w:rsidP="00056E89">
      <w:pPr>
        <w:snapToGrid w:val="0"/>
        <w:spacing w:line="360" w:lineRule="auto"/>
        <w:ind w:firstLine="708"/>
        <w:jc w:val="both"/>
      </w:pPr>
      <w:r w:rsidRPr="00056E89">
        <w:lastRenderedPageBreak/>
        <w:t xml:space="preserve">Archivia Solution ha riscontrato tale comunicazione in data </w:t>
      </w:r>
      <w:r w:rsidRPr="0015724E">
        <w:rPr>
          <w:b/>
          <w:bCs/>
        </w:rPr>
        <w:t>27 febbraio 2026</w:t>
      </w:r>
      <w:r w:rsidRPr="00056E89">
        <w:t xml:space="preserve"> </w:t>
      </w:r>
      <w:r w:rsidRPr="00056E89">
        <w:rPr>
          <w:b/>
        </w:rPr>
        <w:t>(Doc. 7)</w:t>
      </w:r>
      <w:r w:rsidRPr="00056E89">
        <w:t xml:space="preserve">, rilevando che il gettito atteso per il CUP – stimato sulla base dei dati pubblicati </w:t>
      </w:r>
      <w:r w:rsidR="00C4180B">
        <w:t xml:space="preserve">per </w:t>
      </w:r>
      <w:r w:rsidRPr="00056E89">
        <w:t>i gestori del SII, dalle competenti Autorità d’Ambito</w:t>
      </w:r>
      <w:r w:rsidR="00C4180B">
        <w:t xml:space="preserve">, </w:t>
      </w:r>
      <w:r w:rsidRPr="00056E89">
        <w:t>incrociati con le utenze TARI del Comune – risultava significativamente superiore ai versamenti effettuati, richiedendo</w:t>
      </w:r>
      <w:r w:rsidR="00C4180B">
        <w:t>,</w:t>
      </w:r>
      <w:r w:rsidRPr="00056E89">
        <w:t xml:space="preserve"> pertanto</w:t>
      </w:r>
      <w:r w:rsidR="00C4180B">
        <w:t>,</w:t>
      </w:r>
      <w:r w:rsidRPr="00056E89">
        <w:t xml:space="preserve"> </w:t>
      </w:r>
      <w:r w:rsidR="00C4180B">
        <w:t xml:space="preserve">alla società </w:t>
      </w:r>
      <w:r w:rsidRPr="00056E89">
        <w:t>il ricalcolo delle utenze attive per entrambi i servizi (acqua potabile e fognatura) con trasmissione della dichiarazione entro sette giorni.</w:t>
      </w:r>
    </w:p>
    <w:p w14:paraId="08530F60" w14:textId="77777777" w:rsidR="00C4180B" w:rsidRDefault="00DD7B43" w:rsidP="00056E89">
      <w:pPr>
        <w:snapToGrid w:val="0"/>
        <w:spacing w:line="360" w:lineRule="auto"/>
        <w:ind w:firstLine="708"/>
        <w:jc w:val="both"/>
      </w:pPr>
      <w:r w:rsidRPr="00056E89">
        <w:t xml:space="preserve">In data </w:t>
      </w:r>
      <w:r w:rsidRPr="0015724E">
        <w:rPr>
          <w:b/>
          <w:bCs/>
        </w:rPr>
        <w:t>4 marzo 2026</w:t>
      </w:r>
      <w:r w:rsidRPr="00056E89">
        <w:t xml:space="preserve">, CAP Holding ha riscontrato la richiesta di Archivia Solution sostenendo che il comma 831 della L. 160/2019 non distinguerebbe tra i segmenti del servizio a rete e che il SII andrebbe considerato unitario ai fini del calcolo del canone </w:t>
      </w:r>
      <w:r w:rsidRPr="00056E89">
        <w:rPr>
          <w:b/>
        </w:rPr>
        <w:t>(Doc. 8)</w:t>
      </w:r>
      <w:r w:rsidRPr="00056E89">
        <w:t xml:space="preserve">. </w:t>
      </w:r>
    </w:p>
    <w:p w14:paraId="542DDA64" w14:textId="77777777" w:rsidR="00C4180B" w:rsidRDefault="00C4180B" w:rsidP="00056E89">
      <w:pPr>
        <w:snapToGrid w:val="0"/>
        <w:spacing w:line="360" w:lineRule="auto"/>
        <w:ind w:firstLine="708"/>
        <w:jc w:val="both"/>
      </w:pPr>
      <w:r>
        <w:t xml:space="preserve">A tale note ha replicato </w:t>
      </w:r>
      <w:r w:rsidR="00DD7B43" w:rsidRPr="00056E89">
        <w:t>Archivia Solution</w:t>
      </w:r>
      <w:r>
        <w:t xml:space="preserve">, </w:t>
      </w:r>
      <w:r w:rsidR="00DD7B43" w:rsidRPr="00056E89">
        <w:t xml:space="preserve">in data </w:t>
      </w:r>
      <w:r w:rsidR="00DD7B43" w:rsidRPr="0015724E">
        <w:rPr>
          <w:b/>
          <w:bCs/>
        </w:rPr>
        <w:t>6 marzo 2026</w:t>
      </w:r>
      <w:r w:rsidR="00DD7B43" w:rsidRPr="00056E89">
        <w:t xml:space="preserve"> </w:t>
      </w:r>
      <w:r w:rsidR="00DD7B43" w:rsidRPr="00056E89">
        <w:rPr>
          <w:b/>
        </w:rPr>
        <w:t>(Doc. 9)</w:t>
      </w:r>
      <w:r w:rsidR="00DD7B43" w:rsidRPr="00056E89">
        <w:t xml:space="preserve">, confutando le argomentazioni di CAP Holding e ribadendo che acquedotto e fognatura costituiscono due distinti servizi a rete, ciascuno autonomamente soggetto al CUP </w:t>
      </w:r>
      <w:r>
        <w:t>come confermato dall</w:t>
      </w:r>
      <w:r w:rsidR="00DD7B43" w:rsidRPr="00056E89">
        <w:t xml:space="preserve">a Corte di Cassazione, Sez. V, </w:t>
      </w:r>
      <w:r>
        <w:t xml:space="preserve">con sentenza </w:t>
      </w:r>
      <w:r w:rsidR="00DD7B43" w:rsidRPr="00056E89">
        <w:t>n. 2180 del 30 gennaio 2020</w:t>
      </w:r>
      <w:r>
        <w:t>.</w:t>
      </w:r>
    </w:p>
    <w:p w14:paraId="10000003" w14:textId="6B25FAE8" w:rsidR="00DD7B43" w:rsidRPr="00056E89" w:rsidRDefault="00C4180B" w:rsidP="00056E89">
      <w:pPr>
        <w:snapToGrid w:val="0"/>
        <w:spacing w:line="360" w:lineRule="auto"/>
        <w:ind w:firstLine="708"/>
        <w:jc w:val="both"/>
      </w:pPr>
      <w:r>
        <w:t xml:space="preserve">Per la Corte di Legittimità va tenuta distinta </w:t>
      </w:r>
      <w:r w:rsidR="00DD7B43" w:rsidRPr="00056E89">
        <w:t xml:space="preserve">la natura unitaria della gestione del servizio </w:t>
      </w:r>
      <w:r>
        <w:t xml:space="preserve">SII </w:t>
      </w:r>
      <w:r w:rsidR="00DD7B43" w:rsidRPr="00056E89">
        <w:t>dall’occupazione dello spazio pubblico degli impianti relativi alle condotte fognarie che si differenzia da quella delle condotte idriche.</w:t>
      </w:r>
    </w:p>
    <w:p w14:paraId="4023652E" w14:textId="0EDA4FB8" w:rsidR="00813F27" w:rsidRDefault="00813F27" w:rsidP="00056E89">
      <w:pPr>
        <w:snapToGrid w:val="0"/>
        <w:spacing w:line="360" w:lineRule="auto"/>
        <w:ind w:firstLine="708"/>
        <w:jc w:val="both"/>
      </w:pPr>
      <w:r>
        <w:t>Allora, i</w:t>
      </w:r>
      <w:r w:rsidR="00DD7B43" w:rsidRPr="00056E89">
        <w:t xml:space="preserve">n data </w:t>
      </w:r>
      <w:r w:rsidR="00DD7B43" w:rsidRPr="0015724E">
        <w:rPr>
          <w:b/>
          <w:bCs/>
        </w:rPr>
        <w:t>9 marzo 2026,</w:t>
      </w:r>
      <w:r w:rsidR="00DD7B43" w:rsidRPr="00056E89">
        <w:t xml:space="preserve"> CAP Holding ha trasmesso al Comune e ad Archivia Solution la dichiarazione delle utenze attive al 31 dicembre di ciascun anno (prot. n. 4363 DAF/FF/SA) </w:t>
      </w:r>
      <w:r w:rsidR="00DD7B43" w:rsidRPr="00056E89">
        <w:rPr>
          <w:b/>
        </w:rPr>
        <w:t>(Doc. 10)</w:t>
      </w:r>
      <w:r w:rsidR="00DD7B43" w:rsidRPr="00056E89">
        <w:t xml:space="preserve">, </w:t>
      </w:r>
      <w:r>
        <w:t>indicando</w:t>
      </w:r>
      <w:r w:rsidR="00DD7B43" w:rsidRPr="00056E89">
        <w:t xml:space="preserve">, per ciascuna annualità, </w:t>
      </w:r>
      <w:r>
        <w:t xml:space="preserve">il </w:t>
      </w:r>
      <w:r w:rsidR="00DD7B43" w:rsidRPr="00056E89">
        <w:t xml:space="preserve">numero </w:t>
      </w:r>
      <w:r>
        <w:t xml:space="preserve">sia di </w:t>
      </w:r>
      <w:r w:rsidR="00DD7B43" w:rsidRPr="00056E89">
        <w:t xml:space="preserve">utenze </w:t>
      </w:r>
      <w:r>
        <w:t xml:space="preserve">per </w:t>
      </w:r>
      <w:r w:rsidR="00DD7B43" w:rsidRPr="00056E89">
        <w:t xml:space="preserve">acqua potabile </w:t>
      </w:r>
      <w:r>
        <w:t xml:space="preserve">sia </w:t>
      </w:r>
      <w:r w:rsidR="00DD7B43" w:rsidRPr="00056E89">
        <w:t xml:space="preserve">di utenze </w:t>
      </w:r>
      <w:r>
        <w:t xml:space="preserve">per </w:t>
      </w:r>
      <w:r w:rsidR="00DD7B43" w:rsidRPr="00056E89">
        <w:t>fognatura.</w:t>
      </w:r>
    </w:p>
    <w:p w14:paraId="5BE378CF" w14:textId="77777777" w:rsidR="00813F27" w:rsidRDefault="00813F27" w:rsidP="00056E89">
      <w:pPr>
        <w:snapToGrid w:val="0"/>
        <w:spacing w:line="360" w:lineRule="auto"/>
        <w:ind w:firstLine="708"/>
        <w:jc w:val="both"/>
      </w:pPr>
      <w:r>
        <w:t xml:space="preserve">Tuttavia, come evidenziato da </w:t>
      </w:r>
      <w:r w:rsidR="00DD7B43" w:rsidRPr="00056E89">
        <w:t>Archivia Solution</w:t>
      </w:r>
      <w:r>
        <w:t xml:space="preserve">, con nota del </w:t>
      </w:r>
      <w:r w:rsidR="00DD7B43" w:rsidRPr="0015724E">
        <w:rPr>
          <w:b/>
          <w:bCs/>
        </w:rPr>
        <w:t>10 marzo 2026</w:t>
      </w:r>
      <w:r w:rsidR="00DD7B43" w:rsidRPr="00056E89">
        <w:t xml:space="preserve"> </w:t>
      </w:r>
      <w:r w:rsidR="00DD7B43" w:rsidRPr="00056E89">
        <w:rPr>
          <w:b/>
        </w:rPr>
        <w:t>(Doc. 11)</w:t>
      </w:r>
      <w:r w:rsidR="00DD7B43" w:rsidRPr="00056E89">
        <w:t>, i valori dichiarati risultavano incongrui rispetto alla popolazione del Comune (media 74.637 abitanti nel periodo 2021-2025)</w:t>
      </w:r>
      <w:r>
        <w:t xml:space="preserve">, pertanto sono stati chiesti </w:t>
      </w:r>
      <w:r w:rsidR="00DD7B43" w:rsidRPr="00056E89">
        <w:t>chiarimenti sulle modalità d</w:t>
      </w:r>
      <w:r>
        <w:t xml:space="preserve">el </w:t>
      </w:r>
      <w:r w:rsidR="00DD7B43" w:rsidRPr="00056E89">
        <w:t>calcolo</w:t>
      </w:r>
      <w:r>
        <w:t xml:space="preserve"> operato da Cap Holding</w:t>
      </w:r>
      <w:r w:rsidR="00DD7B43" w:rsidRPr="00056E89">
        <w:t>.</w:t>
      </w:r>
    </w:p>
    <w:p w14:paraId="10000004" w14:textId="3CEEB448" w:rsidR="00DD7B43" w:rsidRPr="0015724E" w:rsidRDefault="00813F27" w:rsidP="00056E89">
      <w:pPr>
        <w:snapToGrid w:val="0"/>
        <w:spacing w:line="360" w:lineRule="auto"/>
        <w:ind w:firstLine="708"/>
        <w:jc w:val="both"/>
        <w:rPr>
          <w:b/>
          <w:bCs/>
        </w:rPr>
      </w:pPr>
      <w:r>
        <w:t>A tale richiesta, i</w:t>
      </w:r>
      <w:r w:rsidR="00DD7B43" w:rsidRPr="00056E89">
        <w:t xml:space="preserve">n data </w:t>
      </w:r>
      <w:r w:rsidR="00DD7B43" w:rsidRPr="0015724E">
        <w:rPr>
          <w:b/>
          <w:bCs/>
        </w:rPr>
        <w:t>11 marzo 2026</w:t>
      </w:r>
      <w:r w:rsidR="00DD7B43" w:rsidRPr="00056E89">
        <w:t xml:space="preserve">, </w:t>
      </w:r>
      <w:r>
        <w:t>Cap Hol</w:t>
      </w:r>
      <w:r w:rsidR="00DD7B43" w:rsidRPr="00056E89">
        <w:t xml:space="preserve">ding </w:t>
      </w:r>
      <w:r>
        <w:t xml:space="preserve">ha replicato </w:t>
      </w:r>
      <w:r w:rsidR="00DD7B43" w:rsidRPr="00056E89">
        <w:t>conferma</w:t>
      </w:r>
      <w:r>
        <w:t>ndo</w:t>
      </w:r>
      <w:r w:rsidR="00DD7B43" w:rsidRPr="00056E89">
        <w:t xml:space="preserve"> </w:t>
      </w:r>
      <w:r>
        <w:t>il</w:t>
      </w:r>
      <w:r w:rsidR="00DD7B43" w:rsidRPr="00056E89">
        <w:t xml:space="preserve"> </w:t>
      </w:r>
      <w:r>
        <w:t xml:space="preserve">numero di </w:t>
      </w:r>
      <w:r w:rsidR="00DD7B43" w:rsidRPr="00056E89">
        <w:t xml:space="preserve">utenze </w:t>
      </w:r>
      <w:r w:rsidR="00DD7B43" w:rsidRPr="00056E89">
        <w:rPr>
          <w:b/>
        </w:rPr>
        <w:t>(Doc. 12)</w:t>
      </w:r>
      <w:r w:rsidR="00DD7B43" w:rsidRPr="00056E89">
        <w:t xml:space="preserve">, </w:t>
      </w:r>
      <w:r w:rsidR="00DD7B43" w:rsidRPr="0015724E">
        <w:rPr>
          <w:b/>
          <w:bCs/>
        </w:rPr>
        <w:t xml:space="preserve">senza fornire ulteriori spiegazioni </w:t>
      </w:r>
      <w:r w:rsidR="007D2C63">
        <w:rPr>
          <w:b/>
          <w:bCs/>
        </w:rPr>
        <w:t>soprattutto con riferimento alle rilevate incongruità</w:t>
      </w:r>
      <w:r w:rsidR="00DD7B43" w:rsidRPr="0015724E">
        <w:rPr>
          <w:b/>
          <w:bCs/>
        </w:rPr>
        <w:t>.</w:t>
      </w:r>
    </w:p>
    <w:p w14:paraId="49C988E9" w14:textId="45B193E7" w:rsidR="007D2C63" w:rsidRDefault="007D2C63" w:rsidP="00056E89">
      <w:pPr>
        <w:snapToGrid w:val="0"/>
        <w:spacing w:line="360" w:lineRule="auto"/>
        <w:ind w:firstLine="708"/>
        <w:jc w:val="both"/>
      </w:pPr>
      <w:r>
        <w:t xml:space="preserve">Quindi, sulla base dei dati </w:t>
      </w:r>
      <w:r w:rsidR="00DD7B43" w:rsidRPr="00056E89">
        <w:t>dichiara</w:t>
      </w:r>
      <w:r>
        <w:t xml:space="preserve">ti dalla </w:t>
      </w:r>
      <w:r w:rsidR="00DD7B43" w:rsidRPr="00056E89">
        <w:t>stessa CAP Holding</w:t>
      </w:r>
      <w:r>
        <w:t xml:space="preserve">, </w:t>
      </w:r>
      <w:r w:rsidR="00DD7B43" w:rsidRPr="00056E89">
        <w:t xml:space="preserve">il </w:t>
      </w:r>
      <w:r w:rsidR="00DD7B43" w:rsidRPr="0015724E">
        <w:rPr>
          <w:b/>
          <w:bCs/>
        </w:rPr>
        <w:t>Comune ha emesso l’avviso di accertamento esecutivo n. 19</w:t>
      </w:r>
      <w:r>
        <w:rPr>
          <w:b/>
          <w:bCs/>
        </w:rPr>
        <w:t xml:space="preserve"> qui impugnato</w:t>
      </w:r>
      <w:r w:rsidR="00DD7B43" w:rsidRPr="0015724E">
        <w:rPr>
          <w:b/>
          <w:bCs/>
        </w:rPr>
        <w:t>,</w:t>
      </w:r>
      <w:r w:rsidR="00DD7B43" w:rsidRPr="00056E89">
        <w:t xml:space="preserve"> </w:t>
      </w:r>
      <w:r>
        <w:t xml:space="preserve">per la differena di canone ancora dovuta, </w:t>
      </w:r>
      <w:r w:rsidR="00DD7B43" w:rsidRPr="00056E89">
        <w:t xml:space="preserve">calcolando il </w:t>
      </w:r>
      <w:r>
        <w:t xml:space="preserve">dovuto </w:t>
      </w:r>
      <w:r w:rsidR="00DD7B43" w:rsidRPr="00056E89">
        <w:t xml:space="preserve">sulla somma delle utenze di entrambi i servizi, in conformità al dettato del comma 831 e al Regolamento CUP comunale. </w:t>
      </w:r>
    </w:p>
    <w:p w14:paraId="10000005" w14:textId="4883ECEB" w:rsidR="00DD7B43" w:rsidRDefault="00DD7B43" w:rsidP="00056E89">
      <w:pPr>
        <w:snapToGrid w:val="0"/>
        <w:spacing w:line="360" w:lineRule="auto"/>
        <w:ind w:firstLine="708"/>
        <w:jc w:val="both"/>
      </w:pPr>
      <w:r w:rsidRPr="00056E89">
        <w:t xml:space="preserve">Il totale accertato ammonta a </w:t>
      </w:r>
      <w:r w:rsidRPr="00056E89">
        <w:rPr>
          <w:b/>
        </w:rPr>
        <w:t>Euro 41.854,00</w:t>
      </w:r>
      <w:r w:rsidRPr="00056E89">
        <w:t>.</w:t>
      </w:r>
    </w:p>
    <w:p w14:paraId="1000000B" w14:textId="28C6AC83" w:rsidR="00DD7B43" w:rsidRPr="00056E89" w:rsidRDefault="007D2C63" w:rsidP="00056E89">
      <w:pPr>
        <w:snapToGrid w:val="0"/>
        <w:spacing w:line="360" w:lineRule="auto"/>
        <w:ind w:firstLine="708"/>
        <w:jc w:val="both"/>
      </w:pPr>
      <w:r>
        <w:lastRenderedPageBreak/>
        <w:t>Senonchè c</w:t>
      </w:r>
      <w:r w:rsidR="0015724E" w:rsidRPr="00056E89">
        <w:t xml:space="preserve">on ricorso notificato </w:t>
      </w:r>
      <w:r w:rsidR="0015724E">
        <w:t xml:space="preserve">in data </w:t>
      </w:r>
      <w:r w:rsidR="0015724E" w:rsidRPr="00056E89">
        <w:t>20 maggio 2026</w:t>
      </w:r>
      <w:r w:rsidR="0015724E" w:rsidRPr="00EE2A96">
        <w:t xml:space="preserve">, </w:t>
      </w:r>
      <w:r w:rsidR="00DD7B43" w:rsidRPr="00EE2A96">
        <w:t xml:space="preserve">CAP Holding </w:t>
      </w:r>
      <w:r w:rsidR="00EE2A96" w:rsidRPr="00EE2A96">
        <w:t xml:space="preserve">ha </w:t>
      </w:r>
      <w:r>
        <w:t xml:space="preserve">impugnato il suddetto avviso </w:t>
      </w:r>
      <w:r w:rsidR="00EE2A96" w:rsidRPr="00EE2A96">
        <w:t>eccep</w:t>
      </w:r>
      <w:r>
        <w:t>endo</w:t>
      </w:r>
      <w:r w:rsidR="00DD7B43" w:rsidRPr="00EE2A96">
        <w:t>:</w:t>
      </w:r>
      <w:r>
        <w:t xml:space="preserve"> 1) </w:t>
      </w:r>
      <w:r w:rsidR="00DD7B43" w:rsidRPr="00EE2A96">
        <w:t>difetto di motivazione dell’avviso di accertamento e contraddittorietà circa la giurisdizione competente;</w:t>
      </w:r>
      <w:r>
        <w:t xml:space="preserve"> 2) </w:t>
      </w:r>
      <w:r w:rsidR="00DD7B43" w:rsidRPr="00056E89">
        <w:t>assenza di base regolamentare per l’assoggettamento della rete fognaria al CUP, in quanto l’art. 53, co. 8 del Regolamento CUP comunale non menzionerebbe espressamente la fognatura;</w:t>
      </w:r>
      <w:r>
        <w:t xml:space="preserve"> 3) </w:t>
      </w:r>
      <w:r w:rsidR="00DD7B43" w:rsidRPr="00056E89">
        <w:t>unitarietà del Servizio Idrico Integrato e conseguente illegittimità del computo separato delle utenze fognarie;</w:t>
      </w:r>
      <w:r>
        <w:t xml:space="preserve"> 4) </w:t>
      </w:r>
      <w:r w:rsidR="00DD7B43" w:rsidRPr="00056E89">
        <w:t>in subordine, qualificazione della gestione fognaria come attività strumentale, con applicazione della tariffa fissa di Euro 800 annui;</w:t>
      </w:r>
      <w:r>
        <w:t xml:space="preserve"> 5) </w:t>
      </w:r>
      <w:r w:rsidR="00DD7B43" w:rsidRPr="00056E89">
        <w:t>illegittimità delle sanzioni per buona fede e incertezza normativa oggettiva.</w:t>
      </w:r>
    </w:p>
    <w:p w14:paraId="1000000C" w14:textId="77777777" w:rsidR="00DD7B43" w:rsidRPr="00056E89" w:rsidRDefault="00DD7B43" w:rsidP="00056E89">
      <w:pPr>
        <w:snapToGrid w:val="0"/>
        <w:spacing w:line="360" w:lineRule="auto"/>
        <w:ind w:firstLine="708"/>
        <w:jc w:val="both"/>
      </w:pPr>
      <w:r w:rsidRPr="00056E89">
        <w:t>Il ricorso è infondato in fatto e in diritto.</w:t>
      </w:r>
    </w:p>
    <w:p w14:paraId="1000000D" w14:textId="77777777" w:rsidR="00DD7B43" w:rsidRDefault="00DD7B43" w:rsidP="00056E89">
      <w:pPr>
        <w:snapToGrid w:val="0"/>
        <w:spacing w:line="360" w:lineRule="auto"/>
        <w:ind w:firstLine="708"/>
        <w:jc w:val="both"/>
      </w:pPr>
      <w:r w:rsidRPr="00056E89">
        <w:t>Con il presente atto si costituisce in giudizio il Comune di Cinisello Balsamo, come sopra rappresentato e difeso, che contesta integralmente le avverse domande delle quali chiede l’integrale rigetto per i seguenti</w:t>
      </w:r>
    </w:p>
    <w:p w14:paraId="1000000E" w14:textId="77777777" w:rsidR="00DD7B43" w:rsidRPr="00056E89" w:rsidRDefault="00DD7B43" w:rsidP="001548DC">
      <w:pPr>
        <w:snapToGrid w:val="0"/>
        <w:spacing w:line="360" w:lineRule="auto"/>
        <w:jc w:val="center"/>
        <w:rPr>
          <w:b/>
          <w:bCs/>
        </w:rPr>
      </w:pPr>
      <w:r w:rsidRPr="00056E89">
        <w:rPr>
          <w:b/>
          <w:bCs/>
        </w:rPr>
        <w:t>MOTIVI</w:t>
      </w:r>
    </w:p>
    <w:p w14:paraId="10000013" w14:textId="44FC0BE1" w:rsidR="00DD7B43" w:rsidRPr="00056E89" w:rsidRDefault="00DD7B43" w:rsidP="00056E89">
      <w:pPr>
        <w:snapToGrid w:val="0"/>
        <w:spacing w:line="360" w:lineRule="auto"/>
        <w:ind w:firstLine="708"/>
        <w:jc w:val="both"/>
      </w:pPr>
      <w:r w:rsidRPr="00056E89">
        <w:rPr>
          <w:b/>
          <w:bCs/>
        </w:rPr>
        <w:t xml:space="preserve">1. </w:t>
      </w:r>
      <w:r w:rsidR="001548DC">
        <w:rPr>
          <w:b/>
          <w:bCs/>
        </w:rPr>
        <w:t>I</w:t>
      </w:r>
      <w:r w:rsidRPr="00056E89">
        <w:t xml:space="preserve">l </w:t>
      </w:r>
      <w:r w:rsidR="001548DC">
        <w:t xml:space="preserve">lamentato </w:t>
      </w:r>
      <w:r w:rsidRPr="00056E89">
        <w:t xml:space="preserve">difetto di motivazione dell’avviso di accertamento ex art. 7 della L. n. 212/2000 e </w:t>
      </w:r>
      <w:r w:rsidR="001548DC">
        <w:t xml:space="preserve">la pretesa </w:t>
      </w:r>
      <w:r w:rsidRPr="00056E89">
        <w:t>contraddittorietà circa la giurisdizione competente</w:t>
      </w:r>
      <w:r w:rsidR="001548DC">
        <w:t xml:space="preserve"> sono infondati</w:t>
      </w:r>
      <w:r w:rsidRPr="00056E89">
        <w:t>.</w:t>
      </w:r>
    </w:p>
    <w:p w14:paraId="2A1D200E" w14:textId="77777777" w:rsidR="001548DC" w:rsidRDefault="001548DC" w:rsidP="00056E89">
      <w:pPr>
        <w:snapToGrid w:val="0"/>
        <w:spacing w:line="360" w:lineRule="auto"/>
        <w:ind w:firstLine="708"/>
        <w:jc w:val="both"/>
      </w:pPr>
      <w:r>
        <w:t xml:space="preserve">Ed infatti, </w:t>
      </w:r>
      <w:r w:rsidR="00DD7B43" w:rsidRPr="00056E89">
        <w:t xml:space="preserve">l’avviso impugnato indica espressamente il presupposto normativo (art. 1, comma 831, L. n. 160/2019 e delibera CC n. 18/2021 del Regolamento CUP – Doc. 3), il presupposto di fatto (conduzione della rete idrica pubblica a titolo di uso gratuito per l’erogazione dei servizi di acqua potabile e fognatura), il metodo di calcolo (numero di utenze x tariffa unitaria) e i dati dichiarati dalla stessa CAP Holding con comunicazione prot. n. 4363 del 9 marzo 2026. La motivazione è pertanto idonea a consentire alla ricorrente di comprendere le ragioni della pretesa ed esercitare il proprio diritto di difesa, come dimostrato dal fatto stesso che CAP Holding ha articolato un ricorso puntuale e dettagliato. </w:t>
      </w:r>
    </w:p>
    <w:p w14:paraId="10000014" w14:textId="7F6660CC" w:rsidR="00DD7B43" w:rsidRPr="00056E89" w:rsidRDefault="00DD7B43" w:rsidP="00056E89">
      <w:pPr>
        <w:snapToGrid w:val="0"/>
        <w:spacing w:line="360" w:lineRule="auto"/>
        <w:ind w:firstLine="708"/>
        <w:jc w:val="both"/>
      </w:pPr>
      <w:r w:rsidRPr="00056E89">
        <w:t>Peraltro, i dati su cui si fonda il calcolo – il numero di utenze acqua e fognatura per ciascuna annualità – sono stati comunicati dalla stessa CAP Holding, sicché la ricorrente era in possesso di tutti gli elementi necessari per comprendere e contestare la pretesa</w:t>
      </w:r>
      <w:r w:rsidR="001548DC">
        <w:t>, come emerge dal ricorso proposto</w:t>
      </w:r>
      <w:r w:rsidRPr="00056E89">
        <w:t>.</w:t>
      </w:r>
    </w:p>
    <w:p w14:paraId="2ED72D6E" w14:textId="77777777" w:rsidR="001548DC" w:rsidRDefault="00DD7B43" w:rsidP="00056E89">
      <w:pPr>
        <w:snapToGrid w:val="0"/>
        <w:spacing w:line="360" w:lineRule="auto"/>
        <w:ind w:firstLine="708"/>
        <w:jc w:val="both"/>
        <w:rPr>
          <w:b/>
          <w:bCs/>
        </w:rPr>
      </w:pPr>
      <w:r w:rsidRPr="00056E89">
        <w:t xml:space="preserve">Quanto alla pretesa contraddittorietà sulla giurisdizione, è sufficiente osservare che </w:t>
      </w:r>
      <w:r w:rsidRPr="00056E89">
        <w:rPr>
          <w:b/>
          <w:bCs/>
        </w:rPr>
        <w:t xml:space="preserve">la sezione “Modalità di opposizione” dell’avviso indica univocamente la Corte di Giustizia Tributaria di primo grado di Milano quale </w:t>
      </w:r>
      <w:r w:rsidR="00AF485B" w:rsidRPr="00056E89">
        <w:rPr>
          <w:b/>
          <w:bCs/>
        </w:rPr>
        <w:t>organo</w:t>
      </w:r>
      <w:r w:rsidRPr="00056E89">
        <w:rPr>
          <w:b/>
          <w:bCs/>
        </w:rPr>
        <w:t xml:space="preserve"> competente, come peraltro correttamente recepito dalla stessa ricorrente che a tale </w:t>
      </w:r>
      <w:r w:rsidR="00AF485B" w:rsidRPr="00056E89">
        <w:rPr>
          <w:b/>
          <w:bCs/>
        </w:rPr>
        <w:t>organo</w:t>
      </w:r>
      <w:r w:rsidRPr="00056E89">
        <w:rPr>
          <w:b/>
          <w:bCs/>
        </w:rPr>
        <w:t xml:space="preserve"> si è rivolta. </w:t>
      </w:r>
    </w:p>
    <w:p w14:paraId="10000015" w14:textId="75CA8EBA" w:rsidR="00DD7B43" w:rsidRPr="00056E89" w:rsidRDefault="00DD7B43" w:rsidP="00056E89">
      <w:pPr>
        <w:snapToGrid w:val="0"/>
        <w:spacing w:line="360" w:lineRule="auto"/>
        <w:ind w:firstLine="708"/>
        <w:jc w:val="both"/>
      </w:pPr>
      <w:r w:rsidRPr="00056E89">
        <w:lastRenderedPageBreak/>
        <w:t xml:space="preserve">L’eventuale imprecisione redazionale nella sezione “Riesame dell’atto” – riferita all’autotutela e non all’impugnazione giurisdizionale – non produce alcuna nullità dell’atto, non avendo causato alcun pregiudizio concreto alla ricorrente né alcuna incertezza nella scelta del </w:t>
      </w:r>
      <w:r w:rsidR="001548DC">
        <w:t>Organo Giurisdizionale</w:t>
      </w:r>
      <w:r w:rsidRPr="00056E89">
        <w:t>.</w:t>
      </w:r>
    </w:p>
    <w:p w14:paraId="64C627CE" w14:textId="77777777" w:rsidR="001548DC" w:rsidRDefault="00DD7B43" w:rsidP="00056E89">
      <w:pPr>
        <w:snapToGrid w:val="0"/>
        <w:spacing w:line="360" w:lineRule="auto"/>
        <w:ind w:firstLine="708"/>
        <w:jc w:val="both"/>
      </w:pPr>
      <w:r w:rsidRPr="00056E89">
        <w:rPr>
          <w:b/>
          <w:bCs/>
        </w:rPr>
        <w:t xml:space="preserve">2. </w:t>
      </w:r>
      <w:r w:rsidR="003A388C" w:rsidRPr="00056E89">
        <w:t>Con riferimento al</w:t>
      </w:r>
      <w:r w:rsidR="001548DC">
        <w:t>la seconda doglianza</w:t>
      </w:r>
      <w:r w:rsidR="003A388C" w:rsidRPr="00056E89">
        <w:t xml:space="preserve"> va rilevato che la lettura proposta da CAP Holding dell'art. 53, comma 8, del Regolamento CUP del Comune di Cinisello Balsamo è manifestamente erronea. </w:t>
      </w:r>
    </w:p>
    <w:p w14:paraId="7F9A9D42" w14:textId="77777777" w:rsidR="001548DC" w:rsidRDefault="003A388C" w:rsidP="00056E89">
      <w:pPr>
        <w:snapToGrid w:val="0"/>
        <w:spacing w:line="360" w:lineRule="auto"/>
        <w:ind w:firstLine="708"/>
        <w:jc w:val="both"/>
      </w:pPr>
      <w:r w:rsidRPr="00056E89">
        <w:t>La norma regolamentare non contiene alcun elenco tassativo e chiuso dei servizi a rete soggetti al canone: al contrario, rinvia espressamente alle "</w:t>
      </w:r>
      <w:r w:rsidRPr="00613892">
        <w:rPr>
          <w:i/>
          <w:iCs/>
        </w:rPr>
        <w:t>disposizioni normative, di volta in volta vigenti, regolanti la specifica materia"</w:t>
      </w:r>
      <w:r w:rsidRPr="00056E89">
        <w:t xml:space="preserve">, con ciò recependo dinamicamente il comma 831 della L. n. 160/2019 nella sua integrale portata applicativa. </w:t>
      </w:r>
    </w:p>
    <w:p w14:paraId="2618BA33" w14:textId="20F20445" w:rsidR="003A388C" w:rsidRPr="00056E89" w:rsidRDefault="003A388C" w:rsidP="00056E89">
      <w:pPr>
        <w:snapToGrid w:val="0"/>
        <w:spacing w:line="360" w:lineRule="auto"/>
        <w:ind w:firstLine="708"/>
        <w:jc w:val="both"/>
      </w:pPr>
      <w:r w:rsidRPr="00056E89">
        <w:t>Ne consegue che l'assoggettamento al CUP della rete fognaria trova piena copertura</w:t>
      </w:r>
      <w:r w:rsidR="00775D3D" w:rsidRPr="00056E89">
        <w:t xml:space="preserve">, oltre che nelle </w:t>
      </w:r>
      <w:r w:rsidR="00613892" w:rsidRPr="00056E89">
        <w:t>predette</w:t>
      </w:r>
      <w:r w:rsidR="00775D3D" w:rsidRPr="00056E89">
        <w:t xml:space="preserve"> disposizioni normative della L. n. 160/2019, anche nella previsione </w:t>
      </w:r>
      <w:r w:rsidRPr="00056E89">
        <w:t xml:space="preserve"> regolamentare nell'art. 53, comma 8, per il tramite del rinvio alla normativa statale vigente, e che nessuna lacuna regolamentare è configurabile nel caso di specie.</w:t>
      </w:r>
    </w:p>
    <w:p w14:paraId="142CCDB3" w14:textId="4E02FB02" w:rsidR="00BD3243" w:rsidRPr="00056E89" w:rsidRDefault="00775D3D" w:rsidP="00056E89">
      <w:pPr>
        <w:snapToGrid w:val="0"/>
        <w:spacing w:line="360" w:lineRule="auto"/>
        <w:ind w:firstLine="708"/>
        <w:jc w:val="both"/>
      </w:pPr>
      <w:r w:rsidRPr="00056E89">
        <w:t xml:space="preserve">Si evidenzia poi, che </w:t>
      </w:r>
      <w:r w:rsidR="00BD3243" w:rsidRPr="00056E89">
        <w:t>per “servizio di acquedotto” si intende l’insieme dei servizi pubblici di captazione, adduzione, potabilizzazione, distribuzione dell’acqua destinata al consumo umano. In questo caso l’allacciamento idrico è l’operazione che consente di collegare l’impianto della singola utenza alla rete locale di acquedotto.</w:t>
      </w:r>
    </w:p>
    <w:p w14:paraId="2B664797" w14:textId="1CAC01E6" w:rsidR="00BD3243" w:rsidRPr="00056E89" w:rsidRDefault="00BD3243" w:rsidP="00056E89">
      <w:pPr>
        <w:snapToGrid w:val="0"/>
        <w:spacing w:line="360" w:lineRule="auto"/>
        <w:ind w:firstLine="708"/>
        <w:jc w:val="both"/>
      </w:pPr>
      <w:r w:rsidRPr="00056E89">
        <w:t>Con il servizio di fognatura si intende, invece, l’insieme dei servizi pubblici di</w:t>
      </w:r>
      <w:r w:rsidR="004D1EF1">
        <w:t xml:space="preserve"> </w:t>
      </w:r>
      <w:r w:rsidRPr="00056E89">
        <w:t>collettamento e allontanamento di acque reflue urbane e di dilavamento meteorico. L’allacciamento fognario, in questo caso, riguarda il collegamento tra il punto di scarico della fognatura e la pubblica fognatura.</w:t>
      </w:r>
    </w:p>
    <w:p w14:paraId="2CD3512A" w14:textId="7D3FDD85" w:rsidR="00BD3243" w:rsidRPr="00056E89" w:rsidRDefault="00BD3243" w:rsidP="00056E89">
      <w:pPr>
        <w:snapToGrid w:val="0"/>
        <w:spacing w:line="360" w:lineRule="auto"/>
        <w:ind w:firstLine="708"/>
        <w:jc w:val="both"/>
      </w:pPr>
      <w:r w:rsidRPr="00056E89">
        <w:t>Pertanto, ai fini del calcolo del canone dovranno correttamente essere conteggiate sia le utenze servite per la fornitura dell’acqua potabile, sia le utenze allacciate alla rete fognaria, due distinti servizi, uniti dalla normativa e dall’autorità di competenza, che dovranno tuttavia essere considerati distinti nell’applicazione del CUP</w:t>
      </w:r>
      <w:r w:rsidR="001548DC">
        <w:t xml:space="preserve"> determinado diverse occupazioni del suolo pubblico</w:t>
      </w:r>
      <w:r w:rsidRPr="00056E89">
        <w:t>.</w:t>
      </w:r>
    </w:p>
    <w:p w14:paraId="10000017" w14:textId="7FEFBFA7" w:rsidR="00DD7B43" w:rsidRPr="00056E89" w:rsidRDefault="00DD7B43" w:rsidP="00056E89">
      <w:pPr>
        <w:snapToGrid w:val="0"/>
        <w:spacing w:line="360" w:lineRule="auto"/>
        <w:ind w:firstLine="708"/>
        <w:jc w:val="both"/>
      </w:pPr>
      <w:r w:rsidRPr="00056E89">
        <w:t>Il termine “acqua”</w:t>
      </w:r>
      <w:r w:rsidR="00BD3243" w:rsidRPr="00056E89">
        <w:t xml:space="preserve"> </w:t>
      </w:r>
      <w:r w:rsidRPr="00056E89">
        <w:t>contenuto nel</w:t>
      </w:r>
      <w:r w:rsidR="00BD3243" w:rsidRPr="00056E89">
        <w:t xml:space="preserve"> </w:t>
      </w:r>
      <w:r w:rsidRPr="00056E89">
        <w:t>comma 831, va inteso</w:t>
      </w:r>
      <w:r w:rsidR="00BD3243" w:rsidRPr="00056E89">
        <w:t>, pertanto,</w:t>
      </w:r>
      <w:r w:rsidRPr="00056E89">
        <w:t xml:space="preserve"> nel significato tecnico-normativo che esso riveste nell’ordinamento di settore: non la sola acqua potabile in senso stretto, ma l’intero servizio idrico integrato come definito dall’art. 141, comma 2, del D.Lgs. n. 152/2006, comprensivo della captazione, distribuzione, fognatura e depurazione. </w:t>
      </w:r>
    </w:p>
    <w:p w14:paraId="10000019" w14:textId="2D49CE85" w:rsidR="00DD7B43" w:rsidRPr="00056E89" w:rsidRDefault="00DD7B43" w:rsidP="00056E89">
      <w:pPr>
        <w:snapToGrid w:val="0"/>
        <w:spacing w:line="360" w:lineRule="auto"/>
        <w:ind w:firstLine="708"/>
        <w:jc w:val="both"/>
      </w:pPr>
      <w:r w:rsidRPr="00056E89">
        <w:rPr>
          <w:b/>
          <w:bCs/>
        </w:rPr>
        <w:lastRenderedPageBreak/>
        <w:t xml:space="preserve">3. </w:t>
      </w:r>
      <w:r w:rsidRPr="00056E89">
        <w:t>L’eccezione principale di CAP Holding</w:t>
      </w:r>
      <w:r w:rsidR="00775D3D" w:rsidRPr="00056E89">
        <w:t xml:space="preserve">, </w:t>
      </w:r>
      <w:r w:rsidRPr="00056E89">
        <w:t>secondo cui l’unitarietà gestionale del SII impedirebbe il computo separato delle utenze fognarie ai fini del CUP</w:t>
      </w:r>
      <w:r w:rsidR="00775D3D" w:rsidRPr="00056E89">
        <w:t>,</w:t>
      </w:r>
      <w:r w:rsidRPr="00056E89">
        <w:t xml:space="preserve"> è fondata su un’erronea confusione tra due piani logicamente distinti: il piano del rapporto contrattuale gestore-utente finale e il piano del presupposto impositivo del CUP.</w:t>
      </w:r>
    </w:p>
    <w:p w14:paraId="5B0ABE6D" w14:textId="45D6CDC1" w:rsidR="00AF485B" w:rsidRPr="00056E89" w:rsidRDefault="00AF485B" w:rsidP="00056E89">
      <w:pPr>
        <w:spacing w:line="360" w:lineRule="auto"/>
        <w:ind w:firstLine="708"/>
        <w:jc w:val="both"/>
        <w:rPr>
          <w:b/>
          <w:u w:val="single"/>
        </w:rPr>
      </w:pPr>
      <w:r w:rsidRPr="00056E89">
        <w:t>L’art. 1, comma 831 della L. n. 160/2019 stabilisce</w:t>
      </w:r>
      <w:r w:rsidR="00315C86">
        <w:t>, infatti,</w:t>
      </w:r>
      <w:r w:rsidRPr="00056E89">
        <w:t xml:space="preserve"> che il canone è dovuto per le occupazioni permanenti del territorio comunale con cavi e condutture </w:t>
      </w:r>
      <w:r w:rsidRPr="00056E89">
        <w:rPr>
          <w:i/>
          <w:iCs/>
        </w:rPr>
        <w:t>“da chiunque effettuata per la fornitura di servizi di pubblica utilità”</w:t>
      </w:r>
      <w:r w:rsidRPr="00056E89">
        <w:t xml:space="preserve">, calcolato </w:t>
      </w:r>
      <w:r w:rsidRPr="00056E89">
        <w:rPr>
          <w:i/>
          <w:iCs/>
        </w:rPr>
        <w:t>“sulla base del numero delle rispettive utenze moltiplicate per la seguente tariffa forfetaria”</w:t>
      </w:r>
      <w:r w:rsidRPr="00056E89">
        <w:t xml:space="preserve">. Il riferimento alle </w:t>
      </w:r>
      <w:r w:rsidRPr="00056E89">
        <w:rPr>
          <w:i/>
          <w:iCs/>
        </w:rPr>
        <w:t>“rispettive utenze”</w:t>
      </w:r>
      <w:r w:rsidRPr="00056E89">
        <w:t xml:space="preserve"> è significativo</w:t>
      </w:r>
      <w:r w:rsidR="00315C86">
        <w:t xml:space="preserve">, ed invero, </w:t>
      </w:r>
      <w:r w:rsidRPr="00056E89">
        <w:t xml:space="preserve">la norma </w:t>
      </w:r>
      <w:r w:rsidRPr="00056E89">
        <w:rPr>
          <w:b/>
          <w:u w:val="single"/>
        </w:rPr>
        <w:t>individua le utenze per ciascun servizio, non un’utenza complessiva indistinta.</w:t>
      </w:r>
    </w:p>
    <w:p w14:paraId="285A8ACF" w14:textId="0687E6BC" w:rsidR="00AF485B" w:rsidRPr="00056E89" w:rsidRDefault="00315C86" w:rsidP="00056E89">
      <w:pPr>
        <w:spacing w:line="360" w:lineRule="auto"/>
        <w:ind w:firstLine="708"/>
        <w:jc w:val="both"/>
      </w:pPr>
      <w:r w:rsidRPr="00315C86">
        <w:rPr>
          <w:bCs/>
        </w:rPr>
        <w:t xml:space="preserve">Come detto, </w:t>
      </w:r>
      <w:r>
        <w:rPr>
          <w:b/>
          <w:u w:val="single"/>
        </w:rPr>
        <w:t>i</w:t>
      </w:r>
      <w:r w:rsidR="00AF485B" w:rsidRPr="00056E89">
        <w:rPr>
          <w:b/>
          <w:u w:val="single"/>
        </w:rPr>
        <w:t xml:space="preserve">l servizio di distribuzione idrica e il servizio di allaccio alla rete fognaria costituiscono </w:t>
      </w:r>
      <w:r w:rsidR="00AF485B" w:rsidRPr="00056E89">
        <w:rPr>
          <w:b/>
          <w:bCs/>
          <w:u w:val="single"/>
        </w:rPr>
        <w:t>due distinti servizi a rete</w:t>
      </w:r>
      <w:r w:rsidR="00AF485B" w:rsidRPr="00056E89">
        <w:t xml:space="preserve">, entrambi espressamente ricompresi nell’elenco della norma, che realizzano occupazioni di suolo pubblico attraverso condotte fisicamente distinte, funzionalmente diverse e con bacini di utenza autonomi. </w:t>
      </w:r>
    </w:p>
    <w:p w14:paraId="348BF43A" w14:textId="77777777" w:rsidR="00AF485B" w:rsidRPr="00056E89" w:rsidRDefault="00AF485B" w:rsidP="00056E89">
      <w:pPr>
        <w:spacing w:line="360" w:lineRule="auto"/>
        <w:ind w:firstLine="708"/>
        <w:jc w:val="both"/>
      </w:pPr>
      <w:r w:rsidRPr="00056E89">
        <w:t>La circostanza che entrambi rientrino nel perimetro del Servizio Idrico Integrato, come definito dal D.P.C.M. del 20 luglio 2012 e dall’art. 141 D.Lgs. n. 152/2006, non può far venir meno la loro individualità ai fini del calcolo del canone.</w:t>
      </w:r>
    </w:p>
    <w:p w14:paraId="7825246B" w14:textId="78B59FA3" w:rsidR="00AF485B" w:rsidRPr="00056E89" w:rsidRDefault="00AF485B" w:rsidP="00056E89">
      <w:pPr>
        <w:spacing w:line="360" w:lineRule="auto"/>
        <w:ind w:firstLine="708"/>
        <w:jc w:val="both"/>
      </w:pPr>
      <w:r w:rsidRPr="00056E89">
        <w:t xml:space="preserve">In tal senso si è espressa la Corte di Cassazione, Sez. V, con sentenza n. 2180 del 30 gennaio 2020 </w:t>
      </w:r>
      <w:r w:rsidR="00A559E5" w:rsidRPr="00056E89">
        <w:rPr>
          <w:b/>
        </w:rPr>
        <w:t xml:space="preserve">(Doc. </w:t>
      </w:r>
      <w:r w:rsidR="00A559E5">
        <w:rPr>
          <w:b/>
        </w:rPr>
        <w:t>1</w:t>
      </w:r>
      <w:r w:rsidR="002A21A7">
        <w:rPr>
          <w:b/>
        </w:rPr>
        <w:t>3</w:t>
      </w:r>
      <w:r w:rsidR="00A559E5" w:rsidRPr="00056E89">
        <w:rPr>
          <w:b/>
        </w:rPr>
        <w:t>)</w:t>
      </w:r>
      <w:r w:rsidR="00A559E5">
        <w:t xml:space="preserve"> </w:t>
      </w:r>
      <w:r w:rsidRPr="00056E89">
        <w:t xml:space="preserve">nella quale i giudici hanno </w:t>
      </w:r>
      <w:r w:rsidR="00315C86">
        <w:t>fissato mil seguente principio</w:t>
      </w:r>
      <w:r w:rsidRPr="00056E89">
        <w:t xml:space="preserve">: </w:t>
      </w:r>
      <w:r w:rsidRPr="00056E89">
        <w:rPr>
          <w:i/>
          <w:iCs/>
        </w:rPr>
        <w:t xml:space="preserve">“Occorre infatti tenere distinte ai fini in questione la natura unitaria della gestione del servizio, </w:t>
      </w:r>
      <w:r w:rsidRPr="00315C86">
        <w:rPr>
          <w:b/>
          <w:bCs/>
          <w:i/>
          <w:iCs/>
          <w:u w:val="single"/>
        </w:rPr>
        <w:t>dall’occupazione dello spazio pubblico degli impianti relativo alle condotte fognarie, che si differenzia da quella delle condotte idriche sicché non si può parlare di una duplicazione di tassazione</w:t>
      </w:r>
      <w:r w:rsidRPr="00056E89">
        <w:rPr>
          <w:i/>
          <w:iCs/>
        </w:rPr>
        <w:t>”</w:t>
      </w:r>
      <w:r w:rsidRPr="00056E89">
        <w:t>.</w:t>
      </w:r>
    </w:p>
    <w:p w14:paraId="2729C019" w14:textId="77777777" w:rsidR="00315C86" w:rsidRPr="008B3DD0" w:rsidRDefault="00081255" w:rsidP="00056E89">
      <w:pPr>
        <w:spacing w:line="360" w:lineRule="auto"/>
        <w:ind w:firstLine="708"/>
        <w:jc w:val="both"/>
        <w:rPr>
          <w:bCs/>
        </w:rPr>
      </w:pPr>
      <w:r w:rsidRPr="008B3DD0">
        <w:rPr>
          <w:bCs/>
        </w:rPr>
        <w:t>La piena applicabilità di tale principio</w:t>
      </w:r>
      <w:r w:rsidR="00315C86" w:rsidRPr="008B3DD0">
        <w:rPr>
          <w:bCs/>
        </w:rPr>
        <w:t xml:space="preserve">, precisato in materia TOSAP, </w:t>
      </w:r>
      <w:r w:rsidRPr="008B3DD0">
        <w:rPr>
          <w:bCs/>
        </w:rPr>
        <w:t>a</w:t>
      </w:r>
      <w:r w:rsidR="00315C86" w:rsidRPr="008B3DD0">
        <w:rPr>
          <w:bCs/>
        </w:rPr>
        <w:t xml:space="preserve">nche al </w:t>
      </w:r>
      <w:r w:rsidRPr="008B3DD0">
        <w:rPr>
          <w:bCs/>
        </w:rPr>
        <w:t xml:space="preserve">CUP discende dalla continuità strutturale della disciplina. </w:t>
      </w:r>
    </w:p>
    <w:p w14:paraId="1E057DD7" w14:textId="77777777" w:rsidR="00315C86" w:rsidRPr="008B3DD0" w:rsidRDefault="00315C86" w:rsidP="00056E89">
      <w:pPr>
        <w:spacing w:line="360" w:lineRule="auto"/>
        <w:ind w:firstLine="708"/>
        <w:jc w:val="both"/>
        <w:rPr>
          <w:bCs/>
        </w:rPr>
      </w:pPr>
      <w:r w:rsidRPr="008B3DD0">
        <w:rPr>
          <w:bCs/>
        </w:rPr>
        <w:t>Ed infatti, l</w:t>
      </w:r>
      <w:r w:rsidR="00081255" w:rsidRPr="008B3DD0">
        <w:rPr>
          <w:bCs/>
        </w:rPr>
        <w:t xml:space="preserve">'art. 1, comma 831, della L. n. 160/2019 - che ha introdotto il CUP - riprende e sostituisce l'art. 63 del D.Lgs. n. 446/1997, che già regolava l'entrata patrimoniale degli enti territoriali correlata all'occupazione del suolo pubblico per l'erogazione di pubblici servizi a rete. </w:t>
      </w:r>
    </w:p>
    <w:p w14:paraId="2BE6FBBB" w14:textId="77777777" w:rsidR="008B3DD0" w:rsidRPr="008B3DD0" w:rsidRDefault="00081255" w:rsidP="00056E89">
      <w:pPr>
        <w:spacing w:line="360" w:lineRule="auto"/>
        <w:ind w:firstLine="708"/>
        <w:jc w:val="both"/>
        <w:rPr>
          <w:bCs/>
        </w:rPr>
      </w:pPr>
      <w:r w:rsidRPr="008B3DD0">
        <w:rPr>
          <w:bCs/>
        </w:rPr>
        <w:t xml:space="preserve">Si tratta della medesima entrata che, nelle sue successive configurazioni (TOSAP, COSAP e ora CUP), è sempre stata sottratta alla potestà regolamentare autonoma degli enti locali ed è rimasta riservata al Legislatore statale, il quale ne </w:t>
      </w:r>
      <w:r w:rsidRPr="008B3DD0">
        <w:rPr>
          <w:bCs/>
        </w:rPr>
        <w:lastRenderedPageBreak/>
        <w:t>ha invariabilmente mantenuto la struttura di presupposto impositivo ancorato all'occupazione fisica dello spazio pubblico.</w:t>
      </w:r>
    </w:p>
    <w:p w14:paraId="51EEAEBF" w14:textId="77777777" w:rsidR="00B23E83" w:rsidRDefault="00FE0005" w:rsidP="00FE0005">
      <w:pPr>
        <w:spacing w:line="360" w:lineRule="auto"/>
        <w:ind w:firstLine="708"/>
        <w:jc w:val="both"/>
      </w:pPr>
      <w:r w:rsidRPr="008B3DD0">
        <w:t xml:space="preserve">Peraltro, </w:t>
      </w:r>
      <w:r w:rsidR="00F63FBB" w:rsidRPr="008B3DD0">
        <w:t>l</w:t>
      </w:r>
      <w:r w:rsidR="00DD7B43" w:rsidRPr="008B3DD0">
        <w:t xml:space="preserve">a stessa CAP Holding, nella propria </w:t>
      </w:r>
      <w:r w:rsidR="00DD7B43" w:rsidRPr="00056E89">
        <w:t>comunicazione del 9 marzo 2026, ha trasmesso al Comune dati separati per il servizio di acqua potabile e per il servizio di fognatura, distinguendo le due tipologie di utenze</w:t>
      </w:r>
      <w:r w:rsidR="00B23E83">
        <w:t xml:space="preserve">, che infatti hanno un numero di utenze differenti, circostanza </w:t>
      </w:r>
      <w:r w:rsidR="00DD7B43" w:rsidRPr="00056E89">
        <w:t>incompatibile con la tesi dell’assoluta inscindibilità del SII</w:t>
      </w:r>
      <w:r w:rsidR="00B23E83">
        <w:t xml:space="preserve"> (</w:t>
      </w:r>
      <w:r w:rsidR="00DD7B43" w:rsidRPr="00056E89">
        <w:t xml:space="preserve">se davvero non esistessero utenze fognarie autonome, CAP Holding non avrebbe potuto comunicare, per ciascun anno, un numero di utenze fognarie distinto e inferiore rispetto a quello delle utenze idriche (es. 5.468 vs. 5.878 nel 2021). </w:t>
      </w:r>
    </w:p>
    <w:p w14:paraId="1000001C" w14:textId="200744FF" w:rsidR="00DD7B43" w:rsidRPr="00056E89" w:rsidRDefault="00DD7B43" w:rsidP="00FE0005">
      <w:pPr>
        <w:spacing w:line="360" w:lineRule="auto"/>
        <w:ind w:firstLine="708"/>
        <w:jc w:val="both"/>
      </w:pPr>
      <w:r w:rsidRPr="00056E89">
        <w:t>La differenza tra i due numeri</w:t>
      </w:r>
      <w:r w:rsidR="00232F7F">
        <w:t xml:space="preserve">, </w:t>
      </w:r>
      <w:r w:rsidRPr="00056E89">
        <w:t>dimostra che le due reti sono infrastrutturalmente e contabilmente distinguibili, e che esiste effettivamente un’occupazione fognaria autonoma rispetto a quella idrica.</w:t>
      </w:r>
    </w:p>
    <w:p w14:paraId="6883293A" w14:textId="77777777" w:rsidR="005C49AF" w:rsidRPr="00056E89" w:rsidRDefault="005C49AF" w:rsidP="00056E89">
      <w:pPr>
        <w:spacing w:line="360" w:lineRule="auto"/>
        <w:ind w:firstLine="708"/>
        <w:jc w:val="both"/>
      </w:pPr>
      <w:r w:rsidRPr="00056E89">
        <w:t xml:space="preserve">Invero, ciò dimostra che il gestore stesso ha riconosciuto la propria soggettività passiva in relazione all’occupazione di suolo pubblico con condotte idriche (anche se ha poi espresso riserva sul pagamento): non si vede, dunque, per quale ragione analoga soggettività non debba sussistere per le condotte fognarie, che occupano il medesimo suolo pubblico. </w:t>
      </w:r>
    </w:p>
    <w:p w14:paraId="488817CC" w14:textId="51BAD293" w:rsidR="005C49AF" w:rsidRPr="00056E89" w:rsidRDefault="005C49AF" w:rsidP="00056E89">
      <w:pPr>
        <w:spacing w:line="360" w:lineRule="auto"/>
        <w:ind w:firstLine="708"/>
        <w:jc w:val="both"/>
      </w:pPr>
      <w:r w:rsidRPr="00056E89">
        <w:t>La società ricorrente</w:t>
      </w:r>
      <w:r w:rsidR="00B23E83">
        <w:t>, inoltre,</w:t>
      </w:r>
      <w:r w:rsidRPr="00056E89">
        <w:t xml:space="preserve"> confonde il piano della </w:t>
      </w:r>
      <w:r w:rsidRPr="00056E89">
        <w:rPr>
          <w:b/>
          <w:bCs/>
        </w:rPr>
        <w:t>disciplina tariffaria</w:t>
      </w:r>
      <w:r w:rsidRPr="00056E89">
        <w:t xml:space="preserve"> del servizio con quello dell’</w:t>
      </w:r>
      <w:r w:rsidRPr="00056E89">
        <w:rPr>
          <w:b/>
          <w:bCs/>
        </w:rPr>
        <w:t>imposizione patrimoniale</w:t>
      </w:r>
      <w:r w:rsidRPr="00056E89">
        <w:t xml:space="preserve"> per l’utilizzo del suolo pubblico. </w:t>
      </w:r>
    </w:p>
    <w:p w14:paraId="693FEDF2" w14:textId="77777777" w:rsidR="00B23E83" w:rsidRDefault="005C49AF" w:rsidP="00056E89">
      <w:pPr>
        <w:spacing w:line="360" w:lineRule="auto"/>
        <w:ind w:firstLine="708"/>
        <w:jc w:val="both"/>
      </w:pPr>
      <w:r w:rsidRPr="00056E89">
        <w:t xml:space="preserve">In ogni caso, la tariffa del SII remunera economicamente il servizio prestato all’utente e comunque si compone di una quota per la fornitura di acqua e una quota per il servizio fognatura e il canone ex comma 831 è il corrispettivo per l’occupazione di uno spazio pubblico sottratto all’uso collettivo. </w:t>
      </w:r>
    </w:p>
    <w:p w14:paraId="2805C12E" w14:textId="072D2061" w:rsidR="005C49AF" w:rsidRPr="00056E89" w:rsidRDefault="005C49AF" w:rsidP="00056E89">
      <w:pPr>
        <w:spacing w:line="360" w:lineRule="auto"/>
        <w:ind w:firstLine="708"/>
        <w:jc w:val="both"/>
      </w:pPr>
      <w:r w:rsidRPr="00056E89">
        <w:t>Sono, comunque, istituti radicalmente diversi, con presupposti, soggetti e basi imponibili differenti e la disciplina dell’uno non incide sulla disciplina dell’altro.</w:t>
      </w:r>
    </w:p>
    <w:p w14:paraId="7FD0D3E7" w14:textId="77777777" w:rsidR="005C49AF" w:rsidRDefault="005C49AF" w:rsidP="00056E89">
      <w:pPr>
        <w:spacing w:line="360" w:lineRule="auto"/>
        <w:ind w:firstLine="708"/>
        <w:jc w:val="both"/>
      </w:pPr>
      <w:r w:rsidRPr="00056E89">
        <w:t xml:space="preserve">Le condotte idriche e le condotte fognarie insistono su tratti del sottosuolo pubblico fisicamente distinti e autonomi. </w:t>
      </w:r>
    </w:p>
    <w:p w14:paraId="705ABC8A" w14:textId="77777777" w:rsidR="00B23E83" w:rsidRDefault="00081255" w:rsidP="00056E89">
      <w:pPr>
        <w:spacing w:line="360" w:lineRule="auto"/>
        <w:ind w:firstLine="708"/>
        <w:jc w:val="both"/>
        <w:rPr>
          <w:bCs/>
          <w:color w:val="EE0000"/>
        </w:rPr>
      </w:pPr>
      <w:r w:rsidRPr="00081255">
        <w:rPr>
          <w:bCs/>
          <w:color w:val="EE0000"/>
        </w:rPr>
        <w:t xml:space="preserve">A conferma della distinzione strutturale tra i due servizi, è sufficiente osservare che la tariffa addebitata all'utente finale in bolletta è articolata in voci distinte per il servizio di acquedotto e per il servizio di fognatura, con quote unitarie differenziate e contabilizzate separatamente. </w:t>
      </w:r>
    </w:p>
    <w:p w14:paraId="2906AE2E" w14:textId="77777777" w:rsidR="00B23E83" w:rsidRDefault="00081255" w:rsidP="00B23E83">
      <w:pPr>
        <w:spacing w:line="360" w:lineRule="auto"/>
        <w:ind w:firstLine="708"/>
        <w:jc w:val="both"/>
        <w:rPr>
          <w:bCs/>
          <w:color w:val="EE0000"/>
        </w:rPr>
      </w:pPr>
      <w:r w:rsidRPr="00081255">
        <w:rPr>
          <w:bCs/>
          <w:color w:val="EE0000"/>
        </w:rPr>
        <w:t>Se i due servizi fossero davvero indistinguibili</w:t>
      </w:r>
      <w:r>
        <w:rPr>
          <w:bCs/>
          <w:color w:val="EE0000"/>
        </w:rPr>
        <w:t xml:space="preserve"> -</w:t>
      </w:r>
      <w:r w:rsidRPr="00081255">
        <w:rPr>
          <w:bCs/>
          <w:color w:val="EE0000"/>
        </w:rPr>
        <w:t xml:space="preserve"> come sostiene CAP Holding </w:t>
      </w:r>
      <w:r>
        <w:rPr>
          <w:bCs/>
          <w:color w:val="EE0000"/>
        </w:rPr>
        <w:t>-</w:t>
      </w:r>
      <w:r w:rsidRPr="00081255">
        <w:rPr>
          <w:bCs/>
          <w:color w:val="EE0000"/>
        </w:rPr>
        <w:t xml:space="preserve"> non si comprenderebbe per quale ragione il gestore li quantifichi separatamente nel documento di fatturazione rivolto a ciascun utente. </w:t>
      </w:r>
    </w:p>
    <w:p w14:paraId="2201055B" w14:textId="77777777" w:rsidR="00B23E83" w:rsidRDefault="00DD7B43" w:rsidP="00B23E83">
      <w:pPr>
        <w:spacing w:line="360" w:lineRule="auto"/>
        <w:ind w:firstLine="708"/>
        <w:jc w:val="both"/>
      </w:pPr>
      <w:r w:rsidRPr="00056E89">
        <w:rPr>
          <w:b/>
          <w:bCs/>
        </w:rPr>
        <w:lastRenderedPageBreak/>
        <w:t xml:space="preserve">4. </w:t>
      </w:r>
      <w:r w:rsidRPr="00BE6237">
        <w:t>In via subordinata</w:t>
      </w:r>
      <w:r w:rsidR="00B23E83">
        <w:t>,</w:t>
      </w:r>
      <w:r w:rsidRPr="00BE6237">
        <w:t xml:space="preserve"> CAP Holding sostiene </w:t>
      </w:r>
      <w:r w:rsidR="00B23E83">
        <w:t xml:space="preserve">poi </w:t>
      </w:r>
      <w:r w:rsidRPr="00BE6237">
        <w:t xml:space="preserve">che – ove il CUP fosse applicabile alla rete fognaria – il canone dovrebbe essere determinato in misura fissa di Euro 800 annui, in quanto la gestione della rete fognaria su infrastrutture di proprietà pubblica costituirebbe attività “strumentale”. </w:t>
      </w:r>
    </w:p>
    <w:p w14:paraId="0BB51BC8" w14:textId="77777777" w:rsidR="00B23E83" w:rsidRDefault="00DD7B43" w:rsidP="00B23E83">
      <w:pPr>
        <w:spacing w:line="360" w:lineRule="auto"/>
        <w:ind w:firstLine="708"/>
        <w:jc w:val="both"/>
      </w:pPr>
      <w:r w:rsidRPr="00BE6237">
        <w:t>L’eccezione è infondata.</w:t>
      </w:r>
    </w:p>
    <w:p w14:paraId="23FC1245" w14:textId="77777777" w:rsidR="00B23E83" w:rsidRDefault="00DD7B43" w:rsidP="00B23E83">
      <w:pPr>
        <w:spacing w:line="360" w:lineRule="auto"/>
        <w:ind w:firstLine="708"/>
        <w:jc w:val="both"/>
      </w:pPr>
      <w:r w:rsidRPr="00BE6237">
        <w:t xml:space="preserve">CAP Holding è il gestore del Servizio Idrico Integrato nell’intero ambito territoriale della Città Metropolitana di Milano: eroga direttamente il servizio agli utenti finali, occupa materialmente il suolo pubblico con le proprie reti – che, sebbene di proprietà pubblica, sono concesse in uso gratuito al gestore ai sensi dell’art. 143 del D.Lgs. n. 152/2006 – e incassa i corrispettivi tariffari per l’erogazione del servizio. </w:t>
      </w:r>
    </w:p>
    <w:p w14:paraId="536B22FC" w14:textId="590806DC" w:rsidR="00FE0005" w:rsidRDefault="00DD7B43" w:rsidP="00B23E83">
      <w:pPr>
        <w:spacing w:line="360" w:lineRule="auto"/>
        <w:ind w:firstLine="708"/>
        <w:jc w:val="both"/>
      </w:pPr>
      <w:r w:rsidRPr="00BE6237">
        <w:t xml:space="preserve">Nulla di tutto ciò integra i caratteri di una mera attività strumentale. </w:t>
      </w:r>
    </w:p>
    <w:p w14:paraId="17F95C42" w14:textId="2C765A18" w:rsidR="00E12CA4" w:rsidRPr="00BE6237" w:rsidRDefault="00DD7B43" w:rsidP="00056E89">
      <w:pPr>
        <w:snapToGrid w:val="0"/>
        <w:spacing w:line="360" w:lineRule="auto"/>
        <w:ind w:firstLine="708"/>
        <w:jc w:val="both"/>
      </w:pPr>
      <w:r w:rsidRPr="00BE6237">
        <w:t xml:space="preserve">Il comma 831 </w:t>
      </w:r>
      <w:r w:rsidR="00E12CA4" w:rsidRPr="00BE6237">
        <w:t>prevede:</w:t>
      </w:r>
    </w:p>
    <w:p w14:paraId="0E3F6D68" w14:textId="143FE452" w:rsidR="00E12CA4" w:rsidRPr="00D450B3" w:rsidRDefault="00E12CA4" w:rsidP="00056E89">
      <w:pPr>
        <w:spacing w:line="360" w:lineRule="auto"/>
        <w:jc w:val="both"/>
        <w:rPr>
          <w:rFonts w:eastAsia="Times New Roman"/>
          <w:i/>
          <w:iCs/>
          <w:color w:val="434343"/>
        </w:rPr>
      </w:pPr>
      <w:r w:rsidRPr="00056E89">
        <w:rPr>
          <w:rFonts w:eastAsia="Times New Roman"/>
          <w:i/>
          <w:iCs/>
          <w:color w:val="434343"/>
        </w:rPr>
        <w:t>“Per le occupazioni permanenti del territorio comunale, con cavi e condutture, da chiunque effettuata per la fornitura di servizi di pubblica utilit</w:t>
      </w:r>
      <w:r w:rsidR="00232F7F">
        <w:rPr>
          <w:rFonts w:eastAsia="Times New Roman"/>
          <w:i/>
          <w:iCs/>
          <w:color w:val="434343"/>
        </w:rPr>
        <w:t>à</w:t>
      </w:r>
      <w:r w:rsidRPr="00056E89">
        <w:rPr>
          <w:rFonts w:eastAsia="Times New Roman"/>
          <w:i/>
          <w:iCs/>
          <w:color w:val="434343"/>
        </w:rPr>
        <w:t xml:space="preserve">, quali la distribuzione ed erogazione di energia elettrica, gas, acqua, calore, di servizi di telecomunicazione e radiotelevisivi e di altri servizi a rete, </w:t>
      </w:r>
      <w:r w:rsidRPr="00056E89">
        <w:rPr>
          <w:rFonts w:eastAsia="Times New Roman"/>
          <w:b/>
          <w:bCs/>
          <w:i/>
          <w:iCs/>
          <w:color w:val="434343"/>
        </w:rPr>
        <w:t>il canone e' dovuto dal soggetto titolare dell'atto di concessione dell'occupazione del suolo pubblico</w:t>
      </w:r>
      <w:r w:rsidRPr="00056E89">
        <w:rPr>
          <w:rFonts w:eastAsia="Times New Roman"/>
          <w:i/>
          <w:iCs/>
          <w:color w:val="434343"/>
        </w:rPr>
        <w:t xml:space="preserve"> e dai soggetti che occupano il suolo pubblico, anche in via mediata, attraverso l'utilizzo materiale delle infrastrutture del soggetto titolare della concessione </w:t>
      </w:r>
      <w:r w:rsidRPr="00056E89">
        <w:rPr>
          <w:rFonts w:eastAsia="Times New Roman"/>
          <w:b/>
          <w:bCs/>
          <w:i/>
          <w:iCs/>
          <w:color w:val="434343"/>
        </w:rPr>
        <w:t>sulla base del numero delle rispettive utenze moltiplicate</w:t>
      </w:r>
      <w:r w:rsidRPr="00056E89">
        <w:rPr>
          <w:rFonts w:eastAsia="Times New Roman"/>
          <w:i/>
          <w:iCs/>
          <w:color w:val="434343"/>
        </w:rPr>
        <w:t xml:space="preserve"> per la seguente tariffa …”.</w:t>
      </w:r>
    </w:p>
    <w:p w14:paraId="52D37FB1" w14:textId="6AE97138" w:rsidR="00E12CA4" w:rsidRPr="00056E89" w:rsidRDefault="00A81F5B" w:rsidP="00056E89">
      <w:pPr>
        <w:snapToGrid w:val="0"/>
        <w:spacing w:line="360" w:lineRule="auto"/>
        <w:ind w:firstLine="708"/>
        <w:jc w:val="both"/>
        <w:rPr>
          <w:highlight w:val="yellow"/>
        </w:rPr>
      </w:pPr>
      <w:r w:rsidRPr="00056E89">
        <w:t>CAP Holding è titolare della concessione d'uso delle reti in forza della Convenzione di affidamento stipulata il 29 giugno 2016 con l'Ufficio d'Ambito della Città Metropolitana di Milano: rientra pertanto nella principale categoria di soggetti passivi individuata dal comma 831, con obbligo di versamento del canone commisurato al numero delle utenze</w:t>
      </w:r>
      <w:r w:rsidR="00F61797">
        <w:t>.</w:t>
      </w:r>
    </w:p>
    <w:p w14:paraId="5F5C2742" w14:textId="05CD4283" w:rsidR="00AB5A24" w:rsidRPr="00056E89" w:rsidRDefault="00DD7B43" w:rsidP="00056E89">
      <w:pPr>
        <w:snapToGrid w:val="0"/>
        <w:spacing w:line="360" w:lineRule="auto"/>
        <w:ind w:firstLine="708"/>
        <w:jc w:val="both"/>
      </w:pPr>
      <w:r w:rsidRPr="00056E89">
        <w:rPr>
          <w:b/>
          <w:bCs/>
        </w:rPr>
        <w:t xml:space="preserve">5. </w:t>
      </w:r>
      <w:r w:rsidR="001B3395" w:rsidRPr="001B3395">
        <w:t>Non merita seguito nemmeno la pretesa illegittimità</w:t>
      </w:r>
      <w:r w:rsidR="001B3395">
        <w:rPr>
          <w:b/>
          <w:bCs/>
        </w:rPr>
        <w:t xml:space="preserve"> </w:t>
      </w:r>
      <w:r w:rsidRPr="00056E89">
        <w:t xml:space="preserve">delle sanzioni irrogate </w:t>
      </w:r>
      <w:r w:rsidR="001B3395">
        <w:t xml:space="preserve">per </w:t>
      </w:r>
      <w:r w:rsidRPr="00056E89">
        <w:t xml:space="preserve">buona fede e incertezza normativa oggettiva. </w:t>
      </w:r>
    </w:p>
    <w:p w14:paraId="75DF87E7" w14:textId="1F1C9DFA" w:rsidR="00AB5A24" w:rsidRDefault="00AB5A24" w:rsidP="00056E89">
      <w:pPr>
        <w:spacing w:line="360" w:lineRule="auto"/>
        <w:ind w:firstLine="708"/>
        <w:jc w:val="both"/>
      </w:pPr>
      <w:r w:rsidRPr="00056E89">
        <w:t xml:space="preserve">Le sanzioni sono state applicate nella misura del 30% prevista dall’art. </w:t>
      </w:r>
      <w:r w:rsidR="003B07EB">
        <w:t xml:space="preserve">71 </w:t>
      </w:r>
      <w:r w:rsidRPr="00056E89">
        <w:t>del Regolamento comunale in conformità al comma 821, lett. h), dell’art. 1 della Legge n. 160/2019, e gli interessi sono stati calcolati ai sensi del comma 802 della medesima legge: la pretesa accessoria è dunque integralmente dovuta.</w:t>
      </w:r>
    </w:p>
    <w:p w14:paraId="02F6CABB" w14:textId="18D62AC6" w:rsidR="004D1EF1" w:rsidRDefault="004D1EF1" w:rsidP="00056E89">
      <w:pPr>
        <w:spacing w:line="360" w:lineRule="auto"/>
        <w:ind w:firstLine="708"/>
        <w:jc w:val="both"/>
      </w:pPr>
      <w:r w:rsidRPr="004D1EF1">
        <w:t>Quanto all'incertezza normativa</w:t>
      </w:r>
      <w:r>
        <w:t>,</w:t>
      </w:r>
      <w:r w:rsidRPr="004D1EF1">
        <w:t xml:space="preserve"> il precedente della Corte di Cassazione n. 2180/2020 offriva già un'indicazione chiara nel senso della distinguibilità delle due reti ai fini dell'imposizione</w:t>
      </w:r>
      <w:r>
        <w:t>.</w:t>
      </w:r>
    </w:p>
    <w:p w14:paraId="39B5B414" w14:textId="04DBF88B" w:rsidR="004D1EF1" w:rsidRPr="00056E89" w:rsidRDefault="004D1EF1" w:rsidP="00056E89">
      <w:pPr>
        <w:spacing w:line="360" w:lineRule="auto"/>
        <w:ind w:firstLine="708"/>
        <w:jc w:val="both"/>
      </w:pPr>
      <w:r w:rsidRPr="004D1EF1">
        <w:t xml:space="preserve"> Le sanzioni sono pertanto legittime e dovute.</w:t>
      </w:r>
    </w:p>
    <w:p w14:paraId="10000023" w14:textId="77777777" w:rsidR="00DD7B43" w:rsidRPr="00056E89" w:rsidRDefault="00DD7B43" w:rsidP="00056E89">
      <w:pPr>
        <w:snapToGrid w:val="0"/>
        <w:spacing w:line="360" w:lineRule="auto"/>
        <w:ind w:firstLine="708"/>
        <w:jc w:val="both"/>
      </w:pPr>
      <w:r w:rsidRPr="00056E89">
        <w:lastRenderedPageBreak/>
        <w:t>Per tutto quanto innanzi dedotto ed eccepito, il Comune di Cinisello Balsamo come sopra rappresentato e difeso, rassegna le seguenti</w:t>
      </w:r>
    </w:p>
    <w:p w14:paraId="10000024" w14:textId="32EF86F3" w:rsidR="00DD7B43" w:rsidRPr="00056E89" w:rsidRDefault="00DD7B43" w:rsidP="00056E89">
      <w:pPr>
        <w:snapToGrid w:val="0"/>
        <w:spacing w:line="360" w:lineRule="auto"/>
        <w:ind w:firstLine="708"/>
        <w:jc w:val="both"/>
        <w:rPr>
          <w:b/>
          <w:bCs/>
        </w:rPr>
      </w:pPr>
      <w:r w:rsidRPr="00056E89">
        <w:rPr>
          <w:b/>
          <w:bCs/>
        </w:rPr>
        <w:t>CONCLUSIONI</w:t>
      </w:r>
    </w:p>
    <w:p w14:paraId="10000025" w14:textId="77777777" w:rsidR="00DD7B43" w:rsidRPr="00056E89" w:rsidRDefault="00DD7B43" w:rsidP="00056E89">
      <w:pPr>
        <w:snapToGrid w:val="0"/>
        <w:spacing w:line="360" w:lineRule="auto"/>
        <w:ind w:firstLine="708"/>
        <w:jc w:val="both"/>
      </w:pPr>
      <w:r w:rsidRPr="00056E89">
        <w:t>Voglia l’Ill.ma Corte di Giustizia Tributaria di Primo Grado di Milano:</w:t>
      </w:r>
    </w:p>
    <w:p w14:paraId="10000027" w14:textId="77777777" w:rsidR="00DD7B43" w:rsidRPr="00056E89" w:rsidRDefault="00DD7B43" w:rsidP="00056E89">
      <w:pPr>
        <w:snapToGrid w:val="0"/>
        <w:spacing w:line="360" w:lineRule="auto"/>
        <w:ind w:firstLine="708"/>
        <w:jc w:val="both"/>
      </w:pPr>
      <w:r w:rsidRPr="00056E89">
        <w:t>1) rigettare integralmente il ricorso proposto da CAP Holding S.p.A.;</w:t>
      </w:r>
    </w:p>
    <w:p w14:paraId="10000028" w14:textId="77777777" w:rsidR="00DD7B43" w:rsidRPr="00056E89" w:rsidRDefault="00DD7B43" w:rsidP="00056E89">
      <w:pPr>
        <w:snapToGrid w:val="0"/>
        <w:spacing w:line="360" w:lineRule="auto"/>
        <w:ind w:firstLine="708"/>
        <w:jc w:val="both"/>
      </w:pPr>
      <w:r w:rsidRPr="00056E89">
        <w:t>2) confermare la piena legittimità dell’avviso di accertamento esecutivo n. 19 dell’11 marzo 2026, emesso dal Comune di Cinisello Balsamo a titolo di Canone Unico Patrimoniale per gli anni 2021-2025;</w:t>
      </w:r>
    </w:p>
    <w:p w14:paraId="10000029" w14:textId="77777777" w:rsidR="00DD7B43" w:rsidRPr="00056E89" w:rsidRDefault="00DD7B43" w:rsidP="00056E89">
      <w:pPr>
        <w:snapToGrid w:val="0"/>
        <w:spacing w:line="360" w:lineRule="auto"/>
        <w:ind w:firstLine="708"/>
        <w:jc w:val="both"/>
      </w:pPr>
      <w:r w:rsidRPr="00056E89">
        <w:t>3) condannare la parte ricorrente al pagamento delle spese del presente giudizio.</w:t>
      </w:r>
    </w:p>
    <w:p w14:paraId="1000002A" w14:textId="77777777" w:rsidR="00DD7B43" w:rsidRPr="00056E89" w:rsidRDefault="00DD7B43" w:rsidP="00056E89">
      <w:pPr>
        <w:snapToGrid w:val="0"/>
        <w:spacing w:line="360" w:lineRule="auto"/>
        <w:ind w:firstLine="708"/>
        <w:jc w:val="both"/>
      </w:pPr>
      <w:r w:rsidRPr="00056E89">
        <w:t>Si depositano i seguenti documenti:</w:t>
      </w:r>
    </w:p>
    <w:p w14:paraId="1000002D" w14:textId="77777777" w:rsidR="00DD7B43" w:rsidRDefault="00DD7B43" w:rsidP="00056E89">
      <w:pPr>
        <w:snapToGrid w:val="0"/>
        <w:spacing w:line="360" w:lineRule="auto"/>
        <w:ind w:firstLine="708"/>
        <w:jc w:val="both"/>
      </w:pPr>
      <w:r w:rsidRPr="00056E89">
        <w:t>1) Ricorso notificato da CAP Holding S.p.A.</w:t>
      </w:r>
    </w:p>
    <w:p w14:paraId="3CBCD779" w14:textId="0F1ECCC7" w:rsidR="009D1A76" w:rsidRPr="00056E89" w:rsidRDefault="009D1A76" w:rsidP="00056E89">
      <w:pPr>
        <w:snapToGrid w:val="0"/>
        <w:spacing w:line="360" w:lineRule="auto"/>
        <w:ind w:firstLine="708"/>
        <w:jc w:val="both"/>
      </w:pPr>
      <w:r>
        <w:t>2</w:t>
      </w:r>
      <w:r w:rsidRPr="00056E89">
        <w:t>) Avviso di accertamento esecutivo n. 19 dell’11 marzo 2026.</w:t>
      </w:r>
    </w:p>
    <w:p w14:paraId="1000002E" w14:textId="1924D43E" w:rsidR="00DD7B43" w:rsidRPr="00056E89" w:rsidRDefault="009D1A76" w:rsidP="00056E89">
      <w:pPr>
        <w:snapToGrid w:val="0"/>
        <w:spacing w:line="360" w:lineRule="auto"/>
        <w:ind w:firstLine="708"/>
        <w:jc w:val="both"/>
      </w:pPr>
      <w:r>
        <w:t>3</w:t>
      </w:r>
      <w:r w:rsidR="00DD7B43" w:rsidRPr="00056E89">
        <w:t>) Delibera di Consiglio Comunale n. 18 del 15 aprile 2021 (Regolamento CUP).</w:t>
      </w:r>
    </w:p>
    <w:p w14:paraId="10000030" w14:textId="77777777" w:rsidR="00DD7B43" w:rsidRPr="00056E89" w:rsidRDefault="00DD7B43" w:rsidP="00056E89">
      <w:pPr>
        <w:snapToGrid w:val="0"/>
        <w:spacing w:line="360" w:lineRule="auto"/>
        <w:ind w:firstLine="708"/>
        <w:jc w:val="both"/>
      </w:pPr>
      <w:r w:rsidRPr="00056E89">
        <w:t>4) Determinazione n. 709 dell’11 giugno 2025 (affidamento incarico ad Archivia Solution S.p.A.).</w:t>
      </w:r>
    </w:p>
    <w:p w14:paraId="10000031" w14:textId="77777777" w:rsidR="00DD7B43" w:rsidRPr="00056E89" w:rsidRDefault="00DD7B43" w:rsidP="00056E89">
      <w:pPr>
        <w:snapToGrid w:val="0"/>
        <w:spacing w:line="360" w:lineRule="auto"/>
        <w:ind w:firstLine="708"/>
        <w:jc w:val="both"/>
      </w:pPr>
      <w:r w:rsidRPr="00056E89">
        <w:t>5) Comunicazione Archivia Solution dell’11 novembre 2025 (prima richiesta versamenti CUP).</w:t>
      </w:r>
    </w:p>
    <w:p w14:paraId="10000032" w14:textId="77777777" w:rsidR="00DD7B43" w:rsidRPr="00056E89" w:rsidRDefault="00DD7B43" w:rsidP="00056E89">
      <w:pPr>
        <w:snapToGrid w:val="0"/>
        <w:spacing w:line="360" w:lineRule="auto"/>
        <w:ind w:firstLine="708"/>
        <w:jc w:val="both"/>
      </w:pPr>
      <w:r w:rsidRPr="00056E89">
        <w:t>6) Riscontro CAP Holding del 18 novembre 2025 (trasmissione quietanze).</w:t>
      </w:r>
    </w:p>
    <w:p w14:paraId="10000033" w14:textId="77777777" w:rsidR="00DD7B43" w:rsidRPr="00056E89" w:rsidRDefault="00DD7B43" w:rsidP="00056E89">
      <w:pPr>
        <w:snapToGrid w:val="0"/>
        <w:spacing w:line="360" w:lineRule="auto"/>
        <w:ind w:firstLine="708"/>
        <w:jc w:val="both"/>
      </w:pPr>
      <w:r w:rsidRPr="00056E89">
        <w:t>7) Comunicazione Archivia Solution del 27 febbraio 2026 (richiesta ricalcolo utenze acqua e fognatura).</w:t>
      </w:r>
    </w:p>
    <w:p w14:paraId="10000034" w14:textId="77777777" w:rsidR="00DD7B43" w:rsidRPr="00056E89" w:rsidRDefault="00DD7B43" w:rsidP="00056E89">
      <w:pPr>
        <w:snapToGrid w:val="0"/>
        <w:spacing w:line="360" w:lineRule="auto"/>
        <w:ind w:firstLine="708"/>
        <w:jc w:val="both"/>
      </w:pPr>
      <w:r w:rsidRPr="00056E89">
        <w:t>8) Riscontro CAP Holding del 4 marzo 2026 (tesi unitarietà SII).</w:t>
      </w:r>
    </w:p>
    <w:p w14:paraId="10000041" w14:textId="77777777" w:rsidR="00DD7B43" w:rsidRPr="00056E89" w:rsidRDefault="00DD7B43" w:rsidP="00056E89">
      <w:pPr>
        <w:snapToGrid w:val="0"/>
        <w:spacing w:line="360" w:lineRule="auto"/>
        <w:ind w:firstLine="708"/>
        <w:jc w:val="both"/>
      </w:pPr>
      <w:r w:rsidRPr="00056E89">
        <w:t>9) Comunicazione Archivia Solution del 6 marzo 2026 (replica con Cass. n. 2180/2020).</w:t>
      </w:r>
    </w:p>
    <w:p w14:paraId="10000035" w14:textId="77777777" w:rsidR="00DD7B43" w:rsidRPr="00056E89" w:rsidRDefault="00DD7B43" w:rsidP="00056E89">
      <w:pPr>
        <w:snapToGrid w:val="0"/>
        <w:spacing w:line="360" w:lineRule="auto"/>
        <w:ind w:firstLine="708"/>
        <w:jc w:val="both"/>
      </w:pPr>
      <w:r w:rsidRPr="00056E89">
        <w:t>10) Dichiarazione utenze CAP Holding del 9 marzo 2026 (prot. n. 4363).</w:t>
      </w:r>
    </w:p>
    <w:p w14:paraId="10000042" w14:textId="77777777" w:rsidR="00DD7B43" w:rsidRPr="00056E89" w:rsidRDefault="00DD7B43" w:rsidP="00056E89">
      <w:pPr>
        <w:snapToGrid w:val="0"/>
        <w:spacing w:line="360" w:lineRule="auto"/>
        <w:ind w:firstLine="708"/>
        <w:jc w:val="both"/>
      </w:pPr>
      <w:r w:rsidRPr="00056E89">
        <w:t>11) Comunicazione Archivia Solution del 10 marzo 2026 (rilievi su incongruenza dati).</w:t>
      </w:r>
    </w:p>
    <w:p w14:paraId="10000036" w14:textId="77777777" w:rsidR="00DD7B43" w:rsidRDefault="00DD7B43" w:rsidP="00056E89">
      <w:pPr>
        <w:snapToGrid w:val="0"/>
        <w:spacing w:line="360" w:lineRule="auto"/>
        <w:ind w:firstLine="708"/>
        <w:jc w:val="both"/>
      </w:pPr>
      <w:r w:rsidRPr="00056E89">
        <w:t>12) Riscontro CAP Holding dell’11 marzo 2026.</w:t>
      </w:r>
    </w:p>
    <w:p w14:paraId="0BFAA6B5" w14:textId="087C8849" w:rsidR="00A559E5" w:rsidRPr="00056E89" w:rsidRDefault="00A559E5" w:rsidP="00056E89">
      <w:pPr>
        <w:snapToGrid w:val="0"/>
        <w:spacing w:line="360" w:lineRule="auto"/>
        <w:ind w:firstLine="708"/>
        <w:jc w:val="both"/>
      </w:pPr>
      <w:r>
        <w:t>13) S</w:t>
      </w:r>
      <w:r w:rsidRPr="00056E89">
        <w:t>entenza Corte di Cassazione, Sez. V,n. 2180 del 30 gennaio 2020</w:t>
      </w:r>
      <w:r>
        <w:t>.</w:t>
      </w:r>
    </w:p>
    <w:p w14:paraId="10000038" w14:textId="47198E62" w:rsidR="00DD7B43" w:rsidRPr="00056E89" w:rsidRDefault="00DD7B43" w:rsidP="00056E89">
      <w:pPr>
        <w:snapToGrid w:val="0"/>
        <w:spacing w:line="360" w:lineRule="auto"/>
        <w:ind w:firstLine="708"/>
        <w:jc w:val="both"/>
      </w:pPr>
      <w:r w:rsidRPr="00056E89">
        <w:t>Cinisello Balsamo, ___.___.2026</w:t>
      </w:r>
    </w:p>
    <w:p w14:paraId="10000039" w14:textId="580FC786" w:rsidR="00DD7B43" w:rsidRPr="00056E89" w:rsidRDefault="001B3395" w:rsidP="00056E89">
      <w:pPr>
        <w:snapToGrid w:val="0"/>
        <w:spacing w:line="360" w:lineRule="auto"/>
        <w:jc w:val="right"/>
      </w:pPr>
      <w:r>
        <w:t>Il difensore</w:t>
      </w:r>
    </w:p>
    <w:sectPr w:rsidR="00DD7B43" w:rsidRPr="00056E89">
      <w:pgSz w:w="11906" w:h="16838"/>
      <w:pgMar w:top="567" w:right="1418" w:bottom="1418" w:left="1701"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21D4B"/>
    <w:multiLevelType w:val="hybridMultilevel"/>
    <w:tmpl w:val="FF18C09C"/>
    <w:lvl w:ilvl="0" w:tplc="4E34AE72">
      <w:start w:val="1"/>
      <w:numFmt w:val="decimal"/>
      <w:lvlText w:val="%1)"/>
      <w:lvlJc w:val="left"/>
      <w:pPr>
        <w:ind w:left="720" w:hanging="360"/>
      </w:pPr>
      <w:rPr>
        <w:rFonts w:ascii="Arial" w:eastAsia="Arial" w:hAnsi="Arial" w:cs="Arial"/>
      </w:rPr>
    </w:lvl>
    <w:lvl w:ilvl="1" w:tplc="FD6CDEEC">
      <w:numFmt w:val="decimal"/>
      <w:lvlText w:val=""/>
      <w:lvlJc w:val="left"/>
    </w:lvl>
    <w:lvl w:ilvl="2" w:tplc="834434BA">
      <w:numFmt w:val="decimal"/>
      <w:lvlText w:val=""/>
      <w:lvlJc w:val="left"/>
    </w:lvl>
    <w:lvl w:ilvl="3" w:tplc="4634B394">
      <w:numFmt w:val="decimal"/>
      <w:lvlText w:val=""/>
      <w:lvlJc w:val="left"/>
    </w:lvl>
    <w:lvl w:ilvl="4" w:tplc="E534BFC0">
      <w:numFmt w:val="decimal"/>
      <w:lvlText w:val=""/>
      <w:lvlJc w:val="left"/>
    </w:lvl>
    <w:lvl w:ilvl="5" w:tplc="BA0044F8">
      <w:numFmt w:val="decimal"/>
      <w:lvlText w:val=""/>
      <w:lvlJc w:val="left"/>
    </w:lvl>
    <w:lvl w:ilvl="6" w:tplc="3050DE66">
      <w:numFmt w:val="decimal"/>
      <w:lvlText w:val=""/>
      <w:lvlJc w:val="left"/>
    </w:lvl>
    <w:lvl w:ilvl="7" w:tplc="6BFABDA4">
      <w:numFmt w:val="decimal"/>
      <w:lvlText w:val=""/>
      <w:lvlJc w:val="left"/>
    </w:lvl>
    <w:lvl w:ilvl="8" w:tplc="ED323690">
      <w:numFmt w:val="decimal"/>
      <w:lvlText w:val=""/>
      <w:lvlJc w:val="left"/>
    </w:lvl>
  </w:abstractNum>
  <w:abstractNum w:abstractNumId="1" w15:restartNumberingAfterBreak="0">
    <w:nsid w:val="34377280"/>
    <w:multiLevelType w:val="hybridMultilevel"/>
    <w:tmpl w:val="BF48D2E4"/>
    <w:lvl w:ilvl="0" w:tplc="2AD82262">
      <w:start w:val="1"/>
      <w:numFmt w:val="decimal"/>
      <w:lvlText w:val="%1."/>
      <w:lvlJc w:val="left"/>
      <w:pPr>
        <w:ind w:left="720" w:hanging="360"/>
      </w:pPr>
    </w:lvl>
    <w:lvl w:ilvl="1" w:tplc="7DEC423C">
      <w:numFmt w:val="decimal"/>
      <w:lvlText w:val=""/>
      <w:lvlJc w:val="left"/>
    </w:lvl>
    <w:lvl w:ilvl="2" w:tplc="5BECF43C">
      <w:numFmt w:val="decimal"/>
      <w:lvlText w:val=""/>
      <w:lvlJc w:val="left"/>
    </w:lvl>
    <w:lvl w:ilvl="3" w:tplc="29DA095A">
      <w:numFmt w:val="decimal"/>
      <w:lvlText w:val=""/>
      <w:lvlJc w:val="left"/>
    </w:lvl>
    <w:lvl w:ilvl="4" w:tplc="0DEEDE62">
      <w:numFmt w:val="decimal"/>
      <w:lvlText w:val=""/>
      <w:lvlJc w:val="left"/>
    </w:lvl>
    <w:lvl w:ilvl="5" w:tplc="D430D9F6">
      <w:numFmt w:val="decimal"/>
      <w:lvlText w:val=""/>
      <w:lvlJc w:val="left"/>
    </w:lvl>
    <w:lvl w:ilvl="6" w:tplc="6C5C82B8">
      <w:numFmt w:val="decimal"/>
      <w:lvlText w:val=""/>
      <w:lvlJc w:val="left"/>
    </w:lvl>
    <w:lvl w:ilvl="7" w:tplc="46B6048A">
      <w:numFmt w:val="decimal"/>
      <w:lvlText w:val=""/>
      <w:lvlJc w:val="left"/>
    </w:lvl>
    <w:lvl w:ilvl="8" w:tplc="87368CB8">
      <w:numFmt w:val="decimal"/>
      <w:lvlText w:val=""/>
      <w:lvlJc w:val="left"/>
    </w:lvl>
  </w:abstractNum>
  <w:abstractNum w:abstractNumId="2" w15:restartNumberingAfterBreak="0">
    <w:nsid w:val="45C43469"/>
    <w:multiLevelType w:val="hybridMultilevel"/>
    <w:tmpl w:val="AA0030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D9919E5"/>
    <w:multiLevelType w:val="hybridMultilevel"/>
    <w:tmpl w:val="48F2E4D2"/>
    <w:lvl w:ilvl="0" w:tplc="CDD05B8E">
      <w:start w:val="1"/>
      <w:numFmt w:val="bullet"/>
      <w:lvlText w:val="●"/>
      <w:lvlJc w:val="left"/>
      <w:pPr>
        <w:ind w:left="720" w:hanging="360"/>
      </w:pPr>
    </w:lvl>
    <w:lvl w:ilvl="1" w:tplc="F2AE9AB2">
      <w:start w:val="1"/>
      <w:numFmt w:val="bullet"/>
      <w:lvlText w:val="○"/>
      <w:lvlJc w:val="left"/>
      <w:pPr>
        <w:ind w:left="1440" w:hanging="360"/>
      </w:pPr>
    </w:lvl>
    <w:lvl w:ilvl="2" w:tplc="4B28C84E">
      <w:start w:val="1"/>
      <w:numFmt w:val="bullet"/>
      <w:lvlText w:val="■"/>
      <w:lvlJc w:val="left"/>
      <w:pPr>
        <w:ind w:left="2160" w:hanging="360"/>
      </w:pPr>
    </w:lvl>
    <w:lvl w:ilvl="3" w:tplc="12C69FB4">
      <w:start w:val="1"/>
      <w:numFmt w:val="bullet"/>
      <w:lvlText w:val="●"/>
      <w:lvlJc w:val="left"/>
      <w:pPr>
        <w:ind w:left="2880" w:hanging="360"/>
      </w:pPr>
    </w:lvl>
    <w:lvl w:ilvl="4" w:tplc="576E8562">
      <w:start w:val="1"/>
      <w:numFmt w:val="bullet"/>
      <w:lvlText w:val="○"/>
      <w:lvlJc w:val="left"/>
      <w:pPr>
        <w:ind w:left="3600" w:hanging="360"/>
      </w:pPr>
    </w:lvl>
    <w:lvl w:ilvl="5" w:tplc="6F322EE8">
      <w:start w:val="1"/>
      <w:numFmt w:val="bullet"/>
      <w:lvlText w:val="■"/>
      <w:lvlJc w:val="left"/>
      <w:pPr>
        <w:ind w:left="4320" w:hanging="360"/>
      </w:pPr>
    </w:lvl>
    <w:lvl w:ilvl="6" w:tplc="00DA191A">
      <w:start w:val="1"/>
      <w:numFmt w:val="bullet"/>
      <w:lvlText w:val="●"/>
      <w:lvlJc w:val="left"/>
      <w:pPr>
        <w:ind w:left="5040" w:hanging="360"/>
      </w:pPr>
    </w:lvl>
    <w:lvl w:ilvl="7" w:tplc="4BD6B40E">
      <w:start w:val="1"/>
      <w:numFmt w:val="bullet"/>
      <w:lvlText w:val="●"/>
      <w:lvlJc w:val="left"/>
      <w:pPr>
        <w:ind w:left="5760" w:hanging="360"/>
      </w:pPr>
    </w:lvl>
    <w:lvl w:ilvl="8" w:tplc="123E36E6">
      <w:start w:val="1"/>
      <w:numFmt w:val="bullet"/>
      <w:lvlText w:val="●"/>
      <w:lvlJc w:val="left"/>
      <w:pPr>
        <w:ind w:left="6480" w:hanging="360"/>
      </w:pPr>
    </w:lvl>
  </w:abstractNum>
  <w:abstractNum w:abstractNumId="4" w15:restartNumberingAfterBreak="0">
    <w:nsid w:val="548B136F"/>
    <w:multiLevelType w:val="hybridMultilevel"/>
    <w:tmpl w:val="EAEC28E2"/>
    <w:lvl w:ilvl="0" w:tplc="43CE8B28">
      <w:start w:val="1"/>
      <w:numFmt w:val="upperLetter"/>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num w:numId="1" w16cid:durableId="507913455">
    <w:abstractNumId w:val="3"/>
    <w:lvlOverride w:ilvl="0">
      <w:startOverride w:val="1"/>
    </w:lvlOverride>
  </w:num>
  <w:num w:numId="2" w16cid:durableId="517472997">
    <w:abstractNumId w:val="0"/>
  </w:num>
  <w:num w:numId="3" w16cid:durableId="13309632">
    <w:abstractNumId w:val="1"/>
    <w:lvlOverride w:ilvl="0">
      <w:startOverride w:val="1"/>
    </w:lvlOverride>
  </w:num>
  <w:num w:numId="4" w16cid:durableId="1459572421">
    <w:abstractNumId w:val="2"/>
  </w:num>
  <w:num w:numId="5" w16cid:durableId="665473837">
    <w:abstractNumId w:val="0"/>
  </w:num>
  <w:num w:numId="6" w16cid:durableId="18034940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FE3"/>
    <w:rsid w:val="000059F6"/>
    <w:rsid w:val="000272DF"/>
    <w:rsid w:val="000325DC"/>
    <w:rsid w:val="00056CC0"/>
    <w:rsid w:val="00056E89"/>
    <w:rsid w:val="00057253"/>
    <w:rsid w:val="00073244"/>
    <w:rsid w:val="00081255"/>
    <w:rsid w:val="000A1B86"/>
    <w:rsid w:val="000A27C1"/>
    <w:rsid w:val="000A5D6A"/>
    <w:rsid w:val="000A6DA3"/>
    <w:rsid w:val="000A78D9"/>
    <w:rsid w:val="000C3B54"/>
    <w:rsid w:val="000D49F5"/>
    <w:rsid w:val="000D4DE5"/>
    <w:rsid w:val="000D743F"/>
    <w:rsid w:val="0010182C"/>
    <w:rsid w:val="00114A32"/>
    <w:rsid w:val="00120A6A"/>
    <w:rsid w:val="00122C46"/>
    <w:rsid w:val="001548DC"/>
    <w:rsid w:val="0015724E"/>
    <w:rsid w:val="00162BE3"/>
    <w:rsid w:val="00170595"/>
    <w:rsid w:val="00171937"/>
    <w:rsid w:val="00176276"/>
    <w:rsid w:val="00183937"/>
    <w:rsid w:val="00191724"/>
    <w:rsid w:val="001A755D"/>
    <w:rsid w:val="001B3395"/>
    <w:rsid w:val="001B3FBC"/>
    <w:rsid w:val="001B4E8A"/>
    <w:rsid w:val="001B7D64"/>
    <w:rsid w:val="001C3A1C"/>
    <w:rsid w:val="001C3A38"/>
    <w:rsid w:val="001D1E5F"/>
    <w:rsid w:val="001E04A9"/>
    <w:rsid w:val="001E1880"/>
    <w:rsid w:val="001E4A66"/>
    <w:rsid w:val="00206417"/>
    <w:rsid w:val="00223608"/>
    <w:rsid w:val="00232F7F"/>
    <w:rsid w:val="0023507A"/>
    <w:rsid w:val="00235D1D"/>
    <w:rsid w:val="002563BF"/>
    <w:rsid w:val="00261CE8"/>
    <w:rsid w:val="002643FC"/>
    <w:rsid w:val="0026500E"/>
    <w:rsid w:val="00272164"/>
    <w:rsid w:val="00285EA9"/>
    <w:rsid w:val="00287A3C"/>
    <w:rsid w:val="0029792F"/>
    <w:rsid w:val="002A0492"/>
    <w:rsid w:val="002A1557"/>
    <w:rsid w:val="002A21A7"/>
    <w:rsid w:val="002B0A3B"/>
    <w:rsid w:val="002B10AF"/>
    <w:rsid w:val="002B1B0C"/>
    <w:rsid w:val="002D44D8"/>
    <w:rsid w:val="00315C86"/>
    <w:rsid w:val="003206B0"/>
    <w:rsid w:val="00320E86"/>
    <w:rsid w:val="003323F4"/>
    <w:rsid w:val="003755F5"/>
    <w:rsid w:val="0037721F"/>
    <w:rsid w:val="003773BB"/>
    <w:rsid w:val="0038509C"/>
    <w:rsid w:val="003A17ED"/>
    <w:rsid w:val="003A388C"/>
    <w:rsid w:val="003B07EB"/>
    <w:rsid w:val="003C7810"/>
    <w:rsid w:val="003D12CA"/>
    <w:rsid w:val="003D525B"/>
    <w:rsid w:val="003E4032"/>
    <w:rsid w:val="003E4606"/>
    <w:rsid w:val="003E5486"/>
    <w:rsid w:val="003F2C0D"/>
    <w:rsid w:val="00407E27"/>
    <w:rsid w:val="00413D40"/>
    <w:rsid w:val="00422ED6"/>
    <w:rsid w:val="00424FFA"/>
    <w:rsid w:val="0044247A"/>
    <w:rsid w:val="0045385E"/>
    <w:rsid w:val="00453B85"/>
    <w:rsid w:val="00457C2B"/>
    <w:rsid w:val="004659AE"/>
    <w:rsid w:val="0047057C"/>
    <w:rsid w:val="00473BA2"/>
    <w:rsid w:val="00476F6A"/>
    <w:rsid w:val="004770B3"/>
    <w:rsid w:val="0049537A"/>
    <w:rsid w:val="00497A8A"/>
    <w:rsid w:val="004A18AF"/>
    <w:rsid w:val="004C6FE3"/>
    <w:rsid w:val="004D1EF1"/>
    <w:rsid w:val="004D4453"/>
    <w:rsid w:val="004E3336"/>
    <w:rsid w:val="004F2061"/>
    <w:rsid w:val="00505776"/>
    <w:rsid w:val="00514F7D"/>
    <w:rsid w:val="00515E63"/>
    <w:rsid w:val="00533373"/>
    <w:rsid w:val="00544088"/>
    <w:rsid w:val="00562F28"/>
    <w:rsid w:val="0056711E"/>
    <w:rsid w:val="00593D42"/>
    <w:rsid w:val="005A3F8C"/>
    <w:rsid w:val="005A5153"/>
    <w:rsid w:val="005C49AF"/>
    <w:rsid w:val="005E5DF6"/>
    <w:rsid w:val="005F7ED1"/>
    <w:rsid w:val="0060528D"/>
    <w:rsid w:val="00610212"/>
    <w:rsid w:val="00613892"/>
    <w:rsid w:val="006140B5"/>
    <w:rsid w:val="006142A7"/>
    <w:rsid w:val="00623FD4"/>
    <w:rsid w:val="00624D39"/>
    <w:rsid w:val="006262B8"/>
    <w:rsid w:val="00637BCC"/>
    <w:rsid w:val="006411CB"/>
    <w:rsid w:val="00652FCD"/>
    <w:rsid w:val="00655BA3"/>
    <w:rsid w:val="006774E0"/>
    <w:rsid w:val="0068710A"/>
    <w:rsid w:val="006A59EE"/>
    <w:rsid w:val="006C2770"/>
    <w:rsid w:val="006D0097"/>
    <w:rsid w:val="006D5677"/>
    <w:rsid w:val="006D7746"/>
    <w:rsid w:val="006E5B74"/>
    <w:rsid w:val="006F2606"/>
    <w:rsid w:val="0071589C"/>
    <w:rsid w:val="00716F16"/>
    <w:rsid w:val="0075614F"/>
    <w:rsid w:val="00770E38"/>
    <w:rsid w:val="00774D4E"/>
    <w:rsid w:val="00775D3D"/>
    <w:rsid w:val="0078443C"/>
    <w:rsid w:val="00784FE6"/>
    <w:rsid w:val="0079702C"/>
    <w:rsid w:val="00797803"/>
    <w:rsid w:val="007B38FB"/>
    <w:rsid w:val="007C39B3"/>
    <w:rsid w:val="007C5251"/>
    <w:rsid w:val="007C7535"/>
    <w:rsid w:val="007D2C63"/>
    <w:rsid w:val="007D73F3"/>
    <w:rsid w:val="007E1D2C"/>
    <w:rsid w:val="007E4ECE"/>
    <w:rsid w:val="007E7189"/>
    <w:rsid w:val="007F4C11"/>
    <w:rsid w:val="00813F27"/>
    <w:rsid w:val="00862A7B"/>
    <w:rsid w:val="00866A2F"/>
    <w:rsid w:val="00882020"/>
    <w:rsid w:val="00882922"/>
    <w:rsid w:val="00886C42"/>
    <w:rsid w:val="00887A82"/>
    <w:rsid w:val="00895ACF"/>
    <w:rsid w:val="008974F7"/>
    <w:rsid w:val="008A0D94"/>
    <w:rsid w:val="008B3DD0"/>
    <w:rsid w:val="008C36C1"/>
    <w:rsid w:val="008C4669"/>
    <w:rsid w:val="008D3F64"/>
    <w:rsid w:val="008D7F14"/>
    <w:rsid w:val="008F5F3A"/>
    <w:rsid w:val="00901CD7"/>
    <w:rsid w:val="00911EA6"/>
    <w:rsid w:val="0095531D"/>
    <w:rsid w:val="00957F10"/>
    <w:rsid w:val="0096311A"/>
    <w:rsid w:val="0096390B"/>
    <w:rsid w:val="00976899"/>
    <w:rsid w:val="00986028"/>
    <w:rsid w:val="00996045"/>
    <w:rsid w:val="00996337"/>
    <w:rsid w:val="009A04CE"/>
    <w:rsid w:val="009B0F65"/>
    <w:rsid w:val="009B724B"/>
    <w:rsid w:val="009D1A76"/>
    <w:rsid w:val="009F29FF"/>
    <w:rsid w:val="00A34AD0"/>
    <w:rsid w:val="00A51E36"/>
    <w:rsid w:val="00A559E5"/>
    <w:rsid w:val="00A73EB0"/>
    <w:rsid w:val="00A81F5B"/>
    <w:rsid w:val="00A824B3"/>
    <w:rsid w:val="00AA1CFF"/>
    <w:rsid w:val="00AA3050"/>
    <w:rsid w:val="00AA6D74"/>
    <w:rsid w:val="00AB5A24"/>
    <w:rsid w:val="00AC06D3"/>
    <w:rsid w:val="00AC250F"/>
    <w:rsid w:val="00AC48B5"/>
    <w:rsid w:val="00AF1C22"/>
    <w:rsid w:val="00AF485B"/>
    <w:rsid w:val="00B12C2E"/>
    <w:rsid w:val="00B20C92"/>
    <w:rsid w:val="00B23E83"/>
    <w:rsid w:val="00B57087"/>
    <w:rsid w:val="00B573E3"/>
    <w:rsid w:val="00B57BB0"/>
    <w:rsid w:val="00B61F0D"/>
    <w:rsid w:val="00B77564"/>
    <w:rsid w:val="00B846CD"/>
    <w:rsid w:val="00BA269C"/>
    <w:rsid w:val="00BC4BB6"/>
    <w:rsid w:val="00BD3243"/>
    <w:rsid w:val="00BE6237"/>
    <w:rsid w:val="00BF0E6D"/>
    <w:rsid w:val="00BF1B4F"/>
    <w:rsid w:val="00C06B7B"/>
    <w:rsid w:val="00C23D97"/>
    <w:rsid w:val="00C404AC"/>
    <w:rsid w:val="00C4180B"/>
    <w:rsid w:val="00C55BA7"/>
    <w:rsid w:val="00C74595"/>
    <w:rsid w:val="00CB009A"/>
    <w:rsid w:val="00CB3104"/>
    <w:rsid w:val="00CB6CBF"/>
    <w:rsid w:val="00CC1597"/>
    <w:rsid w:val="00CC3365"/>
    <w:rsid w:val="00CD5330"/>
    <w:rsid w:val="00CE7410"/>
    <w:rsid w:val="00CF3336"/>
    <w:rsid w:val="00CF4224"/>
    <w:rsid w:val="00D06E7A"/>
    <w:rsid w:val="00D366B8"/>
    <w:rsid w:val="00D450B3"/>
    <w:rsid w:val="00D53527"/>
    <w:rsid w:val="00D53A5F"/>
    <w:rsid w:val="00D56584"/>
    <w:rsid w:val="00D61281"/>
    <w:rsid w:val="00D63DB3"/>
    <w:rsid w:val="00D717C5"/>
    <w:rsid w:val="00D72F3A"/>
    <w:rsid w:val="00D805C5"/>
    <w:rsid w:val="00D84EA5"/>
    <w:rsid w:val="00DB0EF3"/>
    <w:rsid w:val="00DC4507"/>
    <w:rsid w:val="00DD4B7C"/>
    <w:rsid w:val="00DD4E83"/>
    <w:rsid w:val="00DD7B43"/>
    <w:rsid w:val="00DE7D13"/>
    <w:rsid w:val="00DF3A2C"/>
    <w:rsid w:val="00E12CA4"/>
    <w:rsid w:val="00E32AFC"/>
    <w:rsid w:val="00E67BF6"/>
    <w:rsid w:val="00E7126C"/>
    <w:rsid w:val="00E80B40"/>
    <w:rsid w:val="00E8784D"/>
    <w:rsid w:val="00E90C9C"/>
    <w:rsid w:val="00E92FFF"/>
    <w:rsid w:val="00EA3AAA"/>
    <w:rsid w:val="00EB0B00"/>
    <w:rsid w:val="00ED4636"/>
    <w:rsid w:val="00EE2A96"/>
    <w:rsid w:val="00EF6206"/>
    <w:rsid w:val="00F01AF4"/>
    <w:rsid w:val="00F06A07"/>
    <w:rsid w:val="00F12FDD"/>
    <w:rsid w:val="00F3660A"/>
    <w:rsid w:val="00F40D70"/>
    <w:rsid w:val="00F50D2E"/>
    <w:rsid w:val="00F61797"/>
    <w:rsid w:val="00F63FBB"/>
    <w:rsid w:val="00F80F88"/>
    <w:rsid w:val="00F8594F"/>
    <w:rsid w:val="00F955B3"/>
    <w:rsid w:val="00FA0713"/>
    <w:rsid w:val="00FB10BF"/>
    <w:rsid w:val="00FC0DF8"/>
    <w:rsid w:val="00FC0FA8"/>
    <w:rsid w:val="00FD1870"/>
    <w:rsid w:val="00FD2EDF"/>
    <w:rsid w:val="00FD5765"/>
    <w:rsid w:val="00FE0005"/>
    <w:rsid w:val="00FF22CD"/>
    <w:rsid w:val="00FF58C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A3AC"/>
  <w15:docId w15:val="{BBA65E1E-AB86-9D4D-B8FD-6D1466C48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00" w:after="180"/>
      <w:outlineLvl w:val="0"/>
    </w:pPr>
    <w:rPr>
      <w:b/>
      <w:bCs/>
      <w:sz w:val="26"/>
      <w:szCs w:val="26"/>
    </w:rPr>
  </w:style>
  <w:style w:type="paragraph" w:styleId="Titolo2">
    <w:name w:val="heading 2"/>
    <w:uiPriority w:val="9"/>
    <w:semiHidden/>
    <w:unhideWhenUsed/>
    <w:qFormat/>
    <w:pPr>
      <w:spacing w:before="240" w:after="120"/>
      <w:outlineLvl w:val="1"/>
    </w:pPr>
    <w:rPr>
      <w:b/>
      <w:bCs/>
      <w:u w:val="single"/>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customStyle="1" w:styleId="vcex-page-titletext">
    <w:name w:val="vcex-page-title__text"/>
    <w:basedOn w:val="Carpredefinitoparagrafo"/>
    <w:rsid w:val="00D53527"/>
  </w:style>
  <w:style w:type="paragraph" w:styleId="NormaleWeb">
    <w:name w:val="Normal (Web)"/>
    <w:basedOn w:val="Normale"/>
    <w:uiPriority w:val="99"/>
    <w:semiHidden/>
    <w:unhideWhenUsed/>
    <w:rsid w:val="00D53527"/>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Carpredefinitoparagrafo"/>
    <w:rsid w:val="00D53527"/>
  </w:style>
  <w:style w:type="character" w:styleId="Enfasigrassetto">
    <w:name w:val="Strong"/>
    <w:basedOn w:val="Carpredefinitoparagrafo"/>
    <w:uiPriority w:val="22"/>
    <w:qFormat/>
    <w:rsid w:val="00D53527"/>
    <w:rPr>
      <w:b/>
      <w:bCs/>
    </w:rPr>
  </w:style>
  <w:style w:type="character" w:styleId="Enfasicorsivo">
    <w:name w:val="Emphasis"/>
    <w:basedOn w:val="Carpredefinitoparagrafo"/>
    <w:uiPriority w:val="20"/>
    <w:qFormat/>
    <w:rsid w:val="00D53527"/>
    <w:rPr>
      <w:i/>
      <w:iCs/>
    </w:rPr>
  </w:style>
  <w:style w:type="paragraph" w:customStyle="1" w:styleId="Default">
    <w:name w:val="Default"/>
    <w:rsid w:val="00B846CD"/>
    <w:pPr>
      <w:autoSpaceDE w:val="0"/>
      <w:autoSpaceDN w:val="0"/>
      <w:adjustRightInd w:val="0"/>
    </w:pPr>
    <w:rPr>
      <w:rFonts w:ascii="Times New Roman" w:hAnsi="Times New Roman" w:cs="Times New Roman"/>
      <w:color w:val="000000"/>
    </w:rPr>
  </w:style>
  <w:style w:type="paragraph" w:styleId="Testofumetto">
    <w:name w:val="Balloon Text"/>
    <w:basedOn w:val="Normale"/>
    <w:link w:val="TestofumettoCarattere"/>
    <w:uiPriority w:val="99"/>
    <w:semiHidden/>
    <w:unhideWhenUsed/>
    <w:rsid w:val="00D61281"/>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D61281"/>
    <w:rPr>
      <w:rFonts w:ascii="Segoe UI" w:hAnsi="Segoe UI" w:cs="Segoe UI"/>
      <w:sz w:val="18"/>
      <w:szCs w:val="18"/>
    </w:rPr>
  </w:style>
  <w:style w:type="character" w:customStyle="1" w:styleId="focus-visibleborder-ring">
    <w:name w:val="focus-visible:border-ring"/>
    <w:basedOn w:val="Carpredefinitoparagrafo"/>
    <w:rsid w:val="00223608"/>
  </w:style>
  <w:style w:type="character" w:styleId="Menzionenonrisolta">
    <w:name w:val="Unresolved Mention"/>
    <w:basedOn w:val="Carpredefinitoparagrafo"/>
    <w:uiPriority w:val="99"/>
    <w:semiHidden/>
    <w:unhideWhenUsed/>
    <w:rsid w:val="00D63D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CAB3F-6917-499F-8FAB-3C9DAFA48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2849</Words>
  <Characters>16241</Characters>
  <Application>Microsoft Office Word</Application>
  <DocSecurity>0</DocSecurity>
  <Lines>135</Lines>
  <Paragraphs>38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Voccia de Felice</cp:lastModifiedBy>
  <cp:revision>7</cp:revision>
  <cp:lastPrinted>2026-05-04T17:24:00Z</cp:lastPrinted>
  <dcterms:created xsi:type="dcterms:W3CDTF">2026-06-18T11:14:00Z</dcterms:created>
  <dcterms:modified xsi:type="dcterms:W3CDTF">2026-07-08T17:14:00Z</dcterms:modified>
</cp:coreProperties>
</file>