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F7442" w14:textId="77777777" w:rsidR="0084655C" w:rsidRPr="006B631F" w:rsidRDefault="002E099D" w:rsidP="007B1BA2">
      <w:pPr>
        <w:spacing w:line="276" w:lineRule="auto"/>
        <w:jc w:val="center"/>
        <w:rPr>
          <w:rFonts w:ascii="Arial" w:hAnsi="Arial" w:cs="Arial"/>
          <w:sz w:val="24"/>
          <w:szCs w:val="24"/>
        </w:rPr>
      </w:pPr>
      <w:r>
        <w:rPr>
          <w:rFonts w:ascii="Arial" w:hAnsi="Arial" w:cs="Arial"/>
          <w:b/>
          <w:bCs/>
          <w:sz w:val="24"/>
          <w:szCs w:val="24"/>
        </w:rPr>
        <w:t>Maria Voccia De Felice</w:t>
      </w:r>
    </w:p>
    <w:p w14:paraId="62CBD141" w14:textId="77777777" w:rsidR="0084655C" w:rsidRPr="006B631F" w:rsidRDefault="002E099D" w:rsidP="007B1BA2">
      <w:pPr>
        <w:spacing w:line="276" w:lineRule="auto"/>
        <w:jc w:val="center"/>
        <w:rPr>
          <w:rFonts w:ascii="Arial" w:hAnsi="Arial" w:cs="Arial"/>
          <w:sz w:val="24"/>
          <w:szCs w:val="24"/>
        </w:rPr>
      </w:pPr>
      <w:r>
        <w:rPr>
          <w:rFonts w:ascii="Arial" w:hAnsi="Arial" w:cs="Arial"/>
          <w:b/>
          <w:bCs/>
          <w:sz w:val="24"/>
          <w:szCs w:val="24"/>
        </w:rPr>
        <w:t>Avvocato</w:t>
      </w:r>
    </w:p>
    <w:p w14:paraId="40279D2E" w14:textId="77777777" w:rsidR="0084655C" w:rsidRPr="006B631F" w:rsidRDefault="002E099D" w:rsidP="007B1BA2">
      <w:pPr>
        <w:spacing w:line="276" w:lineRule="auto"/>
        <w:jc w:val="center"/>
        <w:rPr>
          <w:rFonts w:ascii="Arial" w:hAnsi="Arial" w:cs="Arial"/>
          <w:sz w:val="24"/>
          <w:szCs w:val="24"/>
        </w:rPr>
      </w:pPr>
      <w:r>
        <w:rPr>
          <w:rFonts w:ascii="Arial" w:hAnsi="Arial" w:cs="Arial"/>
          <w:b/>
          <w:bCs/>
          <w:sz w:val="24"/>
          <w:szCs w:val="24"/>
        </w:rPr>
        <w:t>Patrocinante in Cassazione</w:t>
      </w:r>
    </w:p>
    <w:p w14:paraId="4AC5BD22" w14:textId="77777777" w:rsidR="0084655C" w:rsidRPr="006B631F" w:rsidRDefault="002E099D" w:rsidP="007B1BA2">
      <w:pPr>
        <w:spacing w:line="276" w:lineRule="auto"/>
        <w:jc w:val="center"/>
        <w:rPr>
          <w:rFonts w:ascii="Arial" w:hAnsi="Arial" w:cs="Arial"/>
          <w:sz w:val="24"/>
          <w:szCs w:val="24"/>
        </w:rPr>
      </w:pPr>
      <w:r>
        <w:rPr>
          <w:rFonts w:ascii="Arial" w:hAnsi="Arial" w:cs="Arial"/>
          <w:b/>
          <w:bCs/>
          <w:sz w:val="24"/>
          <w:szCs w:val="24"/>
        </w:rPr>
        <w:t>Salerno - Via G. Vicinanza n. 42 – 84123</w:t>
      </w:r>
    </w:p>
    <w:p w14:paraId="1EF5AFE0" w14:textId="77777777" w:rsidR="0084655C" w:rsidRPr="006B631F" w:rsidRDefault="002E099D" w:rsidP="007B1BA2">
      <w:pPr>
        <w:spacing w:line="276" w:lineRule="auto"/>
        <w:jc w:val="center"/>
        <w:rPr>
          <w:rFonts w:ascii="Arial" w:hAnsi="Arial" w:cs="Arial"/>
          <w:sz w:val="24"/>
          <w:szCs w:val="24"/>
        </w:rPr>
      </w:pPr>
      <w:r>
        <w:rPr>
          <w:rFonts w:ascii="Arial" w:hAnsi="Arial" w:cs="Arial"/>
          <w:b/>
          <w:bCs/>
          <w:sz w:val="24"/>
          <w:szCs w:val="24"/>
        </w:rPr>
        <w:t>tel. 089237255  fax 0892581656</w:t>
      </w:r>
    </w:p>
    <w:p w14:paraId="5268D4C7" w14:textId="77777777" w:rsidR="0084655C" w:rsidRPr="006B631F" w:rsidRDefault="002E099D" w:rsidP="007B1BA2">
      <w:pPr>
        <w:spacing w:line="276" w:lineRule="auto"/>
        <w:jc w:val="center"/>
        <w:rPr>
          <w:rFonts w:ascii="Arial" w:hAnsi="Arial" w:cs="Arial"/>
          <w:sz w:val="24"/>
          <w:szCs w:val="24"/>
        </w:rPr>
      </w:pPr>
      <w:r>
        <w:rPr>
          <w:rFonts w:ascii="Arial" w:hAnsi="Arial" w:cs="Arial"/>
          <w:b/>
          <w:bCs/>
          <w:sz w:val="24"/>
          <w:szCs w:val="24"/>
        </w:rPr>
        <w:t>mobile 335 6329269</w:t>
      </w:r>
    </w:p>
    <w:p w14:paraId="1AB7BD2C" w14:textId="659FEA7B" w:rsidR="0084655C" w:rsidRDefault="002E099D" w:rsidP="007B1BA2">
      <w:pPr>
        <w:spacing w:line="276" w:lineRule="auto"/>
        <w:jc w:val="center"/>
        <w:rPr>
          <w:rFonts w:ascii="Arial" w:hAnsi="Arial" w:cs="Arial"/>
          <w:b/>
          <w:bCs/>
          <w:sz w:val="24"/>
          <w:szCs w:val="24"/>
        </w:rPr>
      </w:pPr>
      <w:r>
        <w:rPr>
          <w:rFonts w:ascii="Arial" w:hAnsi="Arial" w:cs="Arial"/>
          <w:b/>
          <w:bCs/>
          <w:sz w:val="24"/>
          <w:szCs w:val="24"/>
        </w:rPr>
        <w:t xml:space="preserve">mail: mvoccia@vocciaspa.com   pec: </w:t>
      </w:r>
      <w:hyperlink r:id="rId7" w:history="1">
        <w:r w:rsidR="007B1BA2" w:rsidRPr="0022156E">
          <w:rPr>
            <w:rStyle w:val="Collegamentoipertestuale"/>
            <w:rFonts w:ascii="Arial" w:hAnsi="Arial" w:cs="Arial"/>
            <w:b/>
            <w:bCs/>
            <w:sz w:val="24"/>
            <w:szCs w:val="24"/>
          </w:rPr>
          <w:t>mvocciaordsa@pec.giuffre.it</w:t>
        </w:r>
      </w:hyperlink>
    </w:p>
    <w:p w14:paraId="3D341531" w14:textId="77777777" w:rsidR="007B1BA2" w:rsidRPr="006B631F" w:rsidRDefault="007B1BA2" w:rsidP="007B1BA2">
      <w:pPr>
        <w:spacing w:line="276" w:lineRule="auto"/>
        <w:jc w:val="center"/>
        <w:rPr>
          <w:rFonts w:ascii="Arial" w:hAnsi="Arial" w:cs="Arial"/>
          <w:sz w:val="24"/>
          <w:szCs w:val="24"/>
        </w:rPr>
      </w:pPr>
    </w:p>
    <w:p w14:paraId="7450EA8B" w14:textId="77777777" w:rsidR="0084655C" w:rsidRPr="006B631F" w:rsidRDefault="002E099D" w:rsidP="006B631F">
      <w:pPr>
        <w:spacing w:line="360" w:lineRule="auto"/>
        <w:jc w:val="center"/>
        <w:rPr>
          <w:rFonts w:ascii="Arial" w:hAnsi="Arial" w:cs="Arial"/>
          <w:sz w:val="24"/>
          <w:szCs w:val="24"/>
        </w:rPr>
      </w:pPr>
      <w:r>
        <w:rPr>
          <w:rFonts w:ascii="Arial" w:hAnsi="Arial" w:cs="Arial"/>
          <w:b/>
          <w:bCs/>
          <w:sz w:val="24"/>
          <w:szCs w:val="24"/>
        </w:rPr>
        <w:t>CORTE DI GIUSTIZIA TRIBUTARIA DI PRIMO GRADO DI BARI</w:t>
      </w:r>
    </w:p>
    <w:p w14:paraId="25304A3A" w14:textId="77777777" w:rsidR="0084655C" w:rsidRPr="006B631F" w:rsidRDefault="002E099D" w:rsidP="006B631F">
      <w:pPr>
        <w:spacing w:line="360" w:lineRule="auto"/>
        <w:jc w:val="center"/>
        <w:rPr>
          <w:rFonts w:ascii="Arial" w:hAnsi="Arial" w:cs="Arial"/>
          <w:sz w:val="24"/>
          <w:szCs w:val="24"/>
        </w:rPr>
      </w:pPr>
      <w:r>
        <w:rPr>
          <w:rFonts w:ascii="Arial" w:hAnsi="Arial" w:cs="Arial"/>
          <w:b/>
          <w:bCs/>
          <w:sz w:val="24"/>
          <w:szCs w:val="24"/>
        </w:rPr>
        <w:t>MEMORIA DI COSTITUZIONE E RISPOSTA</w:t>
      </w:r>
    </w:p>
    <w:p w14:paraId="489C4738" w14:textId="77777777" w:rsidR="0084655C" w:rsidRPr="006B631F" w:rsidRDefault="002E099D" w:rsidP="006B631F">
      <w:pPr>
        <w:spacing w:line="360" w:lineRule="auto"/>
        <w:jc w:val="center"/>
        <w:rPr>
          <w:rFonts w:ascii="Arial" w:hAnsi="Arial" w:cs="Arial"/>
          <w:sz w:val="24"/>
          <w:szCs w:val="24"/>
        </w:rPr>
      </w:pPr>
      <w:r>
        <w:rPr>
          <w:rFonts w:ascii="Arial" w:hAnsi="Arial" w:cs="Arial"/>
          <w:b/>
          <w:bCs/>
          <w:sz w:val="24"/>
          <w:szCs w:val="24"/>
        </w:rPr>
        <w:t>(art. 23 D.Lgs. n. 546/1992)</w:t>
      </w:r>
    </w:p>
    <w:p w14:paraId="2E65195E" w14:textId="77777777" w:rsidR="0084655C" w:rsidRPr="006B631F" w:rsidRDefault="0084655C" w:rsidP="006B631F">
      <w:pPr>
        <w:spacing w:line="360" w:lineRule="auto"/>
        <w:rPr>
          <w:rFonts w:ascii="Arial" w:hAnsi="Arial" w:cs="Arial"/>
          <w:sz w:val="24"/>
          <w:szCs w:val="24"/>
        </w:rPr>
      </w:pPr>
    </w:p>
    <w:p w14:paraId="1C83D5FD" w14:textId="45F01D24" w:rsidR="00E3470C" w:rsidRPr="00E3470C" w:rsidRDefault="002E099D" w:rsidP="00E3470C">
      <w:pPr>
        <w:spacing w:line="360" w:lineRule="auto"/>
        <w:jc w:val="both"/>
        <w:rPr>
          <w:rFonts w:ascii="Arial" w:hAnsi="Arial" w:cs="Arial"/>
          <w:sz w:val="24"/>
          <w:szCs w:val="24"/>
          <w:u w:val="single"/>
        </w:rPr>
      </w:pPr>
      <w:r>
        <w:rPr>
          <w:rFonts w:ascii="Arial" w:hAnsi="Arial" w:cs="Arial"/>
          <w:b/>
          <w:bCs/>
          <w:sz w:val="24"/>
          <w:szCs w:val="24"/>
        </w:rPr>
        <w:t>PER:   Comune di BITRITTO</w:t>
      </w:r>
      <w:r>
        <w:rPr>
          <w:rFonts w:ascii="Arial" w:hAnsi="Arial" w:cs="Arial"/>
          <w:sz w:val="24"/>
          <w:szCs w:val="24"/>
        </w:rPr>
        <w:t xml:space="preserve"> (BA) (C.F. 00821080728), </w:t>
      </w:r>
      <w:r w:rsidR="00E3470C" w:rsidRPr="00E3470C">
        <w:rPr>
          <w:rFonts w:ascii="Arial" w:hAnsi="Arial" w:cs="Arial"/>
          <w:sz w:val="24"/>
          <w:szCs w:val="24"/>
        </w:rPr>
        <w:t xml:space="preserve">con sede in Piazza Leone n. 14, 70020 Bitritto (BA), in persona del Sindaco </w:t>
      </w:r>
      <w:r w:rsidR="00E3470C" w:rsidRPr="00E3470C">
        <w:rPr>
          <w:rFonts w:ascii="Arial" w:hAnsi="Arial" w:cs="Arial"/>
          <w:i/>
          <w:iCs/>
          <w:sz w:val="24"/>
          <w:szCs w:val="24"/>
        </w:rPr>
        <w:t>pro tempore</w:t>
      </w:r>
      <w:r w:rsidR="00E3470C" w:rsidRPr="00E3470C">
        <w:rPr>
          <w:rFonts w:ascii="Arial" w:hAnsi="Arial" w:cs="Arial"/>
          <w:sz w:val="24"/>
          <w:szCs w:val="24"/>
        </w:rPr>
        <w:t xml:space="preserve">, rappresentato e difeso, in esecuzione della Delibera di </w:t>
      </w:r>
      <w:r w:rsidR="00E3470C" w:rsidRPr="00E3470C">
        <w:rPr>
          <w:rFonts w:ascii="Arial" w:hAnsi="Arial" w:cs="Arial"/>
          <w:b/>
          <w:bCs/>
          <w:sz w:val="24"/>
          <w:szCs w:val="24"/>
        </w:rPr>
        <w:t>G.C. n. 110 del 1.7.2026</w:t>
      </w:r>
      <w:r w:rsidR="00E3470C" w:rsidRPr="00E3470C">
        <w:rPr>
          <w:rFonts w:ascii="Arial" w:hAnsi="Arial" w:cs="Arial"/>
          <w:sz w:val="24"/>
          <w:szCs w:val="24"/>
        </w:rPr>
        <w:t xml:space="preserve"> e in virtù di mandato in calce al presente atto e su foglio separato, dall’avv. Maria Voccia De Felice (C.F. VCCMRA66M64G813U) presso il cui studio elettivamente domicilia in Salerno alla Via G. Vicinanza n. 42, </w:t>
      </w:r>
      <w:r w:rsidR="00E3470C" w:rsidRPr="00E3470C">
        <w:rPr>
          <w:rFonts w:ascii="Arial" w:hAnsi="Arial" w:cs="Arial"/>
          <w:b/>
          <w:bCs/>
          <w:sz w:val="24"/>
          <w:szCs w:val="24"/>
        </w:rPr>
        <w:t>il suddetto procuratore dichiara di voler ricevere le notifiche di legge a mezzo pec all’indirizzo</w:t>
      </w:r>
      <w:r w:rsidR="00E3470C" w:rsidRPr="00E3470C">
        <w:rPr>
          <w:rFonts w:ascii="Arial" w:hAnsi="Arial" w:cs="Arial"/>
          <w:b/>
          <w:bCs/>
          <w:sz w:val="24"/>
          <w:szCs w:val="24"/>
          <w:u w:val="single"/>
        </w:rPr>
        <w:t xml:space="preserve"> mvocciaordsa@pec.giuffre.it;</w:t>
      </w:r>
    </w:p>
    <w:p w14:paraId="2FC0A22D" w14:textId="77777777" w:rsidR="005762EB" w:rsidRDefault="005762EB" w:rsidP="006B631F">
      <w:pPr>
        <w:spacing w:line="360" w:lineRule="auto"/>
        <w:jc w:val="both"/>
        <w:rPr>
          <w:rFonts w:ascii="Arial" w:hAnsi="Arial" w:cs="Arial"/>
          <w:b/>
          <w:bCs/>
          <w:sz w:val="24"/>
          <w:szCs w:val="24"/>
        </w:rPr>
      </w:pPr>
    </w:p>
    <w:p w14:paraId="3B73CD64" w14:textId="53CE6334" w:rsidR="0084655C" w:rsidRPr="006B631F" w:rsidRDefault="002E099D" w:rsidP="006B631F">
      <w:pPr>
        <w:spacing w:line="360" w:lineRule="auto"/>
        <w:jc w:val="both"/>
        <w:rPr>
          <w:rFonts w:ascii="Arial" w:hAnsi="Arial" w:cs="Arial"/>
          <w:sz w:val="24"/>
          <w:szCs w:val="24"/>
        </w:rPr>
      </w:pPr>
      <w:r>
        <w:rPr>
          <w:rFonts w:ascii="Arial" w:hAnsi="Arial" w:cs="Arial"/>
          <w:b/>
          <w:bCs/>
          <w:sz w:val="24"/>
          <w:szCs w:val="24"/>
        </w:rPr>
        <w:t>CONTRO:  ACQUEDOTTO PUGLIESE S.p.A.</w:t>
      </w:r>
      <w:r>
        <w:rPr>
          <w:rFonts w:ascii="Arial" w:hAnsi="Arial" w:cs="Arial"/>
          <w:sz w:val="24"/>
          <w:szCs w:val="24"/>
        </w:rPr>
        <w:t>, con sede legale in Bari, Via Salvatore Cognetti n. 36 – 70121, C.F. e P. IVA 00347000721, in persona del Presidente del Consiglio di Amministrazione Dott. Roberto Venneri, rappresentata e difesa dal Dr. Tommaso Carano, pec: carano@legalmail.it.</w:t>
      </w:r>
    </w:p>
    <w:p w14:paraId="3524D733" w14:textId="77777777" w:rsidR="0084655C" w:rsidRPr="006B631F" w:rsidRDefault="002E099D" w:rsidP="006B631F">
      <w:pPr>
        <w:spacing w:line="360" w:lineRule="auto"/>
        <w:jc w:val="center"/>
        <w:rPr>
          <w:rFonts w:ascii="Arial" w:hAnsi="Arial" w:cs="Arial"/>
          <w:sz w:val="24"/>
          <w:szCs w:val="24"/>
        </w:rPr>
      </w:pPr>
      <w:r>
        <w:rPr>
          <w:rFonts w:ascii="Arial" w:hAnsi="Arial" w:cs="Arial"/>
          <w:b/>
          <w:bCs/>
          <w:sz w:val="24"/>
          <w:szCs w:val="24"/>
        </w:rPr>
        <w:t>PREMESSO</w:t>
      </w:r>
    </w:p>
    <w:p w14:paraId="14745A39" w14:textId="74B99141" w:rsidR="0084655C" w:rsidRPr="006B631F" w:rsidRDefault="002E099D" w:rsidP="005762EB">
      <w:pPr>
        <w:spacing w:line="360" w:lineRule="auto"/>
        <w:ind w:firstLine="708"/>
        <w:jc w:val="both"/>
        <w:rPr>
          <w:rFonts w:ascii="Arial" w:hAnsi="Arial" w:cs="Arial"/>
          <w:sz w:val="24"/>
          <w:szCs w:val="24"/>
        </w:rPr>
      </w:pPr>
      <w:r>
        <w:rPr>
          <w:rFonts w:ascii="Arial" w:hAnsi="Arial" w:cs="Arial"/>
          <w:sz w:val="24"/>
          <w:szCs w:val="24"/>
        </w:rPr>
        <w:t>Con ricorso notificato a mezzo PEC in data 1 aprile 2026</w:t>
      </w:r>
      <w:r w:rsidR="005762EB">
        <w:rPr>
          <w:rFonts w:ascii="Arial" w:hAnsi="Arial" w:cs="Arial"/>
          <w:sz w:val="24"/>
          <w:szCs w:val="24"/>
        </w:rPr>
        <w:t xml:space="preserve">, </w:t>
      </w:r>
      <w:r>
        <w:rPr>
          <w:rFonts w:ascii="Arial" w:hAnsi="Arial" w:cs="Arial"/>
          <w:sz w:val="24"/>
          <w:szCs w:val="24"/>
        </w:rPr>
        <w:t xml:space="preserve">la società </w:t>
      </w:r>
      <w:r>
        <w:rPr>
          <w:rFonts w:ascii="Arial" w:hAnsi="Arial" w:cs="Arial"/>
          <w:b/>
          <w:bCs/>
          <w:sz w:val="24"/>
          <w:szCs w:val="24"/>
        </w:rPr>
        <w:t>Acquedotto Pugliese S.p.A.</w:t>
      </w:r>
      <w:r>
        <w:rPr>
          <w:rFonts w:ascii="Arial" w:hAnsi="Arial" w:cs="Arial"/>
          <w:sz w:val="24"/>
          <w:szCs w:val="24"/>
        </w:rPr>
        <w:t xml:space="preserve"> </w:t>
      </w:r>
      <w:r w:rsidR="005762EB">
        <w:rPr>
          <w:rFonts w:ascii="Arial" w:hAnsi="Arial" w:cs="Arial"/>
          <w:sz w:val="24"/>
          <w:szCs w:val="24"/>
        </w:rPr>
        <w:t xml:space="preserve">(di seguito anche AQP) </w:t>
      </w:r>
      <w:r>
        <w:rPr>
          <w:rFonts w:ascii="Arial" w:hAnsi="Arial" w:cs="Arial"/>
          <w:sz w:val="24"/>
          <w:szCs w:val="24"/>
        </w:rPr>
        <w:t xml:space="preserve">ha impugnato </w:t>
      </w:r>
      <w:r>
        <w:rPr>
          <w:rFonts w:ascii="Arial" w:hAnsi="Arial" w:cs="Arial"/>
          <w:sz w:val="24"/>
          <w:szCs w:val="24"/>
        </w:rPr>
        <w:t>l’</w:t>
      </w:r>
      <w:r>
        <w:rPr>
          <w:rFonts w:ascii="Arial" w:hAnsi="Arial" w:cs="Arial"/>
          <w:b/>
          <w:bCs/>
          <w:sz w:val="24"/>
          <w:szCs w:val="24"/>
        </w:rPr>
        <w:t>avviso di accertamento esecutivo n. 1 del 26/01/2026</w:t>
      </w:r>
      <w:r w:rsidR="005762EB">
        <w:rPr>
          <w:rFonts w:ascii="Arial" w:hAnsi="Arial" w:cs="Arial"/>
          <w:b/>
          <w:bCs/>
          <w:sz w:val="24"/>
          <w:szCs w:val="24"/>
        </w:rPr>
        <w:t>,</w:t>
      </w:r>
      <w:r>
        <w:rPr>
          <w:rFonts w:ascii="Arial" w:hAnsi="Arial" w:cs="Arial"/>
          <w:sz w:val="24"/>
          <w:szCs w:val="24"/>
        </w:rPr>
        <w:t xml:space="preserve"> con il quale il Comune di Bitritto ha accertato e richiesto il pagamento del </w:t>
      </w:r>
      <w:r>
        <w:rPr>
          <w:rFonts w:ascii="Arial" w:hAnsi="Arial" w:cs="Arial"/>
          <w:b/>
          <w:bCs/>
          <w:sz w:val="24"/>
          <w:szCs w:val="24"/>
        </w:rPr>
        <w:t>Canone Unico Patrimoniale (CUP)</w:t>
      </w:r>
      <w:r>
        <w:rPr>
          <w:rFonts w:ascii="Arial" w:hAnsi="Arial" w:cs="Arial"/>
          <w:sz w:val="24"/>
          <w:szCs w:val="24"/>
        </w:rPr>
        <w:t xml:space="preserve"> per gli anni d’imposta </w:t>
      </w:r>
      <w:r>
        <w:rPr>
          <w:rFonts w:ascii="Arial" w:hAnsi="Arial" w:cs="Arial"/>
          <w:b/>
          <w:bCs/>
          <w:sz w:val="24"/>
          <w:szCs w:val="24"/>
        </w:rPr>
        <w:t>2021-2022-2023-2024</w:t>
      </w:r>
      <w:r>
        <w:rPr>
          <w:rFonts w:ascii="Arial" w:hAnsi="Arial" w:cs="Arial"/>
          <w:sz w:val="24"/>
          <w:szCs w:val="24"/>
        </w:rPr>
        <w:t xml:space="preserve">, per un importo complessivo di </w:t>
      </w:r>
      <w:r>
        <w:rPr>
          <w:rFonts w:ascii="Arial" w:hAnsi="Arial" w:cs="Arial"/>
          <w:b/>
          <w:bCs/>
          <w:sz w:val="24"/>
          <w:szCs w:val="24"/>
        </w:rPr>
        <w:t>€ 85.732,00</w:t>
      </w:r>
      <w:r>
        <w:rPr>
          <w:rFonts w:ascii="Arial" w:hAnsi="Arial" w:cs="Arial"/>
          <w:sz w:val="24"/>
          <w:szCs w:val="24"/>
        </w:rPr>
        <w:t xml:space="preserve">, ai sensi dell’art. 1, comma 831, della L. n. 160/2019, in relazione alle occupazioni permanenti del suolo pubblico del Comune di Bitritto con le reti e condutture del servizio idrico integrato. </w:t>
      </w:r>
    </w:p>
    <w:p w14:paraId="3716725D" w14:textId="3F8EC39C" w:rsidR="0084655C" w:rsidRPr="006B631F" w:rsidRDefault="000C2B14" w:rsidP="000C2B14">
      <w:pPr>
        <w:spacing w:line="360" w:lineRule="auto"/>
        <w:jc w:val="both"/>
        <w:rPr>
          <w:rFonts w:ascii="Arial" w:hAnsi="Arial" w:cs="Arial"/>
          <w:sz w:val="24"/>
          <w:szCs w:val="24"/>
        </w:rPr>
      </w:pPr>
      <w:r>
        <w:rPr>
          <w:rFonts w:ascii="Arial" w:hAnsi="Arial" w:cs="Arial"/>
          <w:sz w:val="24"/>
          <w:szCs w:val="24"/>
        </w:rPr>
        <w:tab/>
        <w:t xml:space="preserve">L’accertamento impugnato è stato adottato in conformità alla </w:t>
      </w:r>
      <w:r>
        <w:rPr>
          <w:rFonts w:ascii="Arial" w:hAnsi="Arial" w:cs="Arial"/>
          <w:b/>
          <w:bCs/>
          <w:sz w:val="24"/>
          <w:szCs w:val="24"/>
        </w:rPr>
        <w:t>Delibera di Consiglio Comunale n. 7 del 01/03/2021</w:t>
      </w:r>
      <w:r>
        <w:rPr>
          <w:rFonts w:ascii="Arial" w:hAnsi="Arial" w:cs="Arial"/>
          <w:sz w:val="24"/>
          <w:szCs w:val="24"/>
        </w:rPr>
        <w:t>, con la quale è stato approvato il Regolamento del Canone Unico Patrimoniale di concessione, autorizzazione o esposizione pubblicitaria (</w:t>
      </w:r>
      <w:r>
        <w:rPr>
          <w:rFonts w:ascii="Arial" w:hAnsi="Arial" w:cs="Arial"/>
          <w:b/>
          <w:bCs/>
          <w:sz w:val="24"/>
          <w:szCs w:val="24"/>
        </w:rPr>
        <w:t>Doc. 1</w:t>
      </w:r>
      <w:r>
        <w:rPr>
          <w:rFonts w:ascii="Arial" w:hAnsi="Arial" w:cs="Arial"/>
          <w:sz w:val="24"/>
          <w:szCs w:val="24"/>
        </w:rPr>
        <w:t xml:space="preserve">), nonché in conformità alle disposizioni </w:t>
      </w:r>
      <w:r w:rsidR="005762EB">
        <w:rPr>
          <w:rFonts w:ascii="Arial" w:hAnsi="Arial" w:cs="Arial"/>
          <w:sz w:val="24"/>
          <w:szCs w:val="24"/>
        </w:rPr>
        <w:t>del</w:t>
      </w:r>
      <w:r>
        <w:rPr>
          <w:rFonts w:ascii="Arial" w:hAnsi="Arial" w:cs="Arial"/>
          <w:sz w:val="24"/>
          <w:szCs w:val="24"/>
        </w:rPr>
        <w:t>l’art. 1, commi 816-836, della Legge n. 160/2019.</w:t>
      </w:r>
    </w:p>
    <w:p w14:paraId="4EEC8DE2" w14:textId="78AFFEA5" w:rsidR="0084655C" w:rsidRPr="006B631F" w:rsidRDefault="000C2B14" w:rsidP="000C2B14">
      <w:pPr>
        <w:spacing w:line="360" w:lineRule="auto"/>
        <w:jc w:val="both"/>
        <w:rPr>
          <w:rFonts w:ascii="Arial" w:hAnsi="Arial" w:cs="Arial"/>
          <w:sz w:val="24"/>
          <w:szCs w:val="24"/>
        </w:rPr>
      </w:pPr>
      <w:r>
        <w:rPr>
          <w:rFonts w:ascii="Arial" w:hAnsi="Arial" w:cs="Arial"/>
          <w:sz w:val="24"/>
          <w:szCs w:val="24"/>
        </w:rPr>
        <w:tab/>
        <w:t xml:space="preserve">Va subito riferito che </w:t>
      </w:r>
      <w:r>
        <w:rPr>
          <w:rFonts w:ascii="Arial" w:hAnsi="Arial" w:cs="Arial"/>
          <w:b/>
          <w:bCs/>
          <w:sz w:val="24"/>
          <w:szCs w:val="24"/>
        </w:rPr>
        <w:t>l’accertamento è stato preceduto da un’articolata fase di contraddittorio precontenzioso</w:t>
      </w:r>
      <w:r>
        <w:rPr>
          <w:rFonts w:ascii="Arial" w:hAnsi="Arial" w:cs="Arial"/>
          <w:sz w:val="24"/>
          <w:szCs w:val="24"/>
        </w:rPr>
        <w:t xml:space="preserve">, promossa dal Comune di Bitritto con l’ausilio della società </w:t>
      </w:r>
      <w:r>
        <w:rPr>
          <w:rFonts w:ascii="Arial" w:hAnsi="Arial" w:cs="Arial"/>
          <w:b/>
          <w:bCs/>
          <w:sz w:val="24"/>
          <w:szCs w:val="24"/>
        </w:rPr>
        <w:lastRenderedPageBreak/>
        <w:t>Archivia Solution S.p.A.</w:t>
      </w:r>
      <w:r>
        <w:rPr>
          <w:rFonts w:ascii="Arial" w:hAnsi="Arial" w:cs="Arial"/>
          <w:sz w:val="24"/>
          <w:szCs w:val="24"/>
        </w:rPr>
        <w:t xml:space="preserve">, alla quale, con </w:t>
      </w:r>
      <w:r>
        <w:rPr>
          <w:rFonts w:ascii="Arial" w:hAnsi="Arial" w:cs="Arial"/>
          <w:b/>
          <w:bCs/>
          <w:sz w:val="24"/>
          <w:szCs w:val="24"/>
        </w:rPr>
        <w:t>Determinazione n. 64 del 11/04/2025</w:t>
      </w:r>
      <w:r>
        <w:rPr>
          <w:rFonts w:ascii="Arial" w:hAnsi="Arial" w:cs="Arial"/>
          <w:sz w:val="24"/>
          <w:szCs w:val="24"/>
        </w:rPr>
        <w:t xml:space="preserve"> del Settore Finanziario e Tributi, è stato affidato il </w:t>
      </w:r>
      <w:r w:rsidRPr="005762EB">
        <w:rPr>
          <w:rFonts w:ascii="Arial" w:hAnsi="Arial" w:cs="Arial"/>
          <w:sz w:val="24"/>
          <w:szCs w:val="24"/>
          <w:u w:val="single"/>
        </w:rPr>
        <w:t>servizio di supporto</w:t>
      </w:r>
      <w:r>
        <w:rPr>
          <w:rFonts w:ascii="Arial" w:hAnsi="Arial" w:cs="Arial"/>
          <w:sz w:val="24"/>
          <w:szCs w:val="24"/>
        </w:rPr>
        <w:t xml:space="preserve"> nella verifica della congruenza dei versamenti CUP per gli anni 2021-2024 (</w:t>
      </w:r>
      <w:r>
        <w:rPr>
          <w:rFonts w:ascii="Arial" w:hAnsi="Arial" w:cs="Arial"/>
          <w:b/>
          <w:bCs/>
          <w:sz w:val="24"/>
          <w:szCs w:val="24"/>
        </w:rPr>
        <w:t>Doc. 2</w:t>
      </w:r>
      <w:r>
        <w:rPr>
          <w:rFonts w:ascii="Arial" w:hAnsi="Arial" w:cs="Arial"/>
          <w:sz w:val="24"/>
          <w:szCs w:val="24"/>
        </w:rPr>
        <w:t>).</w:t>
      </w:r>
    </w:p>
    <w:p w14:paraId="389D256E" w14:textId="44A9F685" w:rsidR="0084655C" w:rsidRPr="006B631F" w:rsidRDefault="000C2B14" w:rsidP="000C2B14">
      <w:pPr>
        <w:spacing w:line="360" w:lineRule="auto"/>
        <w:jc w:val="both"/>
        <w:rPr>
          <w:rFonts w:ascii="Arial" w:hAnsi="Arial" w:cs="Arial"/>
          <w:sz w:val="24"/>
          <w:szCs w:val="24"/>
        </w:rPr>
      </w:pPr>
      <w:r>
        <w:rPr>
          <w:rFonts w:ascii="Arial" w:hAnsi="Arial" w:cs="Arial"/>
          <w:sz w:val="24"/>
          <w:szCs w:val="24"/>
        </w:rPr>
        <w:tab/>
        <w:t xml:space="preserve">Ed infatti, in data </w:t>
      </w:r>
      <w:r>
        <w:rPr>
          <w:rFonts w:ascii="Arial" w:hAnsi="Arial" w:cs="Arial"/>
          <w:b/>
          <w:bCs/>
          <w:sz w:val="24"/>
          <w:szCs w:val="24"/>
        </w:rPr>
        <w:t>12 giugno 2025</w:t>
      </w:r>
      <w:r>
        <w:rPr>
          <w:rFonts w:ascii="Arial" w:hAnsi="Arial" w:cs="Arial"/>
          <w:sz w:val="24"/>
          <w:szCs w:val="24"/>
        </w:rPr>
        <w:t>, Archivia Solution ha richiesto ad Acquedotto Pugliese la trasmissione della dichiarazione delle utenze attive al 31 dicembre di ciascun anno e la documentazione dei versamenti effettuati, segnalando che, dai controlli effettuati sulla piattaforma PagoPA e sugli altri canali di pagamento, non risultavano pagamenti per nessuno degli anni di interesse (2021-2024), né per il servizio acquedotto né per il servizio fognatura (</w:t>
      </w:r>
      <w:r>
        <w:rPr>
          <w:rFonts w:ascii="Arial" w:hAnsi="Arial" w:cs="Arial"/>
          <w:b/>
          <w:bCs/>
          <w:sz w:val="24"/>
          <w:szCs w:val="24"/>
        </w:rPr>
        <w:t>Doc. 3</w:t>
      </w:r>
      <w:r>
        <w:rPr>
          <w:rFonts w:ascii="Arial" w:hAnsi="Arial" w:cs="Arial"/>
          <w:sz w:val="24"/>
          <w:szCs w:val="24"/>
        </w:rPr>
        <w:t>).</w:t>
      </w:r>
    </w:p>
    <w:p w14:paraId="62F92E93" w14:textId="3EEA1EAA" w:rsidR="0084655C" w:rsidRPr="006B631F" w:rsidRDefault="000C2B14" w:rsidP="000C2B14">
      <w:pPr>
        <w:spacing w:line="360" w:lineRule="auto"/>
        <w:jc w:val="both"/>
        <w:rPr>
          <w:rFonts w:ascii="Arial" w:hAnsi="Arial" w:cs="Arial"/>
          <w:sz w:val="24"/>
          <w:szCs w:val="24"/>
        </w:rPr>
      </w:pPr>
      <w:r>
        <w:rPr>
          <w:rFonts w:ascii="Arial" w:hAnsi="Arial" w:cs="Arial"/>
          <w:sz w:val="24"/>
          <w:szCs w:val="24"/>
        </w:rPr>
        <w:tab/>
        <w:t xml:space="preserve">In data </w:t>
      </w:r>
      <w:r>
        <w:rPr>
          <w:rFonts w:ascii="Arial" w:hAnsi="Arial" w:cs="Arial"/>
          <w:b/>
          <w:bCs/>
          <w:sz w:val="24"/>
          <w:szCs w:val="24"/>
        </w:rPr>
        <w:t>18 giugno 2025</w:t>
      </w:r>
      <w:r>
        <w:rPr>
          <w:rFonts w:ascii="Arial" w:hAnsi="Arial" w:cs="Arial"/>
          <w:sz w:val="24"/>
          <w:szCs w:val="24"/>
        </w:rPr>
        <w:t xml:space="preserve"> (prot. AQP n. 42998/2025), Acquedotto Pugliese ha riscontrato la suddetta richiesta eccependo la propria asserita non debenza del CUP, invocando l’esenzione di cui all’art. 1, comma 833, lett. d), L. n. 160/2019, e richiamando la natura demaniale delle infrastrutture idriche e il contenuto delle Convenzioni AIP del 2002 e del 2024, </w:t>
      </w:r>
      <w:r>
        <w:rPr>
          <w:rFonts w:ascii="Arial" w:hAnsi="Arial" w:cs="Arial"/>
          <w:b/>
          <w:bCs/>
          <w:sz w:val="24"/>
          <w:szCs w:val="24"/>
        </w:rPr>
        <w:t>senza fornire alcun dato sulle utenze attive</w:t>
      </w:r>
      <w:r>
        <w:rPr>
          <w:rFonts w:ascii="Arial" w:hAnsi="Arial" w:cs="Arial"/>
          <w:sz w:val="24"/>
          <w:szCs w:val="24"/>
        </w:rPr>
        <w:t xml:space="preserve"> (</w:t>
      </w:r>
      <w:r>
        <w:rPr>
          <w:rFonts w:ascii="Arial" w:hAnsi="Arial" w:cs="Arial"/>
          <w:b/>
          <w:bCs/>
          <w:sz w:val="24"/>
          <w:szCs w:val="24"/>
        </w:rPr>
        <w:t>Doc. 4</w:t>
      </w:r>
      <w:r>
        <w:rPr>
          <w:rFonts w:ascii="Arial" w:hAnsi="Arial" w:cs="Arial"/>
          <w:sz w:val="24"/>
          <w:szCs w:val="24"/>
        </w:rPr>
        <w:t>).</w:t>
      </w:r>
    </w:p>
    <w:p w14:paraId="22FC749C" w14:textId="5F180E85" w:rsidR="0084655C" w:rsidRPr="006B631F" w:rsidRDefault="000C2B14" w:rsidP="000C2B14">
      <w:pPr>
        <w:spacing w:line="360" w:lineRule="auto"/>
        <w:jc w:val="both"/>
        <w:rPr>
          <w:rFonts w:ascii="Arial" w:hAnsi="Arial" w:cs="Arial"/>
          <w:sz w:val="24"/>
          <w:szCs w:val="24"/>
        </w:rPr>
      </w:pPr>
      <w:r>
        <w:rPr>
          <w:rFonts w:ascii="Arial" w:hAnsi="Arial" w:cs="Arial"/>
          <w:sz w:val="24"/>
          <w:szCs w:val="24"/>
        </w:rPr>
        <w:tab/>
        <w:t xml:space="preserve">A tale nota, Archivia Solution ha replicato, in data </w:t>
      </w:r>
      <w:r>
        <w:rPr>
          <w:rFonts w:ascii="Arial" w:hAnsi="Arial" w:cs="Arial"/>
          <w:b/>
          <w:bCs/>
          <w:sz w:val="24"/>
          <w:szCs w:val="24"/>
        </w:rPr>
        <w:t>28 agosto 2025</w:t>
      </w:r>
      <w:r>
        <w:rPr>
          <w:rFonts w:ascii="Arial" w:hAnsi="Arial" w:cs="Arial"/>
          <w:sz w:val="24"/>
          <w:szCs w:val="24"/>
        </w:rPr>
        <w:t>, confutando analiticamente le argomentazioni di AQP – in particolare l’asserita operatività dell’esenzione lett. d) – e reiterando la richiesta dei dati, con espressa avvertenza che in caso di inottemperanza si sarebbe proceduto ad accertamento induttivo (</w:t>
      </w:r>
      <w:r>
        <w:rPr>
          <w:rFonts w:ascii="Arial" w:hAnsi="Arial" w:cs="Arial"/>
          <w:b/>
          <w:bCs/>
          <w:sz w:val="24"/>
          <w:szCs w:val="24"/>
        </w:rPr>
        <w:t>Doc. 5</w:t>
      </w:r>
      <w:r>
        <w:rPr>
          <w:rFonts w:ascii="Arial" w:hAnsi="Arial" w:cs="Arial"/>
          <w:sz w:val="24"/>
          <w:szCs w:val="24"/>
        </w:rPr>
        <w:t>).</w:t>
      </w:r>
    </w:p>
    <w:p w14:paraId="46DC9915" w14:textId="77777777" w:rsidR="005762EB" w:rsidRDefault="000C2B14" w:rsidP="000C2B14">
      <w:pPr>
        <w:spacing w:line="360" w:lineRule="auto"/>
        <w:jc w:val="both"/>
        <w:rPr>
          <w:rFonts w:ascii="Arial" w:hAnsi="Arial" w:cs="Arial"/>
          <w:sz w:val="24"/>
          <w:szCs w:val="24"/>
        </w:rPr>
      </w:pPr>
      <w:r>
        <w:rPr>
          <w:rFonts w:ascii="Arial" w:hAnsi="Arial" w:cs="Arial"/>
          <w:sz w:val="24"/>
          <w:szCs w:val="24"/>
        </w:rPr>
        <w:tab/>
        <w:t xml:space="preserve">Acquedotto Pugliese ha insistito nel rifiuto </w:t>
      </w:r>
      <w:r w:rsidR="005762EB">
        <w:rPr>
          <w:rFonts w:ascii="Arial" w:hAnsi="Arial" w:cs="Arial"/>
          <w:sz w:val="24"/>
          <w:szCs w:val="24"/>
        </w:rPr>
        <w:t>a</w:t>
      </w:r>
      <w:r>
        <w:rPr>
          <w:rFonts w:ascii="Arial" w:hAnsi="Arial" w:cs="Arial"/>
          <w:sz w:val="24"/>
          <w:szCs w:val="24"/>
        </w:rPr>
        <w:t xml:space="preserve"> comunicare i dati, rendendo necessario e obbligato il ricorso all</w:t>
      </w:r>
      <w:r w:rsidR="005762EB">
        <w:rPr>
          <w:rFonts w:ascii="Arial" w:hAnsi="Arial" w:cs="Arial"/>
          <w:sz w:val="24"/>
          <w:szCs w:val="24"/>
        </w:rPr>
        <w:t xml:space="preserve">a procedura </w:t>
      </w:r>
      <w:r>
        <w:rPr>
          <w:rFonts w:ascii="Arial" w:hAnsi="Arial" w:cs="Arial"/>
          <w:sz w:val="24"/>
          <w:szCs w:val="24"/>
        </w:rPr>
        <w:t xml:space="preserve">induttiva, </w:t>
      </w:r>
      <w:r w:rsidR="00F61ACC" w:rsidRPr="00F61ACC">
        <w:rPr>
          <w:rFonts w:ascii="Arial" w:hAnsi="Arial" w:cs="Arial"/>
          <w:sz w:val="24"/>
          <w:szCs w:val="24"/>
        </w:rPr>
        <w:t>sfociat</w:t>
      </w:r>
      <w:r w:rsidR="005762EB">
        <w:rPr>
          <w:rFonts w:ascii="Arial" w:hAnsi="Arial" w:cs="Arial"/>
          <w:sz w:val="24"/>
          <w:szCs w:val="24"/>
        </w:rPr>
        <w:t>a</w:t>
      </w:r>
      <w:r w:rsidR="00F61ACC" w:rsidRPr="00F61ACC">
        <w:rPr>
          <w:rFonts w:ascii="Arial" w:hAnsi="Arial" w:cs="Arial"/>
          <w:sz w:val="24"/>
          <w:szCs w:val="24"/>
        </w:rPr>
        <w:t xml:space="preserve"> nell'</w:t>
      </w:r>
      <w:r w:rsidR="00F61ACC" w:rsidRPr="00F61ACC">
        <w:rPr>
          <w:rFonts w:ascii="Arial" w:hAnsi="Arial" w:cs="Arial"/>
          <w:b/>
          <w:bCs/>
          <w:sz w:val="24"/>
          <w:szCs w:val="24"/>
        </w:rPr>
        <w:t>avviso di accertamento esecutivo n. 1 del 26/01/2026</w:t>
      </w:r>
      <w:r w:rsidR="00F61ACC" w:rsidRPr="00F61ACC">
        <w:rPr>
          <w:rFonts w:ascii="Arial" w:hAnsi="Arial" w:cs="Arial"/>
          <w:sz w:val="24"/>
          <w:szCs w:val="24"/>
        </w:rPr>
        <w:t xml:space="preserve"> (</w:t>
      </w:r>
      <w:r w:rsidR="00F61ACC" w:rsidRPr="00F61ACC">
        <w:rPr>
          <w:rFonts w:ascii="Arial" w:hAnsi="Arial" w:cs="Arial"/>
          <w:b/>
          <w:bCs/>
          <w:sz w:val="24"/>
          <w:szCs w:val="24"/>
        </w:rPr>
        <w:t>Doc. 6</w:t>
      </w:r>
      <w:r w:rsidR="00F61ACC" w:rsidRPr="00F61ACC">
        <w:rPr>
          <w:rFonts w:ascii="Arial" w:hAnsi="Arial" w:cs="Arial"/>
          <w:sz w:val="24"/>
          <w:szCs w:val="24"/>
        </w:rPr>
        <w:t>),</w:t>
      </w:r>
      <w:r w:rsidR="00F61ACC">
        <w:rPr>
          <w:rFonts w:ascii="Arial" w:hAnsi="Arial" w:cs="Arial"/>
          <w:sz w:val="24"/>
          <w:szCs w:val="24"/>
        </w:rPr>
        <w:t xml:space="preserve"> </w:t>
      </w:r>
      <w:r>
        <w:rPr>
          <w:rFonts w:ascii="Arial" w:hAnsi="Arial" w:cs="Arial"/>
          <w:sz w:val="24"/>
          <w:szCs w:val="24"/>
        </w:rPr>
        <w:t>oggetto del presente contenzioso.</w:t>
      </w:r>
    </w:p>
    <w:p w14:paraId="6055938A" w14:textId="4701EC03" w:rsidR="00580FF3" w:rsidRDefault="000C2B14" w:rsidP="000C2B14">
      <w:pPr>
        <w:spacing w:line="360" w:lineRule="auto"/>
        <w:jc w:val="both"/>
        <w:rPr>
          <w:rFonts w:ascii="Arial" w:hAnsi="Arial" w:cs="Arial"/>
          <w:sz w:val="24"/>
          <w:szCs w:val="24"/>
        </w:rPr>
      </w:pPr>
      <w:r>
        <w:rPr>
          <w:rFonts w:ascii="Arial" w:hAnsi="Arial" w:cs="Arial"/>
          <w:sz w:val="24"/>
          <w:szCs w:val="24"/>
        </w:rPr>
        <w:tab/>
        <w:t xml:space="preserve">Va sin d'ora </w:t>
      </w:r>
      <w:r w:rsidR="005762EB">
        <w:rPr>
          <w:rFonts w:ascii="Arial" w:hAnsi="Arial" w:cs="Arial"/>
          <w:sz w:val="24"/>
          <w:szCs w:val="24"/>
        </w:rPr>
        <w:t xml:space="preserve">sottolineato che è </w:t>
      </w:r>
      <w:r>
        <w:rPr>
          <w:rFonts w:ascii="Arial" w:hAnsi="Arial" w:cs="Arial"/>
          <w:sz w:val="24"/>
          <w:szCs w:val="24"/>
        </w:rPr>
        <w:t xml:space="preserve">il sistematico rifiuto di AQP di comunicare il numero di utenze attive – nonostante le formali sollecitazioni del 12 giugno 2025 e del 28 agosto 2025 – </w:t>
      </w:r>
      <w:r w:rsidR="005762EB">
        <w:rPr>
          <w:rFonts w:ascii="Arial" w:hAnsi="Arial" w:cs="Arial"/>
          <w:sz w:val="24"/>
          <w:szCs w:val="24"/>
        </w:rPr>
        <w:t xml:space="preserve">che </w:t>
      </w:r>
      <w:r>
        <w:rPr>
          <w:rFonts w:ascii="Arial" w:hAnsi="Arial" w:cs="Arial"/>
          <w:sz w:val="24"/>
          <w:szCs w:val="24"/>
        </w:rPr>
        <w:t>ha reso necessario e pienamente legittimo il ricorso alla stima presuntiva prevista dal comma 792 della L. n. 160/2019, come si illustrerà nel prosieguo.</w:t>
      </w:r>
    </w:p>
    <w:p w14:paraId="1DE6BB89" w14:textId="346A3454" w:rsidR="0084655C" w:rsidRPr="006B631F" w:rsidRDefault="000C2B14" w:rsidP="006B631F">
      <w:pPr>
        <w:spacing w:line="360" w:lineRule="auto"/>
        <w:jc w:val="both"/>
        <w:rPr>
          <w:rFonts w:ascii="Arial" w:hAnsi="Arial" w:cs="Arial"/>
          <w:sz w:val="24"/>
          <w:szCs w:val="24"/>
        </w:rPr>
      </w:pPr>
      <w:r>
        <w:rPr>
          <w:rFonts w:ascii="Arial" w:hAnsi="Arial" w:cs="Arial"/>
          <w:sz w:val="24"/>
          <w:szCs w:val="24"/>
        </w:rPr>
        <w:tab/>
        <w:t>A sostegno delle proprie ragioni, AQP eccepisce:</w:t>
      </w:r>
    </w:p>
    <w:p w14:paraId="37B53064" w14:textId="283C41F0" w:rsidR="0084655C" w:rsidRPr="008D24F3" w:rsidRDefault="002E099D" w:rsidP="008D24F3">
      <w:pPr>
        <w:pStyle w:val="Paragrafoelenco"/>
        <w:numPr>
          <w:ilvl w:val="0"/>
          <w:numId w:val="6"/>
        </w:numPr>
        <w:spacing w:line="360" w:lineRule="auto"/>
        <w:jc w:val="both"/>
        <w:rPr>
          <w:rFonts w:ascii="Arial" w:hAnsi="Arial" w:cs="Arial"/>
          <w:sz w:val="24"/>
          <w:szCs w:val="24"/>
        </w:rPr>
      </w:pPr>
      <w:r>
        <w:rPr>
          <w:rFonts w:ascii="Arial" w:hAnsi="Arial" w:cs="Arial"/>
          <w:sz w:val="24"/>
          <w:szCs w:val="24"/>
        </w:rPr>
        <w:t>di non essere proprietaria delle reti idriche e fognarie insistenti sul territorio del Comune di Bitritto, bensì di gestirle in concessione d’uso gratuita</w:t>
      </w:r>
      <w:r w:rsidR="005762EB">
        <w:rPr>
          <w:rFonts w:ascii="Arial" w:hAnsi="Arial" w:cs="Arial"/>
          <w:sz w:val="24"/>
          <w:szCs w:val="24"/>
        </w:rPr>
        <w:t>,</w:t>
      </w:r>
      <w:r>
        <w:rPr>
          <w:rFonts w:ascii="Arial" w:hAnsi="Arial" w:cs="Arial"/>
          <w:sz w:val="24"/>
          <w:szCs w:val="24"/>
        </w:rPr>
        <w:t xml:space="preserve"> in quanto beni di proprietà demaniale pubblica</w:t>
      </w:r>
      <w:r w:rsidR="005762EB">
        <w:rPr>
          <w:rFonts w:ascii="Arial" w:hAnsi="Arial" w:cs="Arial"/>
          <w:sz w:val="24"/>
          <w:szCs w:val="24"/>
        </w:rPr>
        <w:t>,</w:t>
      </w:r>
      <w:r>
        <w:rPr>
          <w:rFonts w:ascii="Arial" w:hAnsi="Arial" w:cs="Arial"/>
          <w:sz w:val="24"/>
          <w:szCs w:val="24"/>
        </w:rPr>
        <w:t xml:space="preserve"> ai sensi dell’art. 822 c.c. e dell’art. 143 D.Lgs. n. 152/2006, con la conseguenza che difetterebbe sia il presupposto soggettivo sia il presupposto oggettivo del canone;</w:t>
      </w:r>
    </w:p>
    <w:p w14:paraId="3D0E39F4" w14:textId="3D16651E" w:rsidR="0084655C" w:rsidRPr="008D24F3" w:rsidRDefault="002E099D" w:rsidP="008D24F3">
      <w:pPr>
        <w:pStyle w:val="Paragrafoelenco"/>
        <w:numPr>
          <w:ilvl w:val="0"/>
          <w:numId w:val="6"/>
        </w:numPr>
        <w:spacing w:line="360" w:lineRule="auto"/>
        <w:jc w:val="both"/>
        <w:rPr>
          <w:rFonts w:ascii="Arial" w:hAnsi="Arial" w:cs="Arial"/>
          <w:sz w:val="24"/>
          <w:szCs w:val="24"/>
        </w:rPr>
      </w:pPr>
      <w:r>
        <w:rPr>
          <w:rFonts w:ascii="Arial" w:hAnsi="Arial" w:cs="Arial"/>
          <w:sz w:val="24"/>
          <w:szCs w:val="24"/>
        </w:rPr>
        <w:t xml:space="preserve">di avere diritto all’esenzione prevista dall’art. 1, comma 833, lett. d), L. n. 160/2019, in quanto la Convenzione di gestione del SII – sia quella originaria del 2002, sia quella aggiornata al 2024 (delibera AIP n. 89/2024, art. 3.2) – prevederebbe la </w:t>
      </w:r>
      <w:r w:rsidRPr="008B773A">
        <w:rPr>
          <w:rFonts w:ascii="Arial" w:hAnsi="Arial" w:cs="Arial"/>
          <w:b/>
          <w:bCs/>
          <w:sz w:val="24"/>
          <w:szCs w:val="24"/>
          <w:u w:val="single"/>
        </w:rPr>
        <w:t xml:space="preserve">restituzione </w:t>
      </w:r>
      <w:r>
        <w:rPr>
          <w:rFonts w:ascii="Arial" w:hAnsi="Arial" w:cs="Arial"/>
          <w:sz w:val="24"/>
          <w:szCs w:val="24"/>
        </w:rPr>
        <w:t>gratuita delle opere al termine della concessione e l’esenzione dall’imposizione di qualsiasi canone patrimoniale;</w:t>
      </w:r>
    </w:p>
    <w:p w14:paraId="65D2265F" w14:textId="14EF84F3" w:rsidR="0084655C" w:rsidRPr="008D24F3" w:rsidRDefault="002E099D" w:rsidP="008D24F3">
      <w:pPr>
        <w:pStyle w:val="Paragrafoelenco"/>
        <w:numPr>
          <w:ilvl w:val="0"/>
          <w:numId w:val="6"/>
        </w:numPr>
        <w:spacing w:line="360" w:lineRule="auto"/>
        <w:jc w:val="both"/>
        <w:rPr>
          <w:rFonts w:ascii="Arial" w:hAnsi="Arial" w:cs="Arial"/>
          <w:sz w:val="24"/>
          <w:szCs w:val="24"/>
        </w:rPr>
      </w:pPr>
      <w:r>
        <w:rPr>
          <w:rFonts w:ascii="Arial" w:hAnsi="Arial" w:cs="Arial"/>
          <w:sz w:val="24"/>
          <w:szCs w:val="24"/>
        </w:rPr>
        <w:lastRenderedPageBreak/>
        <w:t>che il Ministero delle Finanze con nota n. 12/1998 avrebbe chiarito che le occupazioni dell’EAAP erano esenti da TOSAP/COSAP, con applicazione analogica al CUP;</w:t>
      </w:r>
    </w:p>
    <w:p w14:paraId="6E202163" w14:textId="5C11C0B7" w:rsidR="0084655C" w:rsidRPr="000C2B14" w:rsidRDefault="002E099D" w:rsidP="008D24F3">
      <w:pPr>
        <w:pStyle w:val="Paragrafoelenco"/>
        <w:numPr>
          <w:ilvl w:val="0"/>
          <w:numId w:val="6"/>
        </w:numPr>
        <w:spacing w:line="360" w:lineRule="auto"/>
        <w:jc w:val="both"/>
        <w:rPr>
          <w:rFonts w:ascii="Arial" w:hAnsi="Arial" w:cs="Arial"/>
          <w:sz w:val="24"/>
          <w:szCs w:val="24"/>
        </w:rPr>
      </w:pPr>
      <w:r>
        <w:rPr>
          <w:rFonts w:ascii="Arial" w:hAnsi="Arial" w:cs="Arial"/>
          <w:sz w:val="24"/>
          <w:szCs w:val="24"/>
        </w:rPr>
        <w:t>che non risulterebbe rilasciata alcuna concessione formale per l’occupazione del sottosuolo.</w:t>
      </w:r>
    </w:p>
    <w:p w14:paraId="6237E510" w14:textId="5D6297A8" w:rsidR="0084655C" w:rsidRPr="006B631F" w:rsidRDefault="000C2B14" w:rsidP="000C2B14">
      <w:pPr>
        <w:spacing w:line="360" w:lineRule="auto"/>
        <w:jc w:val="both"/>
        <w:rPr>
          <w:rFonts w:ascii="Arial" w:hAnsi="Arial" w:cs="Arial"/>
          <w:sz w:val="24"/>
          <w:szCs w:val="24"/>
        </w:rPr>
      </w:pPr>
      <w:r>
        <w:rPr>
          <w:rFonts w:ascii="Arial" w:hAnsi="Arial" w:cs="Arial"/>
          <w:sz w:val="24"/>
          <w:szCs w:val="24"/>
        </w:rPr>
        <w:tab/>
        <w:t>L’opposizione è infondata in fatto e in diritto.</w:t>
      </w:r>
    </w:p>
    <w:p w14:paraId="155B7945" w14:textId="1B0D0417" w:rsidR="0084655C" w:rsidRPr="006B631F" w:rsidRDefault="000C2B14" w:rsidP="006B631F">
      <w:pPr>
        <w:spacing w:line="360" w:lineRule="auto"/>
        <w:jc w:val="both"/>
        <w:rPr>
          <w:rFonts w:ascii="Arial" w:hAnsi="Arial" w:cs="Arial"/>
          <w:sz w:val="24"/>
          <w:szCs w:val="24"/>
        </w:rPr>
      </w:pPr>
      <w:r>
        <w:rPr>
          <w:rFonts w:ascii="Arial" w:hAnsi="Arial" w:cs="Arial"/>
          <w:sz w:val="24"/>
          <w:szCs w:val="24"/>
        </w:rPr>
        <w:tab/>
        <w:t>Con il presente atto si costituisce in giudizio il Comune di Bitritto, come sopra rappresentato e difeso, che contesta integralmente le avverse domande, delle quali chiede il rigetto per i seguenti</w:t>
      </w:r>
    </w:p>
    <w:p w14:paraId="7605DC6B" w14:textId="77777777" w:rsidR="0084655C" w:rsidRPr="006B631F" w:rsidRDefault="002E099D" w:rsidP="006B631F">
      <w:pPr>
        <w:spacing w:line="360" w:lineRule="auto"/>
        <w:jc w:val="center"/>
        <w:rPr>
          <w:rFonts w:ascii="Arial" w:hAnsi="Arial" w:cs="Arial"/>
          <w:sz w:val="24"/>
          <w:szCs w:val="24"/>
        </w:rPr>
      </w:pPr>
      <w:r>
        <w:rPr>
          <w:rFonts w:ascii="Arial" w:hAnsi="Arial" w:cs="Arial"/>
          <w:b/>
          <w:bCs/>
          <w:sz w:val="24"/>
          <w:szCs w:val="24"/>
        </w:rPr>
        <w:t>MOTIVI</w:t>
      </w:r>
    </w:p>
    <w:p w14:paraId="6459C8F4" w14:textId="64D4547F" w:rsidR="0084655C" w:rsidRPr="006B631F" w:rsidRDefault="002E099D" w:rsidP="008B773A">
      <w:pPr>
        <w:spacing w:line="360" w:lineRule="auto"/>
        <w:ind w:firstLine="708"/>
        <w:jc w:val="both"/>
        <w:rPr>
          <w:rFonts w:ascii="Arial" w:hAnsi="Arial" w:cs="Arial"/>
          <w:sz w:val="24"/>
          <w:szCs w:val="24"/>
        </w:rPr>
      </w:pPr>
      <w:r>
        <w:rPr>
          <w:rFonts w:ascii="Arial" w:hAnsi="Arial" w:cs="Arial"/>
          <w:b/>
          <w:bCs/>
          <w:sz w:val="24"/>
          <w:szCs w:val="24"/>
        </w:rPr>
        <w:t>1. SOGGETTIVITÀ PASSIVA DI ACQUEDOTTO PUGLIESE S.P.A. – LEGITTIMITÀ DELLA PRETESA IMPOSITIVA EX ART. 1, COMMA 831, L. N. 160/2019</w:t>
      </w:r>
    </w:p>
    <w:p w14:paraId="2224CE9C" w14:textId="564D0ACE" w:rsidR="0084655C" w:rsidRPr="000C2B14" w:rsidRDefault="000C2B14" w:rsidP="000C2B14">
      <w:pPr>
        <w:spacing w:line="360" w:lineRule="auto"/>
        <w:jc w:val="both"/>
        <w:rPr>
          <w:rFonts w:ascii="Arial" w:hAnsi="Arial" w:cs="Arial"/>
          <w:sz w:val="24"/>
          <w:szCs w:val="24"/>
          <w:u w:val="single"/>
        </w:rPr>
      </w:pPr>
      <w:r>
        <w:rPr>
          <w:rFonts w:ascii="Arial" w:hAnsi="Arial" w:cs="Arial"/>
          <w:b/>
          <w:bCs/>
          <w:sz w:val="24"/>
          <w:szCs w:val="24"/>
        </w:rPr>
        <w:tab/>
      </w:r>
      <w:r>
        <w:rPr>
          <w:rFonts w:ascii="Arial" w:hAnsi="Arial" w:cs="Arial"/>
          <w:b/>
          <w:bCs/>
          <w:sz w:val="24"/>
          <w:szCs w:val="24"/>
          <w:u w:val="single"/>
        </w:rPr>
        <w:t>Prima di entrare nel merito delle eccezioni avversarie, si rende opportuno un inquadramento sui presupposti normativi della soggettività passiva dei gestori dei servizi a rete.</w:t>
      </w:r>
    </w:p>
    <w:p w14:paraId="7916F7EE" w14:textId="64A45846" w:rsidR="0084655C" w:rsidRPr="006B631F" w:rsidRDefault="000C2B14" w:rsidP="006B631F">
      <w:pPr>
        <w:spacing w:line="360" w:lineRule="auto"/>
        <w:jc w:val="both"/>
        <w:rPr>
          <w:rFonts w:ascii="Arial" w:hAnsi="Arial" w:cs="Arial"/>
          <w:sz w:val="24"/>
          <w:szCs w:val="24"/>
        </w:rPr>
      </w:pPr>
      <w:r>
        <w:rPr>
          <w:rFonts w:ascii="Arial" w:hAnsi="Arial" w:cs="Arial"/>
          <w:sz w:val="24"/>
          <w:szCs w:val="24"/>
        </w:rPr>
        <w:tab/>
        <w:t xml:space="preserve">Ai sensi dell’art. 1, comma 831, della Legge n. 160/2019, il Canone Unico Patrimoniale è dovuto in favore dei Comuni e delle Province da parte delle </w:t>
      </w:r>
      <w:r>
        <w:rPr>
          <w:rFonts w:ascii="Arial" w:hAnsi="Arial" w:cs="Arial"/>
          <w:b/>
          <w:bCs/>
          <w:sz w:val="24"/>
          <w:szCs w:val="24"/>
        </w:rPr>
        <w:t>aziende che erogano servizi di pubblica utilità</w:t>
      </w:r>
      <w:r>
        <w:rPr>
          <w:rFonts w:ascii="Arial" w:hAnsi="Arial" w:cs="Arial"/>
          <w:sz w:val="24"/>
          <w:szCs w:val="24"/>
        </w:rPr>
        <w:t xml:space="preserve"> e che, </w:t>
      </w:r>
      <w:r>
        <w:rPr>
          <w:rFonts w:ascii="Arial" w:hAnsi="Arial" w:cs="Arial"/>
          <w:b/>
          <w:bCs/>
          <w:sz w:val="24"/>
          <w:szCs w:val="24"/>
        </w:rPr>
        <w:t>a qualunque titolo, anche gratuito</w:t>
      </w:r>
      <w:r>
        <w:rPr>
          <w:rFonts w:ascii="Arial" w:hAnsi="Arial" w:cs="Arial"/>
          <w:sz w:val="24"/>
          <w:szCs w:val="24"/>
        </w:rPr>
        <w:t>, occupano o conducono le infrastrutture destinate all’erogazione di servizi quali energia elettrica, gas, acqua, calore, servizi di telecomunicazione, radiotelevisivi e altri servizi a rete.</w:t>
      </w:r>
    </w:p>
    <w:p w14:paraId="3EBEE365" w14:textId="0FDB74A9" w:rsidR="0084655C" w:rsidRPr="008B773A" w:rsidRDefault="002E099D" w:rsidP="008B773A">
      <w:pPr>
        <w:spacing w:line="360" w:lineRule="auto"/>
        <w:ind w:firstLine="708"/>
        <w:jc w:val="both"/>
        <w:rPr>
          <w:rFonts w:ascii="Arial" w:hAnsi="Arial" w:cs="Arial"/>
          <w:b/>
          <w:bCs/>
          <w:sz w:val="24"/>
          <w:szCs w:val="24"/>
          <w:u w:val="single"/>
        </w:rPr>
      </w:pPr>
      <w:r w:rsidRPr="008B773A">
        <w:rPr>
          <w:rFonts w:ascii="Arial" w:hAnsi="Arial" w:cs="Arial"/>
          <w:b/>
          <w:bCs/>
          <w:sz w:val="24"/>
          <w:szCs w:val="24"/>
          <w:u w:val="single"/>
        </w:rPr>
        <w:t xml:space="preserve">Il Legislatore ha </w:t>
      </w:r>
      <w:r w:rsidRPr="008B773A">
        <w:rPr>
          <w:rFonts w:ascii="Arial" w:hAnsi="Arial" w:cs="Arial"/>
          <w:b/>
          <w:bCs/>
          <w:sz w:val="24"/>
          <w:szCs w:val="24"/>
          <w:u w:val="single"/>
        </w:rPr>
        <w:t>espressamente previsto</w:t>
      </w:r>
      <w:r w:rsidRPr="008B773A">
        <w:rPr>
          <w:rFonts w:ascii="Arial" w:hAnsi="Arial" w:cs="Arial"/>
          <w:b/>
          <w:bCs/>
          <w:sz w:val="24"/>
          <w:szCs w:val="24"/>
          <w:u w:val="single"/>
        </w:rPr>
        <w:t xml:space="preserve"> il pagamento del canone anche per i servizi idrici, la cui rete, per espressa previsione normativa (art. 143 D.Lgs. n. 152/2006), è</w:t>
      </w:r>
      <w:r>
        <w:rPr>
          <w:rFonts w:ascii="Arial" w:hAnsi="Arial" w:cs="Arial"/>
          <w:sz w:val="24"/>
          <w:szCs w:val="24"/>
        </w:rPr>
        <w:t xml:space="preserve"> </w:t>
      </w:r>
      <w:r w:rsidRPr="008B773A">
        <w:rPr>
          <w:rFonts w:ascii="Arial" w:hAnsi="Arial" w:cs="Arial"/>
          <w:b/>
          <w:bCs/>
          <w:sz w:val="24"/>
          <w:szCs w:val="24"/>
          <w:u w:val="single"/>
        </w:rPr>
        <w:t>sempre di proprietà pubblica e viene concessa in uso gratuito al gestore del servizio.</w:t>
      </w:r>
    </w:p>
    <w:p w14:paraId="292C678F" w14:textId="2347227E" w:rsidR="0084655C" w:rsidRPr="006B631F" w:rsidRDefault="000C2B14" w:rsidP="000C2B14">
      <w:pPr>
        <w:spacing w:line="360" w:lineRule="auto"/>
        <w:jc w:val="both"/>
        <w:rPr>
          <w:rFonts w:ascii="Arial" w:hAnsi="Arial" w:cs="Arial"/>
          <w:sz w:val="24"/>
          <w:szCs w:val="24"/>
        </w:rPr>
      </w:pPr>
      <w:r>
        <w:rPr>
          <w:rFonts w:ascii="Arial" w:hAnsi="Arial" w:cs="Arial"/>
          <w:sz w:val="24"/>
          <w:szCs w:val="24"/>
        </w:rPr>
        <w:tab/>
        <w:t>La stessa formulazione della norma (“</w:t>
      </w:r>
      <w:r>
        <w:rPr>
          <w:rFonts w:ascii="Arial" w:hAnsi="Arial" w:cs="Arial"/>
          <w:i/>
          <w:iCs/>
          <w:sz w:val="24"/>
          <w:szCs w:val="24"/>
        </w:rPr>
        <w:t>Per le occupazioni permanenti del territorio comunale, con cavi e condutture, da chiunque effettuata per la fornitura di servizi di pubblica utilità, quali la distribuzione ed erogazione di energia elettrica, gas, acqua, calore, di servizi di telecomunicazione e radiotelevisivi e di altri servizi a rete, il canone è dovuto dal soggetto titolare dell’atto di concessione dell’occupazione del suolo pubblico e dai soggetti che occupano il suolo pubblico, anche in via mediata, attraverso l’utilizzo materiale delle infrastrutture del soggetto titolare della concessione sulla base del numero delle rispettive utenze moltiplicate per la seguente tariffa forfetaria</w:t>
      </w:r>
      <w:r>
        <w:rPr>
          <w:rFonts w:ascii="Arial" w:hAnsi="Arial" w:cs="Arial"/>
          <w:sz w:val="24"/>
          <w:szCs w:val="24"/>
        </w:rPr>
        <w:t xml:space="preserve">”) – che prevede la soggettività per l’occupazione </w:t>
      </w:r>
      <w:r>
        <w:rPr>
          <w:rFonts w:ascii="Arial" w:hAnsi="Arial" w:cs="Arial"/>
          <w:b/>
          <w:bCs/>
          <w:sz w:val="24"/>
          <w:szCs w:val="24"/>
        </w:rPr>
        <w:t>da chiunque effettuata</w:t>
      </w:r>
      <w:r>
        <w:rPr>
          <w:rFonts w:ascii="Arial" w:hAnsi="Arial" w:cs="Arial"/>
          <w:sz w:val="24"/>
          <w:szCs w:val="24"/>
        </w:rPr>
        <w:t xml:space="preserve"> – dimostra inequivocabilmente che la gratuità del titolo di utilizzo della rete non incide sulla debenza del canone.</w:t>
      </w:r>
    </w:p>
    <w:p w14:paraId="5AA07B5B" w14:textId="5F3CE167" w:rsidR="008B773A" w:rsidRDefault="000C2B14" w:rsidP="006B631F">
      <w:pPr>
        <w:spacing w:line="360" w:lineRule="auto"/>
        <w:jc w:val="both"/>
        <w:rPr>
          <w:rFonts w:ascii="Arial" w:hAnsi="Arial" w:cs="Arial"/>
          <w:sz w:val="24"/>
          <w:szCs w:val="24"/>
        </w:rPr>
      </w:pPr>
      <w:r>
        <w:rPr>
          <w:rFonts w:ascii="Arial" w:hAnsi="Arial" w:cs="Arial"/>
          <w:sz w:val="24"/>
          <w:szCs w:val="24"/>
        </w:rPr>
        <w:tab/>
        <w:t xml:space="preserve">AQP, quale gestore del SII, utilizza materialmente le condotte idriche e fognarie insistenti sul suolo pubblico del Comune di Bitritto: è dunque soggetto passivo a tutti gli effetti di legge, indipendentemente dal fatto che la rete sia di proprietà pubblica e le sia </w:t>
      </w:r>
      <w:r>
        <w:rPr>
          <w:rFonts w:ascii="Arial" w:hAnsi="Arial" w:cs="Arial"/>
          <w:sz w:val="24"/>
          <w:szCs w:val="24"/>
        </w:rPr>
        <w:lastRenderedPageBreak/>
        <w:t>concessa in uso gratuito</w:t>
      </w:r>
      <w:r w:rsidR="008B773A">
        <w:rPr>
          <w:rFonts w:ascii="Arial" w:hAnsi="Arial" w:cs="Arial"/>
          <w:sz w:val="24"/>
          <w:szCs w:val="24"/>
        </w:rPr>
        <w:t>, anche in considerazione del vantaggio economico che trae da detta occupazione</w:t>
      </w:r>
      <w:r w:rsidR="00C4719E">
        <w:rPr>
          <w:rFonts w:ascii="Arial" w:hAnsi="Arial" w:cs="Arial"/>
          <w:sz w:val="24"/>
          <w:szCs w:val="24"/>
        </w:rPr>
        <w:t xml:space="preserve"> (art. 53 Cost)</w:t>
      </w:r>
      <w:r>
        <w:rPr>
          <w:rFonts w:ascii="Arial" w:hAnsi="Arial" w:cs="Arial"/>
          <w:sz w:val="24"/>
          <w:szCs w:val="24"/>
        </w:rPr>
        <w:t xml:space="preserve">. </w:t>
      </w:r>
    </w:p>
    <w:p w14:paraId="3737B02D" w14:textId="43F64ACD" w:rsidR="0084655C" w:rsidRPr="006B631F" w:rsidRDefault="000C2B14" w:rsidP="008B773A">
      <w:pPr>
        <w:spacing w:line="360" w:lineRule="auto"/>
        <w:ind w:firstLine="708"/>
        <w:jc w:val="both"/>
        <w:rPr>
          <w:rFonts w:ascii="Arial" w:hAnsi="Arial" w:cs="Arial"/>
          <w:sz w:val="24"/>
          <w:szCs w:val="24"/>
        </w:rPr>
      </w:pPr>
      <w:r>
        <w:rPr>
          <w:rFonts w:ascii="Arial" w:hAnsi="Arial" w:cs="Arial"/>
          <w:sz w:val="24"/>
          <w:szCs w:val="24"/>
        </w:rPr>
        <w:t xml:space="preserve">La tesi di AQP secondo cui l’occupazione sarebbe giuridicamente riferibile all’ente pubblico proprietario della rete, e non al gestore, è smentita dalla lettera stessa della norma, che distingue espressamente tra titolare della concessione e soggetti che occupano il suolo </w:t>
      </w:r>
      <w:r>
        <w:rPr>
          <w:rFonts w:ascii="Arial" w:hAnsi="Arial" w:cs="Arial"/>
          <w:i/>
          <w:iCs/>
          <w:sz w:val="24"/>
          <w:szCs w:val="24"/>
        </w:rPr>
        <w:t>“anche in via mediata”</w:t>
      </w:r>
      <w:r>
        <w:rPr>
          <w:rFonts w:ascii="Arial" w:hAnsi="Arial" w:cs="Arial"/>
          <w:sz w:val="24"/>
          <w:szCs w:val="24"/>
        </w:rPr>
        <w:t>.</w:t>
      </w:r>
    </w:p>
    <w:p w14:paraId="77DF4325" w14:textId="7CF1630E" w:rsidR="0084655C" w:rsidRPr="006B631F" w:rsidRDefault="002E099D" w:rsidP="008B773A">
      <w:pPr>
        <w:spacing w:line="360" w:lineRule="auto"/>
        <w:ind w:firstLine="708"/>
        <w:jc w:val="both"/>
        <w:rPr>
          <w:rFonts w:ascii="Arial" w:hAnsi="Arial" w:cs="Arial"/>
          <w:sz w:val="24"/>
          <w:szCs w:val="24"/>
        </w:rPr>
      </w:pPr>
      <w:r>
        <w:rPr>
          <w:rFonts w:ascii="Arial" w:hAnsi="Arial" w:cs="Arial"/>
          <w:b/>
          <w:bCs/>
          <w:sz w:val="24"/>
          <w:szCs w:val="24"/>
        </w:rPr>
        <w:t>2. INAPPLICABILITÀ DELL’ESENZIONE DI CUI ALL’ART. 1, COMMA 833, LETTERA D), L. N. 160/2019: LA “RESTITUZIONE” DI BENI GIÀ PUBBLICI NON È “DEVOLUZIONE GRATUITA”</w:t>
      </w:r>
    </w:p>
    <w:p w14:paraId="21664458" w14:textId="537209B2" w:rsidR="0084655C" w:rsidRPr="006B631F" w:rsidRDefault="002E099D" w:rsidP="00C4719E">
      <w:pPr>
        <w:spacing w:line="360" w:lineRule="auto"/>
        <w:ind w:firstLine="708"/>
        <w:jc w:val="both"/>
        <w:rPr>
          <w:rFonts w:ascii="Arial" w:hAnsi="Arial" w:cs="Arial"/>
          <w:sz w:val="24"/>
          <w:szCs w:val="24"/>
        </w:rPr>
      </w:pPr>
      <w:r>
        <w:rPr>
          <w:rFonts w:ascii="Arial" w:hAnsi="Arial" w:cs="Arial"/>
          <w:b/>
          <w:bCs/>
          <w:sz w:val="24"/>
          <w:szCs w:val="24"/>
        </w:rPr>
        <w:t>Inapplicabilità dell’esenzione per devoluzione gratuita</w:t>
      </w:r>
    </w:p>
    <w:p w14:paraId="41B0D6D6" w14:textId="416E7278" w:rsidR="0084655C" w:rsidRPr="006B631F" w:rsidRDefault="000C2B14" w:rsidP="000C2B14">
      <w:pPr>
        <w:spacing w:line="360" w:lineRule="auto"/>
        <w:jc w:val="both"/>
        <w:rPr>
          <w:rFonts w:ascii="Arial" w:hAnsi="Arial" w:cs="Arial"/>
          <w:sz w:val="24"/>
          <w:szCs w:val="24"/>
        </w:rPr>
      </w:pPr>
      <w:r>
        <w:rPr>
          <w:rFonts w:ascii="Arial" w:hAnsi="Arial" w:cs="Arial"/>
          <w:sz w:val="24"/>
          <w:szCs w:val="24"/>
        </w:rPr>
        <w:tab/>
        <w:t>AQP invoca l’esenzione prevista dall’art. 1, comma 833, lett. d), L. n. 160/2019, che esenta dal canone “</w:t>
      </w:r>
      <w:r>
        <w:rPr>
          <w:rFonts w:ascii="Arial" w:hAnsi="Arial" w:cs="Arial"/>
          <w:i/>
          <w:iCs/>
          <w:sz w:val="24"/>
          <w:szCs w:val="24"/>
        </w:rPr>
        <w:t xml:space="preserve">d) le occupazioni con impianti adibiti ai servizi pubblici nei casi in cui ne sia prevista, all’atto della concessione o successivamente, la </w:t>
      </w:r>
      <w:r w:rsidRPr="00C4719E">
        <w:rPr>
          <w:rFonts w:ascii="Arial" w:hAnsi="Arial" w:cs="Arial"/>
          <w:b/>
          <w:bCs/>
          <w:i/>
          <w:iCs/>
          <w:sz w:val="24"/>
          <w:szCs w:val="24"/>
          <w:u w:val="single"/>
        </w:rPr>
        <w:t>devoluzione gratuita</w:t>
      </w:r>
      <w:r>
        <w:rPr>
          <w:rFonts w:ascii="Arial" w:hAnsi="Arial" w:cs="Arial"/>
          <w:i/>
          <w:iCs/>
          <w:sz w:val="24"/>
          <w:szCs w:val="24"/>
        </w:rPr>
        <w:t xml:space="preserve"> al comune al termine della concessione medesima</w:t>
      </w:r>
      <w:r>
        <w:rPr>
          <w:rFonts w:ascii="Arial" w:hAnsi="Arial" w:cs="Arial"/>
          <w:sz w:val="24"/>
          <w:szCs w:val="24"/>
        </w:rPr>
        <w:t>”.</w:t>
      </w:r>
    </w:p>
    <w:p w14:paraId="41B205E7" w14:textId="77777777" w:rsidR="00C4719E" w:rsidRDefault="000C2B14" w:rsidP="000C2B14">
      <w:pPr>
        <w:spacing w:line="360" w:lineRule="auto"/>
        <w:jc w:val="both"/>
        <w:rPr>
          <w:rFonts w:ascii="Arial" w:hAnsi="Arial" w:cs="Arial"/>
          <w:sz w:val="24"/>
          <w:szCs w:val="24"/>
        </w:rPr>
      </w:pPr>
      <w:r>
        <w:rPr>
          <w:rFonts w:ascii="Arial" w:hAnsi="Arial" w:cs="Arial"/>
          <w:sz w:val="24"/>
          <w:szCs w:val="24"/>
        </w:rPr>
        <w:tab/>
        <w:t xml:space="preserve">Ebbene, l’affermazione che AQP non sarebbe tenuta al pagamento del Canone Unico, in virtù della suddetta esenzione, muove da un’interpretazione non corretta della norma. Ed infatti, l’esenzione in parola presuppone necessariamente che </w:t>
      </w:r>
      <w:r w:rsidRPr="00C4719E">
        <w:rPr>
          <w:rFonts w:ascii="Arial" w:hAnsi="Arial" w:cs="Arial"/>
          <w:sz w:val="24"/>
          <w:szCs w:val="24"/>
          <w:u w:val="single"/>
        </w:rPr>
        <w:t xml:space="preserve">il </w:t>
      </w:r>
      <w:r w:rsidRPr="00C4719E">
        <w:rPr>
          <w:rFonts w:ascii="Arial" w:hAnsi="Arial" w:cs="Arial"/>
          <w:b/>
          <w:bCs/>
          <w:sz w:val="24"/>
          <w:szCs w:val="24"/>
          <w:u w:val="single"/>
        </w:rPr>
        <w:t>concessionario abbia realizzato impianti di propria pertinenza e a proprie spese, destinati ad essere devoluti gratuitamente al Comune al termine del rapporto concessorio</w:t>
      </w:r>
      <w:r>
        <w:rPr>
          <w:rFonts w:ascii="Arial" w:hAnsi="Arial" w:cs="Arial"/>
          <w:b/>
          <w:bCs/>
          <w:sz w:val="24"/>
          <w:szCs w:val="24"/>
        </w:rPr>
        <w:t>.</w:t>
      </w:r>
      <w:r>
        <w:rPr>
          <w:rFonts w:ascii="Arial" w:hAnsi="Arial" w:cs="Arial"/>
          <w:sz w:val="24"/>
          <w:szCs w:val="24"/>
        </w:rPr>
        <w:t xml:space="preserve"> </w:t>
      </w:r>
    </w:p>
    <w:p w14:paraId="6F216256" w14:textId="6599538B" w:rsidR="0084655C" w:rsidRPr="006B631F" w:rsidRDefault="000C2B14" w:rsidP="00C4719E">
      <w:pPr>
        <w:spacing w:line="360" w:lineRule="auto"/>
        <w:ind w:firstLine="708"/>
        <w:jc w:val="both"/>
        <w:rPr>
          <w:rFonts w:ascii="Arial" w:hAnsi="Arial" w:cs="Arial"/>
          <w:sz w:val="24"/>
          <w:szCs w:val="24"/>
        </w:rPr>
      </w:pPr>
      <w:r>
        <w:rPr>
          <w:rFonts w:ascii="Arial" w:hAnsi="Arial" w:cs="Arial"/>
          <w:sz w:val="24"/>
          <w:szCs w:val="24"/>
        </w:rPr>
        <w:t xml:space="preserve">La </w:t>
      </w:r>
      <w:r>
        <w:rPr>
          <w:rFonts w:ascii="Arial" w:hAnsi="Arial" w:cs="Arial"/>
          <w:i/>
          <w:iCs/>
          <w:sz w:val="24"/>
          <w:szCs w:val="24"/>
        </w:rPr>
        <w:t>ratio</w:t>
      </w:r>
      <w:r>
        <w:rPr>
          <w:rFonts w:ascii="Arial" w:hAnsi="Arial" w:cs="Arial"/>
          <w:sz w:val="24"/>
          <w:szCs w:val="24"/>
        </w:rPr>
        <w:t xml:space="preserve"> della norma risiede nel fatto che, a fronte del sacrificio patrimoniale sopportato dal concessionario</w:t>
      </w:r>
      <w:r w:rsidR="00C4719E">
        <w:rPr>
          <w:rFonts w:ascii="Arial" w:hAnsi="Arial" w:cs="Arial"/>
          <w:sz w:val="24"/>
          <w:szCs w:val="24"/>
        </w:rPr>
        <w:t>,</w:t>
      </w:r>
      <w:r>
        <w:rPr>
          <w:rFonts w:ascii="Arial" w:hAnsi="Arial" w:cs="Arial"/>
          <w:sz w:val="24"/>
          <w:szCs w:val="24"/>
        </w:rPr>
        <w:t xml:space="preserve"> che rinuncia senza compenso ai propri impianti, viene meno il presupposto essenziale per l’applicazione del canone: </w:t>
      </w:r>
      <w:r w:rsidRPr="00C4719E">
        <w:rPr>
          <w:rFonts w:ascii="Arial" w:hAnsi="Arial" w:cs="Arial"/>
          <w:sz w:val="24"/>
          <w:szCs w:val="24"/>
          <w:u w:val="single"/>
        </w:rPr>
        <w:t>il beneficio arrecato all’ente con la devoluzione gratuita di infrastrutture realizzate dalla società di gestione giustifica l’esonero dal canone durante il rapporto (cfr. Cass. sez. trib. n. 15247/2012).</w:t>
      </w:r>
    </w:p>
    <w:p w14:paraId="4D20EEAE" w14:textId="66E8F4DC" w:rsidR="0084655C" w:rsidRPr="00C4719E" w:rsidRDefault="000C2B14" w:rsidP="000C2B14">
      <w:pPr>
        <w:spacing w:line="360" w:lineRule="auto"/>
        <w:jc w:val="both"/>
        <w:rPr>
          <w:rFonts w:ascii="Arial" w:hAnsi="Arial" w:cs="Arial"/>
          <w:sz w:val="24"/>
          <w:szCs w:val="24"/>
          <w:u w:val="single"/>
        </w:rPr>
      </w:pPr>
      <w:r>
        <w:rPr>
          <w:rFonts w:ascii="Arial" w:hAnsi="Arial" w:cs="Arial"/>
          <w:b/>
          <w:bCs/>
          <w:sz w:val="24"/>
          <w:szCs w:val="24"/>
        </w:rPr>
        <w:tab/>
      </w:r>
      <w:r w:rsidRPr="00C4719E">
        <w:rPr>
          <w:rFonts w:ascii="Arial" w:hAnsi="Arial" w:cs="Arial"/>
          <w:b/>
          <w:bCs/>
          <w:sz w:val="24"/>
          <w:szCs w:val="24"/>
          <w:u w:val="single"/>
        </w:rPr>
        <w:t>Nel caso di specie, tale presupposto è radicalmente assente.</w:t>
      </w:r>
    </w:p>
    <w:p w14:paraId="5E4173FF" w14:textId="7355AD67" w:rsidR="00C4719E" w:rsidRDefault="000C2B14" w:rsidP="000C2B14">
      <w:pPr>
        <w:spacing w:line="360" w:lineRule="auto"/>
        <w:jc w:val="both"/>
        <w:rPr>
          <w:rFonts w:ascii="Arial" w:hAnsi="Arial" w:cs="Arial"/>
          <w:sz w:val="24"/>
          <w:szCs w:val="24"/>
        </w:rPr>
      </w:pPr>
      <w:r>
        <w:rPr>
          <w:rFonts w:ascii="Arial" w:hAnsi="Arial" w:cs="Arial"/>
          <w:sz w:val="24"/>
          <w:szCs w:val="24"/>
        </w:rPr>
        <w:tab/>
      </w:r>
      <w:r w:rsidRPr="00C4719E">
        <w:rPr>
          <w:rFonts w:ascii="Arial" w:hAnsi="Arial" w:cs="Arial"/>
          <w:b/>
          <w:bCs/>
          <w:sz w:val="24"/>
          <w:szCs w:val="24"/>
          <w:u w:val="single"/>
        </w:rPr>
        <w:t>Le reti idriche e fognarie utilizzate da AQP non sono di sua proprietà</w:t>
      </w:r>
      <w:r>
        <w:rPr>
          <w:rFonts w:ascii="Arial" w:hAnsi="Arial" w:cs="Arial"/>
          <w:sz w:val="24"/>
          <w:szCs w:val="24"/>
        </w:rPr>
        <w:t xml:space="preserve">, bensì degli enti locali facenti parte dell’Autorità Idrica Pugliese </w:t>
      </w:r>
      <w:r w:rsidR="00C4719E">
        <w:rPr>
          <w:rFonts w:ascii="Arial" w:hAnsi="Arial" w:cs="Arial"/>
          <w:sz w:val="24"/>
          <w:szCs w:val="24"/>
        </w:rPr>
        <w:t xml:space="preserve">(quindi </w:t>
      </w:r>
      <w:r w:rsidR="00C4719E" w:rsidRPr="00C4719E">
        <w:rPr>
          <w:rFonts w:ascii="Arial" w:hAnsi="Arial" w:cs="Arial"/>
          <w:b/>
          <w:bCs/>
          <w:sz w:val="24"/>
          <w:szCs w:val="24"/>
          <w:u w:val="single"/>
        </w:rPr>
        <w:t>già di proprietà pubblica</w:t>
      </w:r>
      <w:r w:rsidR="00C4719E">
        <w:rPr>
          <w:rFonts w:ascii="Arial" w:hAnsi="Arial" w:cs="Arial"/>
          <w:b/>
          <w:bCs/>
          <w:sz w:val="24"/>
          <w:szCs w:val="24"/>
          <w:u w:val="single"/>
        </w:rPr>
        <w:t>)</w:t>
      </w:r>
      <w:r w:rsidR="00C4719E" w:rsidRPr="00C4719E">
        <w:rPr>
          <w:rFonts w:ascii="Arial" w:hAnsi="Arial" w:cs="Arial"/>
          <w:sz w:val="24"/>
          <w:szCs w:val="24"/>
        </w:rPr>
        <w:t xml:space="preserve"> </w:t>
      </w:r>
      <w:r>
        <w:rPr>
          <w:rFonts w:ascii="Arial" w:hAnsi="Arial" w:cs="Arial"/>
          <w:sz w:val="24"/>
          <w:szCs w:val="24"/>
        </w:rPr>
        <w:t xml:space="preserve">e vengono semplicemente </w:t>
      </w:r>
      <w:r>
        <w:rPr>
          <w:rFonts w:ascii="Arial" w:hAnsi="Arial" w:cs="Arial"/>
          <w:b/>
          <w:bCs/>
          <w:sz w:val="24"/>
          <w:szCs w:val="24"/>
        </w:rPr>
        <w:t>concesse in uso gratuito</w:t>
      </w:r>
      <w:r>
        <w:rPr>
          <w:rFonts w:ascii="Arial" w:hAnsi="Arial" w:cs="Arial"/>
          <w:sz w:val="24"/>
          <w:szCs w:val="24"/>
        </w:rPr>
        <w:t xml:space="preserve"> </w:t>
      </w:r>
      <w:r w:rsidR="00C4719E">
        <w:rPr>
          <w:rFonts w:ascii="Arial" w:hAnsi="Arial" w:cs="Arial"/>
          <w:sz w:val="24"/>
          <w:szCs w:val="24"/>
        </w:rPr>
        <w:t xml:space="preserve">(senza canone concessorio che è cosa di versa dal CUP) </w:t>
      </w:r>
      <w:r>
        <w:rPr>
          <w:rFonts w:ascii="Arial" w:hAnsi="Arial" w:cs="Arial"/>
          <w:sz w:val="24"/>
          <w:szCs w:val="24"/>
        </w:rPr>
        <w:t>al Gestore ai sensi dell’art. 153, comma 1, D.Lgs. n. 152/2006.</w:t>
      </w:r>
    </w:p>
    <w:p w14:paraId="32F418BC" w14:textId="100BDDB3" w:rsidR="0084655C" w:rsidRPr="006B631F" w:rsidRDefault="000C2B14" w:rsidP="00C4719E">
      <w:pPr>
        <w:spacing w:line="360" w:lineRule="auto"/>
        <w:ind w:firstLine="708"/>
        <w:jc w:val="both"/>
        <w:rPr>
          <w:rFonts w:ascii="Arial" w:hAnsi="Arial" w:cs="Arial"/>
          <w:sz w:val="24"/>
          <w:szCs w:val="24"/>
        </w:rPr>
      </w:pPr>
      <w:r>
        <w:rPr>
          <w:rFonts w:ascii="Arial" w:hAnsi="Arial" w:cs="Arial"/>
          <w:sz w:val="24"/>
          <w:szCs w:val="24"/>
        </w:rPr>
        <w:t xml:space="preserve">Al termine dell’affidamento, tali beni verranno </w:t>
      </w:r>
      <w:r w:rsidRPr="00C4719E">
        <w:rPr>
          <w:rFonts w:ascii="Arial" w:hAnsi="Arial" w:cs="Arial"/>
          <w:b/>
          <w:bCs/>
          <w:sz w:val="24"/>
          <w:szCs w:val="24"/>
          <w:u w:val="single"/>
        </w:rPr>
        <w:t>restituiti</w:t>
      </w:r>
      <w:r w:rsidRPr="00C4719E">
        <w:rPr>
          <w:rFonts w:ascii="Arial" w:hAnsi="Arial" w:cs="Arial"/>
          <w:sz w:val="24"/>
          <w:szCs w:val="24"/>
          <w:u w:val="single"/>
        </w:rPr>
        <w:t xml:space="preserve">, </w:t>
      </w:r>
      <w:r w:rsidRPr="00C4719E">
        <w:rPr>
          <w:rFonts w:ascii="Arial" w:hAnsi="Arial" w:cs="Arial"/>
          <w:b/>
          <w:bCs/>
          <w:sz w:val="24"/>
          <w:szCs w:val="24"/>
          <w:u w:val="single"/>
        </w:rPr>
        <w:t>non devoluti</w:t>
      </w:r>
      <w:r>
        <w:rPr>
          <w:rFonts w:ascii="Arial" w:hAnsi="Arial" w:cs="Arial"/>
          <w:sz w:val="24"/>
          <w:szCs w:val="24"/>
        </w:rPr>
        <w:t>: si tratta di una restituzione di beni già altrui e non di una cessione di beni propri da parte di AQP al Comune.</w:t>
      </w:r>
    </w:p>
    <w:p w14:paraId="30614932" w14:textId="1EA8427F" w:rsidR="0084655C" w:rsidRPr="006B631F" w:rsidRDefault="000C2B14" w:rsidP="000C2B14">
      <w:pPr>
        <w:spacing w:line="360" w:lineRule="auto"/>
        <w:jc w:val="both"/>
        <w:rPr>
          <w:rFonts w:ascii="Arial" w:hAnsi="Arial" w:cs="Arial"/>
          <w:sz w:val="24"/>
          <w:szCs w:val="24"/>
        </w:rPr>
      </w:pPr>
      <w:r>
        <w:rPr>
          <w:rFonts w:ascii="Arial" w:hAnsi="Arial" w:cs="Arial"/>
          <w:b/>
          <w:bCs/>
          <w:sz w:val="24"/>
          <w:szCs w:val="24"/>
        </w:rPr>
        <w:tab/>
        <w:t>La stessa Convenzione richiamata da AQP è univoca sul punto</w:t>
      </w:r>
    </w:p>
    <w:p w14:paraId="19834C8F" w14:textId="77777777" w:rsidR="001E1359" w:rsidRDefault="000C2B14" w:rsidP="000C2B14">
      <w:pPr>
        <w:spacing w:line="360" w:lineRule="auto"/>
        <w:jc w:val="both"/>
        <w:rPr>
          <w:rFonts w:ascii="Arial" w:hAnsi="Arial" w:cs="Arial"/>
          <w:sz w:val="24"/>
          <w:szCs w:val="24"/>
        </w:rPr>
      </w:pPr>
      <w:r>
        <w:rPr>
          <w:rFonts w:ascii="Arial" w:hAnsi="Arial" w:cs="Arial"/>
          <w:sz w:val="24"/>
          <w:szCs w:val="24"/>
        </w:rPr>
        <w:tab/>
        <w:t>Come già evidenziato da Archivia Solution</w:t>
      </w:r>
      <w:r w:rsidR="001E1359">
        <w:rPr>
          <w:rFonts w:ascii="Arial" w:hAnsi="Arial" w:cs="Arial"/>
          <w:sz w:val="24"/>
          <w:szCs w:val="24"/>
        </w:rPr>
        <w:t>,</w:t>
      </w:r>
      <w:r>
        <w:rPr>
          <w:rFonts w:ascii="Arial" w:hAnsi="Arial" w:cs="Arial"/>
          <w:sz w:val="24"/>
          <w:szCs w:val="24"/>
        </w:rPr>
        <w:t xml:space="preserve"> nella propria replica del 28 agosto 2025, la stessa Convenzione di gestione del SII, richiamata da AQP a proprio favore, prevede all’art. 29 che, alla scadenza della concessione, </w:t>
      </w:r>
      <w:r>
        <w:rPr>
          <w:rFonts w:ascii="Arial" w:hAnsi="Arial" w:cs="Arial"/>
          <w:i/>
          <w:iCs/>
          <w:sz w:val="24"/>
          <w:szCs w:val="24"/>
        </w:rPr>
        <w:t>“tutte le opere ed attrezzature affidate al gestore... saranno restituite gratuitamente all’Autorità in normale stato di manutenzione</w:t>
      </w:r>
      <w:r>
        <w:rPr>
          <w:rFonts w:ascii="Arial" w:hAnsi="Arial" w:cs="Arial"/>
          <w:sz w:val="24"/>
          <w:szCs w:val="24"/>
        </w:rPr>
        <w:t xml:space="preserve">”. </w:t>
      </w:r>
    </w:p>
    <w:p w14:paraId="4805A356" w14:textId="1B57FCA0" w:rsidR="001E1359" w:rsidRDefault="000C2B14" w:rsidP="001E1359">
      <w:pPr>
        <w:spacing w:line="360" w:lineRule="auto"/>
        <w:ind w:firstLine="708"/>
        <w:jc w:val="both"/>
        <w:rPr>
          <w:rFonts w:ascii="Arial" w:hAnsi="Arial" w:cs="Arial"/>
          <w:sz w:val="24"/>
          <w:szCs w:val="24"/>
        </w:rPr>
      </w:pPr>
      <w:r>
        <w:rPr>
          <w:rFonts w:ascii="Arial" w:hAnsi="Arial" w:cs="Arial"/>
          <w:sz w:val="24"/>
          <w:szCs w:val="24"/>
        </w:rPr>
        <w:lastRenderedPageBreak/>
        <w:t xml:space="preserve">Il dato letterale è dirimente: si tratta di </w:t>
      </w:r>
      <w:r>
        <w:rPr>
          <w:rFonts w:ascii="Arial" w:hAnsi="Arial" w:cs="Arial"/>
          <w:b/>
          <w:bCs/>
          <w:sz w:val="24"/>
          <w:szCs w:val="24"/>
        </w:rPr>
        <w:t>RESTITUZIONE E NON DI DEVOLUZIONE</w:t>
      </w:r>
      <w:r>
        <w:rPr>
          <w:rFonts w:ascii="Arial" w:hAnsi="Arial" w:cs="Arial"/>
          <w:sz w:val="24"/>
          <w:szCs w:val="24"/>
        </w:rPr>
        <w:t xml:space="preserve">. </w:t>
      </w:r>
    </w:p>
    <w:p w14:paraId="3CF63EF7" w14:textId="373359B7" w:rsidR="0084655C" w:rsidRPr="006B631F" w:rsidRDefault="000C2B14" w:rsidP="001E1359">
      <w:pPr>
        <w:spacing w:line="360" w:lineRule="auto"/>
        <w:ind w:firstLine="708"/>
        <w:jc w:val="both"/>
        <w:rPr>
          <w:rFonts w:ascii="Arial" w:hAnsi="Arial" w:cs="Arial"/>
          <w:sz w:val="24"/>
          <w:szCs w:val="24"/>
        </w:rPr>
      </w:pPr>
      <w:r>
        <w:rPr>
          <w:rFonts w:ascii="Arial" w:hAnsi="Arial" w:cs="Arial"/>
          <w:sz w:val="24"/>
          <w:szCs w:val="24"/>
        </w:rPr>
        <w:t>La distinzione lessicale riflette esattamente la differenza giuridica tra la riconsegna di beni altrui e la cessione di beni propri.</w:t>
      </w:r>
    </w:p>
    <w:p w14:paraId="4FB757DD" w14:textId="7271E284" w:rsidR="0084655C" w:rsidRPr="006B631F" w:rsidRDefault="000C2B14" w:rsidP="000C2B14">
      <w:pPr>
        <w:spacing w:line="360" w:lineRule="auto"/>
        <w:jc w:val="both"/>
        <w:rPr>
          <w:rFonts w:ascii="Arial" w:hAnsi="Arial" w:cs="Arial"/>
          <w:sz w:val="24"/>
          <w:szCs w:val="24"/>
        </w:rPr>
      </w:pPr>
      <w:r>
        <w:rPr>
          <w:rFonts w:ascii="Arial" w:hAnsi="Arial" w:cs="Arial"/>
          <w:sz w:val="24"/>
          <w:szCs w:val="24"/>
        </w:rPr>
        <w:tab/>
        <w:t>Vi sono</w:t>
      </w:r>
      <w:r w:rsidR="001E1359">
        <w:rPr>
          <w:rFonts w:ascii="Arial" w:hAnsi="Arial" w:cs="Arial"/>
          <w:sz w:val="24"/>
          <w:szCs w:val="24"/>
        </w:rPr>
        <w:t>,</w:t>
      </w:r>
      <w:r>
        <w:rPr>
          <w:rFonts w:ascii="Arial" w:hAnsi="Arial" w:cs="Arial"/>
          <w:sz w:val="24"/>
          <w:szCs w:val="24"/>
        </w:rPr>
        <w:t xml:space="preserve"> peraltro</w:t>
      </w:r>
      <w:r w:rsidR="001E1359">
        <w:rPr>
          <w:rFonts w:ascii="Arial" w:hAnsi="Arial" w:cs="Arial"/>
          <w:sz w:val="24"/>
          <w:szCs w:val="24"/>
        </w:rPr>
        <w:t>,</w:t>
      </w:r>
      <w:r>
        <w:rPr>
          <w:rFonts w:ascii="Arial" w:hAnsi="Arial" w:cs="Arial"/>
          <w:sz w:val="24"/>
          <w:szCs w:val="24"/>
        </w:rPr>
        <w:t xml:space="preserve"> ulteriori ragioni che escludono in radice l’operatività dell’esenzione nel caso di specie.</w:t>
      </w:r>
    </w:p>
    <w:p w14:paraId="600714D4" w14:textId="77777777" w:rsidR="001E1359" w:rsidRDefault="000C2B14" w:rsidP="006B631F">
      <w:pPr>
        <w:spacing w:line="360" w:lineRule="auto"/>
        <w:jc w:val="both"/>
        <w:rPr>
          <w:rFonts w:ascii="Arial" w:hAnsi="Arial" w:cs="Arial"/>
          <w:sz w:val="24"/>
          <w:szCs w:val="24"/>
        </w:rPr>
      </w:pPr>
      <w:r>
        <w:rPr>
          <w:rFonts w:ascii="Arial" w:hAnsi="Arial" w:cs="Arial"/>
          <w:sz w:val="24"/>
          <w:szCs w:val="24"/>
        </w:rPr>
        <w:tab/>
        <w:t xml:space="preserve">In primo luogo, la restituzione delle opere </w:t>
      </w:r>
      <w:r>
        <w:rPr>
          <w:rFonts w:ascii="Arial" w:hAnsi="Arial" w:cs="Arial"/>
          <w:b/>
          <w:bCs/>
          <w:sz w:val="24"/>
          <w:szCs w:val="24"/>
        </w:rPr>
        <w:t>non avviene in favore del Comune</w:t>
      </w:r>
      <w:r>
        <w:rPr>
          <w:rFonts w:ascii="Arial" w:hAnsi="Arial" w:cs="Arial"/>
          <w:sz w:val="24"/>
          <w:szCs w:val="24"/>
        </w:rPr>
        <w:t xml:space="preserve">, bensì in favore dell’Autorità Idrica Pugliese (AIP/EGA), ovvero di un ente sovracomunale distinto. </w:t>
      </w:r>
    </w:p>
    <w:p w14:paraId="47B2996B" w14:textId="52951FD8" w:rsidR="0084655C" w:rsidRPr="00617774" w:rsidRDefault="000C2B14" w:rsidP="001E1359">
      <w:pPr>
        <w:spacing w:line="360" w:lineRule="auto"/>
        <w:ind w:firstLine="708"/>
        <w:jc w:val="both"/>
        <w:rPr>
          <w:rFonts w:ascii="Arial" w:hAnsi="Arial" w:cs="Arial"/>
          <w:b/>
          <w:bCs/>
          <w:sz w:val="24"/>
          <w:szCs w:val="24"/>
          <w:u w:val="single"/>
        </w:rPr>
      </w:pPr>
      <w:r w:rsidRPr="00617774">
        <w:rPr>
          <w:rFonts w:ascii="Arial" w:hAnsi="Arial" w:cs="Arial"/>
          <w:b/>
          <w:bCs/>
          <w:sz w:val="24"/>
          <w:szCs w:val="24"/>
          <w:u w:val="single"/>
        </w:rPr>
        <w:t>L’esenzione di cui alla lettera d) del comma 833</w:t>
      </w:r>
      <w:r w:rsidR="001E1359" w:rsidRPr="00617774">
        <w:rPr>
          <w:rFonts w:ascii="Arial" w:hAnsi="Arial" w:cs="Arial"/>
          <w:b/>
          <w:bCs/>
          <w:sz w:val="24"/>
          <w:szCs w:val="24"/>
          <w:u w:val="single"/>
        </w:rPr>
        <w:t>, invece,</w:t>
      </w:r>
      <w:r w:rsidRPr="00617774">
        <w:rPr>
          <w:rFonts w:ascii="Arial" w:hAnsi="Arial" w:cs="Arial"/>
          <w:b/>
          <w:bCs/>
          <w:sz w:val="24"/>
          <w:szCs w:val="24"/>
          <w:u w:val="single"/>
        </w:rPr>
        <w:t xml:space="preserve"> presuppone espressamente la devoluzione gratuita al Comune</w:t>
      </w:r>
      <w:r>
        <w:rPr>
          <w:rFonts w:ascii="Arial" w:hAnsi="Arial" w:cs="Arial"/>
          <w:i/>
          <w:iCs/>
          <w:sz w:val="24"/>
          <w:szCs w:val="24"/>
        </w:rPr>
        <w:t xml:space="preserve"> </w:t>
      </w:r>
      <w:r>
        <w:rPr>
          <w:rFonts w:ascii="Arial" w:hAnsi="Arial" w:cs="Arial"/>
          <w:sz w:val="24"/>
          <w:szCs w:val="24"/>
        </w:rPr>
        <w:t xml:space="preserve">al termine della concessione: nel caso di specie mancano entrambi i presupposti della norma agevolativa, </w:t>
      </w:r>
      <w:r w:rsidRPr="00617774">
        <w:rPr>
          <w:rFonts w:ascii="Arial" w:hAnsi="Arial" w:cs="Arial"/>
          <w:b/>
          <w:bCs/>
          <w:sz w:val="24"/>
          <w:szCs w:val="24"/>
          <w:u w:val="single"/>
        </w:rPr>
        <w:t>non vi è devoluzione bensì restituzione, e il destinatario finale non è il Comune bensì un ente sovracomunale distinto.</w:t>
      </w:r>
    </w:p>
    <w:p w14:paraId="70CAAD7C" w14:textId="77777777" w:rsidR="00617774" w:rsidRDefault="000C2B14" w:rsidP="000C2B14">
      <w:pPr>
        <w:spacing w:line="360" w:lineRule="auto"/>
        <w:jc w:val="both"/>
        <w:rPr>
          <w:rFonts w:ascii="Arial" w:hAnsi="Arial" w:cs="Arial"/>
          <w:sz w:val="24"/>
          <w:szCs w:val="24"/>
        </w:rPr>
      </w:pPr>
      <w:r>
        <w:rPr>
          <w:rFonts w:ascii="Arial" w:hAnsi="Arial" w:cs="Arial"/>
          <w:sz w:val="24"/>
          <w:szCs w:val="24"/>
        </w:rPr>
        <w:tab/>
        <w:t xml:space="preserve">In secondo luogo, </w:t>
      </w:r>
      <w:r w:rsidRPr="00617774">
        <w:rPr>
          <w:rFonts w:ascii="Arial" w:hAnsi="Arial" w:cs="Arial"/>
          <w:b/>
          <w:bCs/>
          <w:sz w:val="24"/>
          <w:szCs w:val="24"/>
          <w:u w:val="single"/>
        </w:rPr>
        <w:t xml:space="preserve">la stessa convenzione prevede che alla scadenza il gestore uscente riceva un pagamento per il valore residuo delle immobilizzazioni </w:t>
      </w:r>
      <w:r w:rsidRPr="00617774">
        <w:rPr>
          <w:rFonts w:ascii="Arial" w:hAnsi="Arial" w:cs="Arial"/>
          <w:sz w:val="24"/>
          <w:szCs w:val="24"/>
        </w:rPr>
        <w:t>d</w:t>
      </w:r>
      <w:r>
        <w:rPr>
          <w:rFonts w:ascii="Arial" w:hAnsi="Arial" w:cs="Arial"/>
          <w:sz w:val="24"/>
          <w:szCs w:val="24"/>
        </w:rPr>
        <w:t xml:space="preserve">a parte del nuovo gestore subentrante, calcolato sulla base dei criteri stabiliti dalla regolazione ARERA. </w:t>
      </w:r>
    </w:p>
    <w:p w14:paraId="18056C43" w14:textId="08DA1D44" w:rsidR="0084655C" w:rsidRPr="006B631F" w:rsidRDefault="00617774" w:rsidP="00617774">
      <w:pPr>
        <w:spacing w:line="360" w:lineRule="auto"/>
        <w:ind w:firstLine="708"/>
        <w:jc w:val="both"/>
        <w:rPr>
          <w:rFonts w:ascii="Arial" w:hAnsi="Arial" w:cs="Arial"/>
          <w:sz w:val="24"/>
          <w:szCs w:val="24"/>
        </w:rPr>
      </w:pPr>
      <w:r w:rsidRPr="00617774">
        <w:rPr>
          <w:rFonts w:ascii="Arial" w:hAnsi="Arial" w:cs="Arial"/>
          <w:b/>
          <w:bCs/>
          <w:sz w:val="24"/>
          <w:szCs w:val="24"/>
          <w:u w:val="single"/>
        </w:rPr>
        <w:t xml:space="preserve">Quindi, </w:t>
      </w:r>
      <w:r w:rsidR="000C2B14" w:rsidRPr="00617774">
        <w:rPr>
          <w:rFonts w:ascii="Arial" w:hAnsi="Arial" w:cs="Arial"/>
          <w:b/>
          <w:bCs/>
          <w:sz w:val="24"/>
          <w:szCs w:val="24"/>
          <w:u w:val="single"/>
        </w:rPr>
        <w:t>AQP non cede gratuitamente alcunché</w:t>
      </w:r>
      <w:r w:rsidR="000C2B14">
        <w:rPr>
          <w:rFonts w:ascii="Arial" w:hAnsi="Arial" w:cs="Arial"/>
          <w:sz w:val="24"/>
          <w:szCs w:val="24"/>
        </w:rPr>
        <w:t xml:space="preserve">: la </w:t>
      </w:r>
      <w:r w:rsidR="000C2B14">
        <w:rPr>
          <w:rFonts w:ascii="Arial" w:hAnsi="Arial" w:cs="Arial"/>
          <w:i/>
          <w:iCs/>
          <w:sz w:val="24"/>
          <w:szCs w:val="24"/>
        </w:rPr>
        <w:t>ratio</w:t>
      </w:r>
      <w:r w:rsidR="000C2B14">
        <w:rPr>
          <w:rFonts w:ascii="Arial" w:hAnsi="Arial" w:cs="Arial"/>
          <w:sz w:val="24"/>
          <w:szCs w:val="24"/>
        </w:rPr>
        <w:t xml:space="preserve"> dell’esenzione, che risiede nel sacrificio patrimoniale sopportato dal concessionario che rinuncia senza compenso ai propri impianti, è dunque radicalmente assente.</w:t>
      </w:r>
    </w:p>
    <w:p w14:paraId="0EFDBA85" w14:textId="23E56631" w:rsidR="00E13C32" w:rsidRPr="00E13C32" w:rsidRDefault="000C2B14" w:rsidP="00E13C32">
      <w:pPr>
        <w:spacing w:line="360" w:lineRule="auto"/>
        <w:jc w:val="both"/>
        <w:rPr>
          <w:rFonts w:ascii="Arial" w:hAnsi="Arial" w:cs="Arial"/>
          <w:sz w:val="24"/>
          <w:szCs w:val="24"/>
        </w:rPr>
      </w:pPr>
      <w:r>
        <w:rPr>
          <w:rFonts w:ascii="Arial" w:hAnsi="Arial" w:cs="Arial"/>
          <w:sz w:val="24"/>
          <w:szCs w:val="24"/>
        </w:rPr>
        <w:tab/>
        <w:t xml:space="preserve">In terzo luogo, le norme di esenzione, </w:t>
      </w:r>
      <w:r>
        <w:rPr>
          <w:rFonts w:ascii="Arial" w:hAnsi="Arial" w:cs="Arial"/>
          <w:sz w:val="24"/>
          <w:szCs w:val="24"/>
          <w:u w:val="single"/>
        </w:rPr>
        <w:t xml:space="preserve">in quanto derogatorie della regola generale dell’onerosità, sono di </w:t>
      </w:r>
      <w:r>
        <w:rPr>
          <w:rFonts w:ascii="Arial" w:hAnsi="Arial" w:cs="Arial"/>
          <w:b/>
          <w:sz w:val="24"/>
          <w:szCs w:val="24"/>
          <w:u w:val="single"/>
        </w:rPr>
        <w:t>stretta interpretazione</w:t>
      </w:r>
      <w:r>
        <w:rPr>
          <w:rFonts w:ascii="Arial" w:hAnsi="Arial" w:cs="Arial"/>
          <w:sz w:val="24"/>
          <w:szCs w:val="24"/>
        </w:rPr>
        <w:t xml:space="preserve"> e non possono essere applicate al di fuori delle ipotesi espressamente e tassativamente previste, restando preclusa qualsiasi interpretazione analogica o estensiva (Cass. civ., Sez. I, 05.11.2024, n. 28378; Cass. civ., Sez. I, 25.09.2024, n. 25614).</w:t>
      </w:r>
    </w:p>
    <w:p w14:paraId="2821DC93" w14:textId="5008A4B1" w:rsidR="0084655C" w:rsidRPr="00617774" w:rsidRDefault="00617774" w:rsidP="00617774">
      <w:pPr>
        <w:spacing w:line="360" w:lineRule="auto"/>
        <w:ind w:left="708"/>
        <w:jc w:val="both"/>
        <w:rPr>
          <w:rFonts w:ascii="Arial" w:hAnsi="Arial" w:cs="Arial"/>
          <w:sz w:val="24"/>
          <w:szCs w:val="24"/>
        </w:rPr>
      </w:pPr>
      <w:r w:rsidRPr="00617774">
        <w:rPr>
          <w:rFonts w:ascii="Arial" w:hAnsi="Arial" w:cs="Arial"/>
          <w:sz w:val="24"/>
          <w:szCs w:val="24"/>
        </w:rPr>
        <w:t>Sul punto, l</w:t>
      </w:r>
      <w:r w:rsidR="002E099D" w:rsidRPr="00617774">
        <w:rPr>
          <w:rFonts w:ascii="Arial" w:hAnsi="Arial" w:cs="Arial"/>
          <w:sz w:val="24"/>
          <w:szCs w:val="24"/>
        </w:rPr>
        <w:t xml:space="preserve">a giurisprudenza </w:t>
      </w:r>
      <w:r w:rsidR="002E099D" w:rsidRPr="00617774">
        <w:rPr>
          <w:rFonts w:ascii="Arial" w:hAnsi="Arial" w:cs="Arial"/>
          <w:sz w:val="24"/>
          <w:szCs w:val="24"/>
        </w:rPr>
        <w:t>è univoca</w:t>
      </w:r>
      <w:r w:rsidRPr="00617774">
        <w:rPr>
          <w:rFonts w:ascii="Arial" w:hAnsi="Arial" w:cs="Arial"/>
          <w:sz w:val="24"/>
          <w:szCs w:val="24"/>
        </w:rPr>
        <w:t>.</w:t>
      </w:r>
    </w:p>
    <w:p w14:paraId="462A433C" w14:textId="43BCFB16" w:rsidR="0084655C" w:rsidRPr="006B631F" w:rsidRDefault="002E099D" w:rsidP="00617774">
      <w:pPr>
        <w:spacing w:line="360" w:lineRule="auto"/>
        <w:ind w:firstLine="708"/>
        <w:jc w:val="both"/>
        <w:rPr>
          <w:rFonts w:ascii="Arial" w:hAnsi="Arial" w:cs="Arial"/>
          <w:sz w:val="24"/>
          <w:szCs w:val="24"/>
        </w:rPr>
      </w:pPr>
      <w:r>
        <w:rPr>
          <w:rFonts w:ascii="Arial" w:hAnsi="Arial" w:cs="Arial"/>
          <w:sz w:val="24"/>
          <w:szCs w:val="24"/>
        </w:rPr>
        <w:t>È stato, infatti, ribadito sul piano oggettivo che: “</w:t>
      </w:r>
      <w:r>
        <w:rPr>
          <w:rFonts w:ascii="Arial" w:hAnsi="Arial" w:cs="Arial"/>
          <w:i/>
          <w:iCs/>
          <w:sz w:val="24"/>
          <w:szCs w:val="24"/>
        </w:rPr>
        <w:t>non è gratuita la devoluzione di un impianto che già era di proprietà dell’ente, trattandosi di mera restituzione</w:t>
      </w:r>
      <w:r>
        <w:rPr>
          <w:rFonts w:ascii="Arial" w:hAnsi="Arial" w:cs="Arial"/>
          <w:sz w:val="24"/>
          <w:szCs w:val="24"/>
        </w:rPr>
        <w:t>” (</w:t>
      </w:r>
      <w:r>
        <w:rPr>
          <w:rFonts w:ascii="Arial" w:hAnsi="Arial" w:cs="Arial"/>
          <w:b/>
          <w:bCs/>
          <w:sz w:val="24"/>
          <w:szCs w:val="24"/>
        </w:rPr>
        <w:t>Tribunale di Rovigo</w:t>
      </w:r>
      <w:r>
        <w:rPr>
          <w:rFonts w:ascii="Arial" w:hAnsi="Arial" w:cs="Arial"/>
          <w:sz w:val="24"/>
          <w:szCs w:val="24"/>
        </w:rPr>
        <w:t>, 22 novembre 2024</w:t>
      </w:r>
      <w:r w:rsidR="00D306EE">
        <w:rPr>
          <w:rFonts w:ascii="Arial" w:hAnsi="Arial" w:cs="Arial"/>
          <w:sz w:val="24"/>
          <w:szCs w:val="24"/>
        </w:rPr>
        <w:t xml:space="preserve"> </w:t>
      </w:r>
      <w:r w:rsidR="00D306EE" w:rsidRPr="00D306EE">
        <w:rPr>
          <w:rFonts w:ascii="Arial" w:hAnsi="Arial" w:cs="Arial"/>
          <w:b/>
          <w:bCs/>
          <w:sz w:val="24"/>
          <w:szCs w:val="24"/>
        </w:rPr>
        <w:t>doc. 9</w:t>
      </w:r>
      <w:r>
        <w:rPr>
          <w:rFonts w:ascii="Arial" w:hAnsi="Arial" w:cs="Arial"/>
          <w:sz w:val="24"/>
          <w:szCs w:val="24"/>
        </w:rPr>
        <w:t>).</w:t>
      </w:r>
    </w:p>
    <w:p w14:paraId="78F725A0" w14:textId="4D278D77" w:rsidR="0084655C" w:rsidRPr="006B631F" w:rsidRDefault="002E099D" w:rsidP="00617774">
      <w:pPr>
        <w:spacing w:line="360" w:lineRule="auto"/>
        <w:ind w:firstLine="708"/>
        <w:jc w:val="both"/>
        <w:rPr>
          <w:rFonts w:ascii="Arial" w:hAnsi="Arial" w:cs="Arial"/>
          <w:sz w:val="24"/>
          <w:szCs w:val="24"/>
        </w:rPr>
      </w:pPr>
      <w:r>
        <w:rPr>
          <w:rFonts w:ascii="Arial" w:hAnsi="Arial" w:cs="Arial"/>
          <w:sz w:val="24"/>
          <w:szCs w:val="24"/>
        </w:rPr>
        <w:t xml:space="preserve">Nello stesso senso si è espressa la </w:t>
      </w:r>
      <w:r>
        <w:rPr>
          <w:rFonts w:ascii="Arial" w:hAnsi="Arial" w:cs="Arial"/>
          <w:b/>
          <w:bCs/>
          <w:sz w:val="24"/>
          <w:szCs w:val="24"/>
        </w:rPr>
        <w:t xml:space="preserve">Corte di Giustizia Tributaria di secondo grado dell’Emilia-Romagna </w:t>
      </w:r>
      <w:r>
        <w:rPr>
          <w:rFonts w:ascii="Arial" w:hAnsi="Arial" w:cs="Arial"/>
          <w:sz w:val="24"/>
          <w:szCs w:val="24"/>
        </w:rPr>
        <w:t>con sentenza n. 526/2024</w:t>
      </w:r>
      <w:r w:rsidR="00D306EE">
        <w:rPr>
          <w:rFonts w:ascii="Arial" w:hAnsi="Arial" w:cs="Arial"/>
          <w:sz w:val="24"/>
          <w:szCs w:val="24"/>
        </w:rPr>
        <w:t xml:space="preserve"> (</w:t>
      </w:r>
      <w:r w:rsidR="00D306EE" w:rsidRPr="00D306EE">
        <w:rPr>
          <w:rFonts w:ascii="Arial" w:hAnsi="Arial" w:cs="Arial"/>
          <w:b/>
          <w:bCs/>
          <w:sz w:val="24"/>
          <w:szCs w:val="24"/>
        </w:rPr>
        <w:t>doc. 10)</w:t>
      </w:r>
      <w:r>
        <w:rPr>
          <w:rFonts w:ascii="Arial" w:hAnsi="Arial" w:cs="Arial"/>
          <w:sz w:val="24"/>
          <w:szCs w:val="24"/>
        </w:rPr>
        <w:t>: “</w:t>
      </w:r>
      <w:r>
        <w:rPr>
          <w:rFonts w:ascii="Arial" w:hAnsi="Arial" w:cs="Arial"/>
          <w:i/>
          <w:iCs/>
          <w:sz w:val="24"/>
          <w:szCs w:val="24"/>
        </w:rPr>
        <w:t>la devoluzione gratuita va intesa in senso letterale: gratuito vuol dire gratuito; al Comune vuol dire al Comune</w:t>
      </w:r>
      <w:r>
        <w:rPr>
          <w:rFonts w:ascii="Arial" w:hAnsi="Arial" w:cs="Arial"/>
          <w:sz w:val="24"/>
          <w:szCs w:val="24"/>
        </w:rPr>
        <w:t>”, ribadendo la natura tassativa delle ipotesi di esenzione.</w:t>
      </w:r>
    </w:p>
    <w:p w14:paraId="3C6B50F4" w14:textId="7EF38BE1" w:rsidR="0084655C" w:rsidRPr="00617774" w:rsidRDefault="002E099D" w:rsidP="00617774">
      <w:pPr>
        <w:spacing w:line="360" w:lineRule="auto"/>
        <w:ind w:firstLine="708"/>
        <w:jc w:val="both"/>
        <w:rPr>
          <w:rFonts w:ascii="Arial" w:hAnsi="Arial" w:cs="Arial"/>
          <w:b/>
          <w:bCs/>
          <w:sz w:val="24"/>
          <w:szCs w:val="24"/>
          <w:u w:val="single"/>
        </w:rPr>
      </w:pPr>
      <w:r>
        <w:rPr>
          <w:rFonts w:ascii="Arial" w:hAnsi="Arial" w:cs="Arial"/>
          <w:sz w:val="24"/>
          <w:szCs w:val="24"/>
        </w:rPr>
        <w:t xml:space="preserve">La </w:t>
      </w:r>
      <w:r>
        <w:rPr>
          <w:rFonts w:ascii="Arial" w:hAnsi="Arial" w:cs="Arial"/>
          <w:b/>
          <w:bCs/>
          <w:sz w:val="24"/>
          <w:szCs w:val="24"/>
        </w:rPr>
        <w:t>Corte d’Appello di Venezia, sent. n. 3441/2025</w:t>
      </w:r>
      <w:r w:rsidR="00D306EE">
        <w:rPr>
          <w:rFonts w:ascii="Arial" w:hAnsi="Arial" w:cs="Arial"/>
          <w:b/>
          <w:bCs/>
          <w:sz w:val="24"/>
          <w:szCs w:val="24"/>
        </w:rPr>
        <w:t xml:space="preserve"> (doc. 8)</w:t>
      </w:r>
      <w:r>
        <w:rPr>
          <w:rFonts w:ascii="Arial" w:hAnsi="Arial" w:cs="Arial"/>
          <w:sz w:val="24"/>
          <w:szCs w:val="24"/>
        </w:rPr>
        <w:t xml:space="preserve">, pronunciata su un caso del tutto analogo (gestore idrico in regime di affidamento </w:t>
      </w:r>
      <w:r>
        <w:rPr>
          <w:rFonts w:ascii="Arial" w:hAnsi="Arial" w:cs="Arial"/>
          <w:i/>
          <w:iCs/>
          <w:sz w:val="24"/>
          <w:szCs w:val="24"/>
        </w:rPr>
        <w:t>in house</w:t>
      </w:r>
      <w:r>
        <w:rPr>
          <w:rFonts w:ascii="Arial" w:hAnsi="Arial" w:cs="Arial"/>
          <w:sz w:val="24"/>
          <w:szCs w:val="24"/>
        </w:rPr>
        <w:t xml:space="preserve">), ha </w:t>
      </w:r>
      <w:r w:rsidRPr="00617774">
        <w:rPr>
          <w:rFonts w:ascii="Arial" w:hAnsi="Arial" w:cs="Arial"/>
          <w:b/>
          <w:bCs/>
          <w:sz w:val="24"/>
          <w:szCs w:val="24"/>
          <w:u w:val="single"/>
        </w:rPr>
        <w:t xml:space="preserve">definitivamente statuito che la restituzione di beni già di proprietà pubblica non integra mai il presupposto della devoluzione gratuita di cui alla lett. d) e che la soggettività passiva al CUP sussiste anche per i gestori </w:t>
      </w:r>
      <w:r w:rsidRPr="00617774">
        <w:rPr>
          <w:rFonts w:ascii="Arial" w:hAnsi="Arial" w:cs="Arial"/>
          <w:b/>
          <w:bCs/>
          <w:i/>
          <w:iCs/>
          <w:sz w:val="24"/>
          <w:szCs w:val="24"/>
          <w:u w:val="single"/>
        </w:rPr>
        <w:t>in house</w:t>
      </w:r>
      <w:r w:rsidRPr="00617774">
        <w:rPr>
          <w:rFonts w:ascii="Arial" w:hAnsi="Arial" w:cs="Arial"/>
          <w:b/>
          <w:bCs/>
          <w:sz w:val="24"/>
          <w:szCs w:val="24"/>
          <w:u w:val="single"/>
        </w:rPr>
        <w:t>.</w:t>
      </w:r>
    </w:p>
    <w:p w14:paraId="7C0D74C8" w14:textId="77777777" w:rsidR="0084655C" w:rsidRPr="006B631F" w:rsidRDefault="0084655C" w:rsidP="006B631F">
      <w:pPr>
        <w:spacing w:line="360" w:lineRule="auto"/>
        <w:rPr>
          <w:rFonts w:ascii="Arial" w:hAnsi="Arial" w:cs="Arial"/>
          <w:sz w:val="24"/>
          <w:szCs w:val="24"/>
        </w:rPr>
      </w:pPr>
    </w:p>
    <w:p w14:paraId="3BB416E8" w14:textId="59D085B7" w:rsidR="0084655C" w:rsidRPr="006B631F" w:rsidRDefault="002E099D" w:rsidP="00D306EE">
      <w:pPr>
        <w:spacing w:line="360" w:lineRule="auto"/>
        <w:ind w:firstLine="708"/>
        <w:jc w:val="both"/>
        <w:rPr>
          <w:rFonts w:ascii="Arial" w:hAnsi="Arial" w:cs="Arial"/>
          <w:sz w:val="24"/>
          <w:szCs w:val="24"/>
        </w:rPr>
      </w:pPr>
      <w:r>
        <w:rPr>
          <w:rFonts w:ascii="Arial" w:hAnsi="Arial" w:cs="Arial"/>
          <w:b/>
          <w:bCs/>
          <w:sz w:val="24"/>
          <w:szCs w:val="24"/>
        </w:rPr>
        <w:t>3. IRRILEVANZA DELLA CONVENZIONE AIP 2024 E DELLA NOTA MEF 12/1998</w:t>
      </w:r>
    </w:p>
    <w:p w14:paraId="1CBDBA37" w14:textId="77777777" w:rsidR="00724D1C" w:rsidRDefault="002E099D" w:rsidP="00D306EE">
      <w:pPr>
        <w:spacing w:line="360" w:lineRule="auto"/>
        <w:ind w:firstLine="708"/>
        <w:jc w:val="both"/>
        <w:rPr>
          <w:rFonts w:ascii="Arial" w:hAnsi="Arial" w:cs="Arial"/>
          <w:sz w:val="24"/>
          <w:szCs w:val="24"/>
        </w:rPr>
      </w:pPr>
      <w:r>
        <w:rPr>
          <w:rFonts w:ascii="Arial" w:hAnsi="Arial" w:cs="Arial"/>
          <w:sz w:val="24"/>
          <w:szCs w:val="24"/>
        </w:rPr>
        <w:t>AQP richiama, a sostegno della propria tesi, l’art. 3.2 della Convenzione di gestione aggiornata al 2 ottobre 2024 (delibera AIP n. 89/2024), che prevede</w:t>
      </w:r>
      <w:r w:rsidR="00724D1C">
        <w:rPr>
          <w:rFonts w:ascii="Arial" w:hAnsi="Arial" w:cs="Arial"/>
          <w:sz w:val="24"/>
          <w:szCs w:val="24"/>
        </w:rPr>
        <w:t>rebbe</w:t>
      </w:r>
      <w:r>
        <w:rPr>
          <w:rFonts w:ascii="Arial" w:hAnsi="Arial" w:cs="Arial"/>
          <w:sz w:val="24"/>
          <w:szCs w:val="24"/>
        </w:rPr>
        <w:t xml:space="preserve"> l’esenzione dall’imposizione di “</w:t>
      </w:r>
      <w:r>
        <w:rPr>
          <w:rFonts w:ascii="Arial" w:hAnsi="Arial" w:cs="Arial"/>
          <w:i/>
          <w:iCs/>
          <w:sz w:val="24"/>
          <w:szCs w:val="24"/>
        </w:rPr>
        <w:t>qualsivoglia tassa, canone, tributo o imposta di natura patrimoniale e/o non ricognitoria</w:t>
      </w:r>
      <w:r>
        <w:rPr>
          <w:rFonts w:ascii="Arial" w:hAnsi="Arial" w:cs="Arial"/>
          <w:sz w:val="24"/>
          <w:szCs w:val="24"/>
        </w:rPr>
        <w:t xml:space="preserve">” per le occupazioni del suolo pubblico connesse alle reti del SII. </w:t>
      </w:r>
    </w:p>
    <w:p w14:paraId="0F44A55C" w14:textId="77777777" w:rsidR="00724D1C" w:rsidRDefault="002E099D" w:rsidP="00D306EE">
      <w:pPr>
        <w:spacing w:line="360" w:lineRule="auto"/>
        <w:ind w:firstLine="708"/>
        <w:jc w:val="both"/>
        <w:rPr>
          <w:rFonts w:ascii="Arial" w:hAnsi="Arial" w:cs="Arial"/>
          <w:sz w:val="24"/>
          <w:szCs w:val="24"/>
        </w:rPr>
      </w:pPr>
      <w:r>
        <w:rPr>
          <w:rFonts w:ascii="Arial" w:hAnsi="Arial" w:cs="Arial"/>
          <w:sz w:val="24"/>
          <w:szCs w:val="24"/>
        </w:rPr>
        <w:t>Tale richiamo</w:t>
      </w:r>
      <w:r w:rsidR="00724D1C">
        <w:rPr>
          <w:rFonts w:ascii="Arial" w:hAnsi="Arial" w:cs="Arial"/>
          <w:sz w:val="24"/>
          <w:szCs w:val="24"/>
        </w:rPr>
        <w:t>, invero,</w:t>
      </w:r>
      <w:r>
        <w:rPr>
          <w:rFonts w:ascii="Arial" w:hAnsi="Arial" w:cs="Arial"/>
          <w:sz w:val="24"/>
          <w:szCs w:val="24"/>
        </w:rPr>
        <w:t xml:space="preserve"> è privo di rilievo giuridico. </w:t>
      </w:r>
    </w:p>
    <w:p w14:paraId="2EDEFED6" w14:textId="77777777" w:rsidR="00724D1C" w:rsidRDefault="002E099D" w:rsidP="00D306EE">
      <w:pPr>
        <w:spacing w:line="360" w:lineRule="auto"/>
        <w:ind w:firstLine="708"/>
        <w:jc w:val="both"/>
        <w:rPr>
          <w:rFonts w:ascii="Arial" w:hAnsi="Arial" w:cs="Arial"/>
          <w:sz w:val="24"/>
          <w:szCs w:val="24"/>
        </w:rPr>
      </w:pPr>
      <w:r>
        <w:rPr>
          <w:rFonts w:ascii="Arial" w:hAnsi="Arial" w:cs="Arial"/>
          <w:b/>
          <w:bCs/>
          <w:sz w:val="24"/>
          <w:szCs w:val="24"/>
        </w:rPr>
        <w:t xml:space="preserve">Nessuna convenzione può superare le previsioni legislative </w:t>
      </w:r>
      <w:r w:rsidR="00724D1C">
        <w:rPr>
          <w:rFonts w:ascii="Arial" w:hAnsi="Arial" w:cs="Arial"/>
          <w:b/>
          <w:bCs/>
          <w:sz w:val="24"/>
          <w:szCs w:val="24"/>
        </w:rPr>
        <w:t>e la riserva di legge prevista dall’art 23 della Cost, nonché l</w:t>
      </w:r>
      <w:r>
        <w:rPr>
          <w:rFonts w:ascii="Arial" w:hAnsi="Arial" w:cs="Arial"/>
          <w:b/>
          <w:bCs/>
          <w:sz w:val="24"/>
          <w:szCs w:val="24"/>
        </w:rPr>
        <w:t>e regolamentari dei singoli Enti Locali.</w:t>
      </w:r>
      <w:r>
        <w:rPr>
          <w:rFonts w:ascii="Arial" w:hAnsi="Arial" w:cs="Arial"/>
          <w:sz w:val="24"/>
          <w:szCs w:val="24"/>
        </w:rPr>
        <w:t xml:space="preserve"> </w:t>
      </w:r>
    </w:p>
    <w:p w14:paraId="4D49ADDA" w14:textId="40022F57" w:rsidR="0084655C" w:rsidRPr="006B631F" w:rsidRDefault="002E099D" w:rsidP="00D306EE">
      <w:pPr>
        <w:spacing w:line="360" w:lineRule="auto"/>
        <w:ind w:firstLine="708"/>
        <w:jc w:val="both"/>
        <w:rPr>
          <w:rFonts w:ascii="Arial" w:hAnsi="Arial" w:cs="Arial"/>
          <w:sz w:val="24"/>
          <w:szCs w:val="24"/>
        </w:rPr>
      </w:pPr>
      <w:r>
        <w:rPr>
          <w:rFonts w:ascii="Arial" w:hAnsi="Arial" w:cs="Arial"/>
          <w:sz w:val="24"/>
          <w:szCs w:val="24"/>
        </w:rPr>
        <w:t>Qualunque agevolazione in materia tributaria deve trovare fondamento nella Legge o nei Regolamenti degli enti locali: non è possibile accordare specifiche esenzioni tramite atti di convenzione inter-soggettiva.</w:t>
      </w:r>
    </w:p>
    <w:p w14:paraId="16B28A24" w14:textId="77777777" w:rsidR="00724D1C" w:rsidRDefault="00E13C32" w:rsidP="006B631F">
      <w:pPr>
        <w:spacing w:line="360" w:lineRule="auto"/>
        <w:jc w:val="both"/>
        <w:rPr>
          <w:rFonts w:ascii="Arial" w:hAnsi="Arial" w:cs="Arial"/>
          <w:sz w:val="24"/>
          <w:szCs w:val="24"/>
        </w:rPr>
      </w:pPr>
      <w:r>
        <w:rPr>
          <w:rFonts w:ascii="Arial" w:hAnsi="Arial" w:cs="Arial"/>
          <w:sz w:val="24"/>
          <w:szCs w:val="24"/>
        </w:rPr>
        <w:tab/>
        <w:t xml:space="preserve">Parimenti inconferente è il richiamo alla nota del Ministero delle Finanze n. 12/1998. </w:t>
      </w:r>
    </w:p>
    <w:p w14:paraId="1E9F7065" w14:textId="161864CE" w:rsidR="0084655C" w:rsidRPr="006B631F" w:rsidRDefault="00E13C32" w:rsidP="00724D1C">
      <w:pPr>
        <w:spacing w:line="360" w:lineRule="auto"/>
        <w:ind w:firstLine="708"/>
        <w:jc w:val="both"/>
        <w:rPr>
          <w:rFonts w:ascii="Arial" w:hAnsi="Arial" w:cs="Arial"/>
          <w:sz w:val="24"/>
          <w:szCs w:val="24"/>
        </w:rPr>
      </w:pPr>
      <w:r>
        <w:rPr>
          <w:rFonts w:ascii="Arial" w:hAnsi="Arial" w:cs="Arial"/>
          <w:sz w:val="24"/>
          <w:szCs w:val="24"/>
        </w:rPr>
        <w:t>Tale nota riguardava specificamente la posizione dell’EAAP (Ente Autonomo Acquedotto Pugliese), ente pubblico che AQP S.p.A. ha successivamente sostituito nella veste di società di capitali</w:t>
      </w:r>
      <w:r w:rsidR="00724D1C">
        <w:rPr>
          <w:rFonts w:ascii="Arial" w:hAnsi="Arial" w:cs="Arial"/>
          <w:sz w:val="24"/>
          <w:szCs w:val="24"/>
        </w:rPr>
        <w:t>, tuttavia, sia l</w:t>
      </w:r>
      <w:r>
        <w:rPr>
          <w:rFonts w:ascii="Arial" w:hAnsi="Arial" w:cs="Arial"/>
          <w:sz w:val="24"/>
          <w:szCs w:val="24"/>
        </w:rPr>
        <w:t xml:space="preserve">a mutata natura giuridica del soggetto gestore </w:t>
      </w:r>
      <w:r w:rsidR="00724D1C">
        <w:rPr>
          <w:rFonts w:ascii="Arial" w:hAnsi="Arial" w:cs="Arial"/>
          <w:sz w:val="24"/>
          <w:szCs w:val="24"/>
        </w:rPr>
        <w:t>sia e soprattutto le novellato disposizioni tributarie del CUP r</w:t>
      </w:r>
      <w:r>
        <w:rPr>
          <w:rFonts w:ascii="Arial" w:hAnsi="Arial" w:cs="Arial"/>
          <w:sz w:val="24"/>
          <w:szCs w:val="24"/>
        </w:rPr>
        <w:t>ispond</w:t>
      </w:r>
      <w:r w:rsidR="00724D1C">
        <w:rPr>
          <w:rFonts w:ascii="Arial" w:hAnsi="Arial" w:cs="Arial"/>
          <w:sz w:val="24"/>
          <w:szCs w:val="24"/>
        </w:rPr>
        <w:t xml:space="preserve">ono </w:t>
      </w:r>
      <w:r>
        <w:rPr>
          <w:rFonts w:ascii="Arial" w:hAnsi="Arial" w:cs="Arial"/>
          <w:sz w:val="24"/>
          <w:szCs w:val="24"/>
        </w:rPr>
        <w:t>a logic</w:t>
      </w:r>
      <w:r w:rsidR="00724D1C">
        <w:rPr>
          <w:rFonts w:ascii="Arial" w:hAnsi="Arial" w:cs="Arial"/>
          <w:sz w:val="24"/>
          <w:szCs w:val="24"/>
        </w:rPr>
        <w:t xml:space="preserve">he </w:t>
      </w:r>
      <w:r>
        <w:rPr>
          <w:rFonts w:ascii="Arial" w:hAnsi="Arial" w:cs="Arial"/>
          <w:sz w:val="24"/>
          <w:szCs w:val="24"/>
        </w:rPr>
        <w:t>autonom</w:t>
      </w:r>
      <w:r w:rsidR="00724D1C">
        <w:rPr>
          <w:rFonts w:ascii="Arial" w:hAnsi="Arial" w:cs="Arial"/>
          <w:sz w:val="24"/>
          <w:szCs w:val="24"/>
        </w:rPr>
        <w:t>e</w:t>
      </w:r>
      <w:r>
        <w:rPr>
          <w:rFonts w:ascii="Arial" w:hAnsi="Arial" w:cs="Arial"/>
          <w:sz w:val="24"/>
          <w:szCs w:val="24"/>
        </w:rPr>
        <w:t xml:space="preserve"> e distint</w:t>
      </w:r>
      <w:r w:rsidR="00724D1C">
        <w:rPr>
          <w:rFonts w:ascii="Arial" w:hAnsi="Arial" w:cs="Arial"/>
          <w:sz w:val="24"/>
          <w:szCs w:val="24"/>
        </w:rPr>
        <w:t>e</w:t>
      </w:r>
      <w:r>
        <w:rPr>
          <w:rFonts w:ascii="Arial" w:hAnsi="Arial" w:cs="Arial"/>
          <w:sz w:val="24"/>
          <w:szCs w:val="24"/>
        </w:rPr>
        <w:t xml:space="preserve"> rispett</w:t>
      </w:r>
      <w:r w:rsidR="00724D1C">
        <w:rPr>
          <w:rFonts w:ascii="Arial" w:hAnsi="Arial" w:cs="Arial"/>
          <w:sz w:val="24"/>
          <w:szCs w:val="24"/>
        </w:rPr>
        <w:t>e</w:t>
      </w:r>
      <w:r>
        <w:rPr>
          <w:rFonts w:ascii="Arial" w:hAnsi="Arial" w:cs="Arial"/>
          <w:sz w:val="24"/>
          <w:szCs w:val="24"/>
        </w:rPr>
        <w:t xml:space="preserve"> ai previgenti istituti della TOSAP e del COSAP</w:t>
      </w:r>
      <w:r w:rsidR="00724D1C">
        <w:rPr>
          <w:rFonts w:ascii="Arial" w:hAnsi="Arial" w:cs="Arial"/>
          <w:sz w:val="24"/>
          <w:szCs w:val="24"/>
        </w:rPr>
        <w:t xml:space="preserve">, </w:t>
      </w:r>
      <w:r>
        <w:rPr>
          <w:rFonts w:ascii="Arial" w:hAnsi="Arial" w:cs="Arial"/>
          <w:sz w:val="24"/>
          <w:szCs w:val="24"/>
        </w:rPr>
        <w:t>rendon</w:t>
      </w:r>
      <w:r w:rsidR="00724D1C">
        <w:rPr>
          <w:rFonts w:ascii="Arial" w:hAnsi="Arial" w:cs="Arial"/>
          <w:sz w:val="24"/>
          <w:szCs w:val="24"/>
        </w:rPr>
        <w:t>d</w:t>
      </w:r>
      <w:r>
        <w:rPr>
          <w:rFonts w:ascii="Arial" w:hAnsi="Arial" w:cs="Arial"/>
          <w:sz w:val="24"/>
          <w:szCs w:val="24"/>
        </w:rPr>
        <w:t>o tale precedente del tutto inapplicabile al caso di specie.</w:t>
      </w:r>
    </w:p>
    <w:p w14:paraId="0634DB75" w14:textId="62E0F68A" w:rsidR="0084655C" w:rsidRPr="006B631F" w:rsidRDefault="002E099D" w:rsidP="00724D1C">
      <w:pPr>
        <w:spacing w:line="360" w:lineRule="auto"/>
        <w:ind w:firstLine="708"/>
        <w:jc w:val="both"/>
        <w:rPr>
          <w:rFonts w:ascii="Arial" w:hAnsi="Arial" w:cs="Arial"/>
          <w:sz w:val="24"/>
          <w:szCs w:val="24"/>
        </w:rPr>
      </w:pPr>
      <w:r>
        <w:rPr>
          <w:rFonts w:ascii="Arial" w:hAnsi="Arial" w:cs="Arial"/>
          <w:b/>
          <w:bCs/>
          <w:sz w:val="24"/>
          <w:szCs w:val="24"/>
        </w:rPr>
        <w:t>4. IRRILEVANZA DELLA MANCANZA DI UNA FORMALE CONCESSIONE DI OCCUPAZIONE</w:t>
      </w:r>
    </w:p>
    <w:p w14:paraId="56183A44" w14:textId="77777777" w:rsidR="00BA7DED" w:rsidRDefault="00E13C32" w:rsidP="006B631F">
      <w:pPr>
        <w:spacing w:line="360" w:lineRule="auto"/>
        <w:jc w:val="both"/>
        <w:rPr>
          <w:rFonts w:ascii="Arial" w:hAnsi="Arial" w:cs="Arial"/>
          <w:sz w:val="24"/>
          <w:szCs w:val="24"/>
        </w:rPr>
      </w:pPr>
      <w:r>
        <w:rPr>
          <w:rFonts w:ascii="Arial" w:hAnsi="Arial" w:cs="Arial"/>
          <w:sz w:val="24"/>
          <w:szCs w:val="24"/>
        </w:rPr>
        <w:tab/>
        <w:t>AQP sostiene che l’avviso di accertamento non potrebbe essere emesso in assenza di una concessione formale di occupazione del sottosuolo.</w:t>
      </w:r>
    </w:p>
    <w:p w14:paraId="5714039B" w14:textId="77777777" w:rsidR="00BA7DED" w:rsidRDefault="00E13C32" w:rsidP="00BA7DED">
      <w:pPr>
        <w:spacing w:line="360" w:lineRule="auto"/>
        <w:ind w:firstLine="708"/>
        <w:jc w:val="both"/>
        <w:rPr>
          <w:rFonts w:ascii="Arial" w:hAnsi="Arial" w:cs="Arial"/>
          <w:sz w:val="24"/>
          <w:szCs w:val="24"/>
        </w:rPr>
      </w:pPr>
      <w:r>
        <w:rPr>
          <w:rFonts w:ascii="Arial" w:hAnsi="Arial" w:cs="Arial"/>
          <w:sz w:val="24"/>
          <w:szCs w:val="24"/>
        </w:rPr>
        <w:t xml:space="preserve">L’argomento è radicalmente infondato. </w:t>
      </w:r>
    </w:p>
    <w:p w14:paraId="4539061F" w14:textId="77777777" w:rsidR="00BA7DED" w:rsidRDefault="00E13C32" w:rsidP="00BA7DED">
      <w:pPr>
        <w:spacing w:line="360" w:lineRule="auto"/>
        <w:ind w:firstLine="708"/>
        <w:jc w:val="both"/>
        <w:rPr>
          <w:rFonts w:ascii="Arial" w:hAnsi="Arial" w:cs="Arial"/>
          <w:sz w:val="24"/>
          <w:szCs w:val="24"/>
        </w:rPr>
      </w:pPr>
      <w:r>
        <w:rPr>
          <w:rFonts w:ascii="Arial" w:hAnsi="Arial" w:cs="Arial"/>
          <w:sz w:val="24"/>
          <w:szCs w:val="24"/>
        </w:rPr>
        <w:t xml:space="preserve">Il comma 831 della L. n. 160/2019 prevede espressamente il pagamento del canone da parte dei soggetti che occupano il suolo pubblico </w:t>
      </w:r>
      <w:r>
        <w:rPr>
          <w:rFonts w:ascii="Arial" w:hAnsi="Arial" w:cs="Arial"/>
          <w:i/>
          <w:iCs/>
          <w:sz w:val="24"/>
          <w:szCs w:val="24"/>
        </w:rPr>
        <w:t>“a qualunque titolo, anche gratuito”</w:t>
      </w:r>
      <w:r>
        <w:rPr>
          <w:rFonts w:ascii="Arial" w:hAnsi="Arial" w:cs="Arial"/>
          <w:sz w:val="24"/>
          <w:szCs w:val="24"/>
        </w:rPr>
        <w:t xml:space="preserve">. </w:t>
      </w:r>
    </w:p>
    <w:p w14:paraId="771A88DF" w14:textId="77777777" w:rsidR="00BA7DED" w:rsidRDefault="00E13C32" w:rsidP="00BA7DED">
      <w:pPr>
        <w:spacing w:line="360" w:lineRule="auto"/>
        <w:ind w:firstLine="708"/>
        <w:jc w:val="both"/>
        <w:rPr>
          <w:rFonts w:ascii="Arial" w:hAnsi="Arial" w:cs="Arial"/>
          <w:sz w:val="24"/>
          <w:szCs w:val="24"/>
        </w:rPr>
      </w:pPr>
      <w:r>
        <w:rPr>
          <w:rFonts w:ascii="Arial" w:hAnsi="Arial" w:cs="Arial"/>
          <w:sz w:val="24"/>
          <w:szCs w:val="24"/>
        </w:rPr>
        <w:t xml:space="preserve">L’occupazione di fatto è essa stessa presupposto del canone. </w:t>
      </w:r>
    </w:p>
    <w:p w14:paraId="34D3D073" w14:textId="05928679" w:rsidR="0084655C" w:rsidRPr="006B631F" w:rsidRDefault="00E13C32" w:rsidP="00BA7DED">
      <w:pPr>
        <w:spacing w:line="360" w:lineRule="auto"/>
        <w:ind w:firstLine="708"/>
        <w:jc w:val="both"/>
        <w:rPr>
          <w:rFonts w:ascii="Arial" w:hAnsi="Arial" w:cs="Arial"/>
          <w:sz w:val="24"/>
          <w:szCs w:val="24"/>
        </w:rPr>
      </w:pPr>
      <w:r>
        <w:rPr>
          <w:rFonts w:ascii="Arial" w:hAnsi="Arial" w:cs="Arial"/>
          <w:sz w:val="24"/>
          <w:szCs w:val="24"/>
        </w:rPr>
        <w:t>AQP utilizza materialmente il sottosuolo del Comune di Bitritto per l’erogazione del servizio idrico integrato: tale utilizzo è la fattispecie imponibile</w:t>
      </w:r>
      <w:r w:rsidR="00BA7DED">
        <w:rPr>
          <w:rFonts w:ascii="Arial" w:hAnsi="Arial" w:cs="Arial"/>
          <w:sz w:val="24"/>
          <w:szCs w:val="24"/>
        </w:rPr>
        <w:t xml:space="preserve"> governata dalla legge</w:t>
      </w:r>
      <w:r>
        <w:rPr>
          <w:rFonts w:ascii="Arial" w:hAnsi="Arial" w:cs="Arial"/>
          <w:sz w:val="24"/>
          <w:szCs w:val="24"/>
        </w:rPr>
        <w:t>, indipendentemente dal titolo formale che lo legittima.</w:t>
      </w:r>
    </w:p>
    <w:p w14:paraId="5688294E" w14:textId="32D47131" w:rsidR="0084655C" w:rsidRPr="006B631F" w:rsidRDefault="002E099D" w:rsidP="00216527">
      <w:pPr>
        <w:spacing w:line="360" w:lineRule="auto"/>
        <w:ind w:firstLine="567"/>
        <w:jc w:val="both"/>
        <w:rPr>
          <w:rFonts w:ascii="Arial" w:hAnsi="Arial" w:cs="Arial"/>
          <w:sz w:val="24"/>
          <w:szCs w:val="24"/>
        </w:rPr>
      </w:pPr>
      <w:r>
        <w:rPr>
          <w:rFonts w:ascii="Arial" w:hAnsi="Arial" w:cs="Arial"/>
          <w:b/>
          <w:bCs/>
          <w:sz w:val="24"/>
          <w:szCs w:val="24"/>
        </w:rPr>
        <w:t>5. SULL’INCONFERENZA DELLA GIURISPRUDENZA INVOCATA DALL’OPPONENTE E SULLA GIURISPRUDENZA FAVOREVOLE AL COMUNE</w:t>
      </w:r>
    </w:p>
    <w:p w14:paraId="7BC173A8" w14:textId="77777777" w:rsidR="001224CF" w:rsidRDefault="00E13C32" w:rsidP="006B631F">
      <w:pPr>
        <w:spacing w:line="360" w:lineRule="auto"/>
        <w:jc w:val="both"/>
        <w:rPr>
          <w:rFonts w:ascii="Arial" w:hAnsi="Arial" w:cs="Arial"/>
          <w:sz w:val="24"/>
          <w:szCs w:val="24"/>
        </w:rPr>
      </w:pPr>
      <w:r>
        <w:rPr>
          <w:rFonts w:ascii="Arial" w:hAnsi="Arial" w:cs="Arial"/>
          <w:sz w:val="24"/>
          <w:szCs w:val="24"/>
        </w:rPr>
        <w:tab/>
        <w:t xml:space="preserve">AQP richiama, a sostegno della propria tesi, la sentenza della Cass. SS.UU. n. 11542/2022 nonché alcune sentenze di merito in tema di TOSAP (Trib. Lecce n. 3261/2022; CTP Bari varie; CGT Piemonte II grado n. 129/2025). </w:t>
      </w:r>
    </w:p>
    <w:p w14:paraId="18B5EC10" w14:textId="77777777" w:rsidR="001224CF" w:rsidRDefault="001224CF" w:rsidP="001224CF">
      <w:pPr>
        <w:spacing w:line="360" w:lineRule="auto"/>
        <w:ind w:firstLine="708"/>
        <w:jc w:val="both"/>
        <w:rPr>
          <w:rFonts w:ascii="Arial" w:hAnsi="Arial" w:cs="Arial"/>
          <w:sz w:val="24"/>
          <w:szCs w:val="24"/>
        </w:rPr>
      </w:pPr>
      <w:r>
        <w:rPr>
          <w:rFonts w:ascii="Arial" w:hAnsi="Arial" w:cs="Arial"/>
          <w:sz w:val="24"/>
          <w:szCs w:val="24"/>
        </w:rPr>
        <w:lastRenderedPageBreak/>
        <w:t>Invero, t</w:t>
      </w:r>
      <w:r w:rsidR="00E13C32">
        <w:rPr>
          <w:rFonts w:ascii="Arial" w:hAnsi="Arial" w:cs="Arial"/>
          <w:sz w:val="24"/>
          <w:szCs w:val="24"/>
        </w:rPr>
        <w:t xml:space="preserve">ali pronunce, pur affermando la natura pubblica delle infrastrutture idriche, </w:t>
      </w:r>
      <w:r w:rsidR="00E13C32">
        <w:rPr>
          <w:rFonts w:ascii="Arial" w:hAnsi="Arial" w:cs="Arial"/>
          <w:b/>
          <w:bCs/>
          <w:sz w:val="24"/>
          <w:szCs w:val="24"/>
        </w:rPr>
        <w:t xml:space="preserve">non affrontano il tema della soggettività passiva </w:t>
      </w:r>
      <w:r>
        <w:rPr>
          <w:rFonts w:ascii="Arial" w:hAnsi="Arial" w:cs="Arial"/>
          <w:b/>
          <w:bCs/>
          <w:sz w:val="24"/>
          <w:szCs w:val="24"/>
        </w:rPr>
        <w:t>del</w:t>
      </w:r>
      <w:r w:rsidR="00E13C32">
        <w:rPr>
          <w:rFonts w:ascii="Arial" w:hAnsi="Arial" w:cs="Arial"/>
          <w:b/>
          <w:bCs/>
          <w:sz w:val="24"/>
          <w:szCs w:val="24"/>
        </w:rPr>
        <w:t xml:space="preserve"> CUP</w:t>
      </w:r>
      <w:r w:rsidR="00E13C32">
        <w:rPr>
          <w:rFonts w:ascii="Arial" w:hAnsi="Arial" w:cs="Arial"/>
          <w:sz w:val="24"/>
          <w:szCs w:val="24"/>
        </w:rPr>
        <w:t xml:space="preserve"> né escludono la debenza del canone da parte del gestore. </w:t>
      </w:r>
    </w:p>
    <w:p w14:paraId="40A56CA1" w14:textId="7E7A87E7" w:rsidR="0084655C" w:rsidRPr="006B631F" w:rsidRDefault="00E13C32" w:rsidP="001224CF">
      <w:pPr>
        <w:spacing w:line="360" w:lineRule="auto"/>
        <w:ind w:firstLine="708"/>
        <w:jc w:val="both"/>
        <w:rPr>
          <w:rFonts w:ascii="Arial" w:hAnsi="Arial" w:cs="Arial"/>
          <w:sz w:val="24"/>
          <w:szCs w:val="24"/>
        </w:rPr>
      </w:pPr>
      <w:r>
        <w:rPr>
          <w:rFonts w:ascii="Arial" w:hAnsi="Arial" w:cs="Arial"/>
          <w:sz w:val="24"/>
          <w:szCs w:val="24"/>
        </w:rPr>
        <w:t>La proprietà pubblica delle reti è pacifica – e il Comune non la contesta – ma è irrilevante: il legislatore ha espressamente previsto il pagamento del canone, da chiunque effettu</w:t>
      </w:r>
      <w:r w:rsidR="001224CF">
        <w:rPr>
          <w:rFonts w:ascii="Arial" w:hAnsi="Arial" w:cs="Arial"/>
          <w:sz w:val="24"/>
          <w:szCs w:val="24"/>
        </w:rPr>
        <w:t>i</w:t>
      </w:r>
      <w:r>
        <w:rPr>
          <w:rFonts w:ascii="Arial" w:hAnsi="Arial" w:cs="Arial"/>
          <w:sz w:val="24"/>
          <w:szCs w:val="24"/>
        </w:rPr>
        <w:t xml:space="preserve"> l’occupazione del suolo, indipendentemente dalla titolarità delle infrastrutture.</w:t>
      </w:r>
    </w:p>
    <w:p w14:paraId="2545276B" w14:textId="43A4F897" w:rsidR="0084655C" w:rsidRPr="00E771EC" w:rsidRDefault="00E771EC" w:rsidP="00E771EC">
      <w:pPr>
        <w:spacing w:line="360" w:lineRule="auto"/>
        <w:jc w:val="both"/>
        <w:rPr>
          <w:rFonts w:ascii="Arial" w:hAnsi="Arial" w:cs="Arial"/>
          <w:sz w:val="24"/>
          <w:szCs w:val="24"/>
        </w:rPr>
      </w:pPr>
      <w:r>
        <w:rPr>
          <w:rFonts w:ascii="Arial" w:hAnsi="Arial" w:cs="Arial"/>
          <w:sz w:val="24"/>
          <w:szCs w:val="24"/>
        </w:rPr>
        <w:tab/>
        <w:t xml:space="preserve">Né potrebbe sussistere l'esenzione di cui alla lettera a) del comma 833, atteso che la giurisprudenza di legittimità esclude pacificamente che la società </w:t>
      </w:r>
      <w:r w:rsidRPr="001224CF">
        <w:rPr>
          <w:rFonts w:ascii="Arial" w:hAnsi="Arial" w:cs="Arial"/>
          <w:i/>
          <w:iCs/>
          <w:sz w:val="24"/>
          <w:szCs w:val="24"/>
        </w:rPr>
        <w:t>in house</w:t>
      </w:r>
      <w:r>
        <w:rPr>
          <w:rFonts w:ascii="Arial" w:hAnsi="Arial" w:cs="Arial"/>
          <w:sz w:val="24"/>
          <w:szCs w:val="24"/>
        </w:rPr>
        <w:t xml:space="preserve"> possa equipararsi all'ente pubblico controllante ai fini dell'esenzione (Cass. n. 16866/2025</w:t>
      </w:r>
      <w:r w:rsidR="001224CF">
        <w:rPr>
          <w:rFonts w:ascii="Arial" w:hAnsi="Arial" w:cs="Arial"/>
          <w:sz w:val="24"/>
          <w:szCs w:val="24"/>
        </w:rPr>
        <w:t xml:space="preserve"> (</w:t>
      </w:r>
      <w:r w:rsidR="001224CF" w:rsidRPr="001224CF">
        <w:rPr>
          <w:rFonts w:ascii="Arial" w:hAnsi="Arial" w:cs="Arial"/>
          <w:b/>
          <w:bCs/>
          <w:sz w:val="24"/>
          <w:szCs w:val="24"/>
        </w:rPr>
        <w:t>doc. 11)</w:t>
      </w:r>
      <w:r w:rsidR="00403277">
        <w:rPr>
          <w:rFonts w:ascii="Arial" w:hAnsi="Arial" w:cs="Arial"/>
          <w:b/>
          <w:bCs/>
          <w:sz w:val="24"/>
          <w:szCs w:val="24"/>
        </w:rPr>
        <w:t>)</w:t>
      </w:r>
      <w:r>
        <w:rPr>
          <w:rFonts w:ascii="Arial" w:hAnsi="Arial" w:cs="Arial"/>
          <w:sz w:val="24"/>
          <w:szCs w:val="24"/>
        </w:rPr>
        <w:t>.</w:t>
      </w:r>
    </w:p>
    <w:p w14:paraId="2637E896" w14:textId="765EDCB6" w:rsidR="0084655C" w:rsidRPr="006B631F" w:rsidRDefault="00E771EC" w:rsidP="00E771EC">
      <w:pPr>
        <w:spacing w:line="360" w:lineRule="auto"/>
        <w:jc w:val="both"/>
        <w:rPr>
          <w:rFonts w:ascii="Arial" w:hAnsi="Arial" w:cs="Arial"/>
          <w:sz w:val="24"/>
          <w:szCs w:val="24"/>
        </w:rPr>
      </w:pPr>
      <w:r>
        <w:rPr>
          <w:rFonts w:ascii="Arial" w:hAnsi="Arial" w:cs="Arial"/>
          <w:sz w:val="24"/>
          <w:szCs w:val="24"/>
        </w:rPr>
        <w:tab/>
        <w:t>Per contro, la giurisprudenza specificamente formatasi sul CUP e sulla soggettività passiva dei gestori del SII è univoca nel senso favorevole al Comune:</w:t>
      </w:r>
    </w:p>
    <w:p w14:paraId="63662D7C" w14:textId="62C4A797" w:rsidR="0084655C" w:rsidRPr="006B631F" w:rsidRDefault="00E771EC" w:rsidP="00E771EC">
      <w:pPr>
        <w:spacing w:line="360" w:lineRule="auto"/>
        <w:jc w:val="both"/>
        <w:rPr>
          <w:rFonts w:ascii="Arial" w:hAnsi="Arial" w:cs="Arial"/>
          <w:sz w:val="24"/>
          <w:szCs w:val="24"/>
        </w:rPr>
      </w:pPr>
      <w:r>
        <w:rPr>
          <w:rFonts w:ascii="Arial" w:hAnsi="Arial" w:cs="Arial"/>
          <w:b/>
          <w:bCs/>
          <w:sz w:val="24"/>
          <w:szCs w:val="24"/>
        </w:rPr>
        <w:tab/>
      </w:r>
      <w:r w:rsidR="001224CF">
        <w:rPr>
          <w:rFonts w:ascii="Arial" w:hAnsi="Arial" w:cs="Arial"/>
          <w:b/>
          <w:bCs/>
          <w:sz w:val="24"/>
          <w:szCs w:val="24"/>
        </w:rPr>
        <w:t xml:space="preserve">La già richiamata sentenza della </w:t>
      </w:r>
      <w:r>
        <w:rPr>
          <w:rFonts w:ascii="Arial" w:hAnsi="Arial" w:cs="Arial"/>
          <w:b/>
          <w:bCs/>
          <w:sz w:val="24"/>
          <w:szCs w:val="24"/>
        </w:rPr>
        <w:t>Corte d’Appello di Venezia n. 3441/2025</w:t>
      </w:r>
      <w:r w:rsidR="001224CF">
        <w:rPr>
          <w:rFonts w:ascii="Arial" w:hAnsi="Arial" w:cs="Arial"/>
          <w:b/>
          <w:bCs/>
          <w:sz w:val="24"/>
          <w:szCs w:val="24"/>
        </w:rPr>
        <w:t xml:space="preserve"> (doc. 8)</w:t>
      </w:r>
      <w:r>
        <w:rPr>
          <w:rFonts w:ascii="Arial" w:hAnsi="Arial" w:cs="Arial"/>
          <w:sz w:val="24"/>
          <w:szCs w:val="24"/>
        </w:rPr>
        <w:t xml:space="preserve">: ha riconosciuto la soggettività passiva al CUP di un importante gestore del SII in regime di affidamento </w:t>
      </w:r>
      <w:r>
        <w:rPr>
          <w:rFonts w:ascii="Arial" w:hAnsi="Arial" w:cs="Arial"/>
          <w:i/>
          <w:iCs/>
          <w:sz w:val="24"/>
          <w:szCs w:val="24"/>
        </w:rPr>
        <w:t>in house</w:t>
      </w:r>
      <w:r>
        <w:rPr>
          <w:rFonts w:ascii="Arial" w:hAnsi="Arial" w:cs="Arial"/>
          <w:sz w:val="24"/>
          <w:szCs w:val="24"/>
        </w:rPr>
        <w:t xml:space="preserve">, operante per oltre 100 Comuni, chiarendo che: (a) l’esenzione di cui alla lettera a) del comma 833 non può essere estesa al soggetto gestore, nemmeno laddove si tratti di affidamento </w:t>
      </w:r>
      <w:r>
        <w:rPr>
          <w:rFonts w:ascii="Arial" w:hAnsi="Arial" w:cs="Arial"/>
          <w:i/>
          <w:iCs/>
          <w:sz w:val="24"/>
          <w:szCs w:val="24"/>
        </w:rPr>
        <w:t>in house</w:t>
      </w:r>
      <w:r>
        <w:rPr>
          <w:rFonts w:ascii="Arial" w:hAnsi="Arial" w:cs="Arial"/>
          <w:sz w:val="24"/>
          <w:szCs w:val="24"/>
        </w:rPr>
        <w:t>, che non incide sull’alterità soggettiva della società rispetto all’amministrazione pubblica (in quanto la società in house rappresenta pur sempre un centro di imputazione di rapporti e posizioni giuridiche soggettive diverso dall’ente partecipante); (b) l’esenzione di cui alla lettera d) non opera qualora i beni utilizzati siano già di proprietà dell’ente pubblico e vengano restituiti al termine della concessione. La fattispecie è pienamente assimilabile a quella di AQP.</w:t>
      </w:r>
    </w:p>
    <w:p w14:paraId="2D8E1F12" w14:textId="65AD60C3" w:rsidR="0084655C" w:rsidRPr="006B631F" w:rsidRDefault="00E771EC" w:rsidP="00E771EC">
      <w:pPr>
        <w:spacing w:line="360" w:lineRule="auto"/>
        <w:jc w:val="both"/>
        <w:rPr>
          <w:rFonts w:ascii="Arial" w:hAnsi="Arial" w:cs="Arial"/>
          <w:sz w:val="24"/>
          <w:szCs w:val="24"/>
        </w:rPr>
      </w:pPr>
      <w:r>
        <w:rPr>
          <w:rFonts w:ascii="Arial" w:hAnsi="Arial" w:cs="Arial"/>
          <w:b/>
          <w:bCs/>
          <w:sz w:val="24"/>
          <w:szCs w:val="24"/>
        </w:rPr>
        <w:tab/>
      </w:r>
      <w:r w:rsidR="001224CF">
        <w:rPr>
          <w:rFonts w:ascii="Arial" w:hAnsi="Arial" w:cs="Arial"/>
          <w:b/>
          <w:bCs/>
          <w:sz w:val="24"/>
          <w:szCs w:val="24"/>
        </w:rPr>
        <w:t xml:space="preserve">Il </w:t>
      </w:r>
      <w:r>
        <w:rPr>
          <w:rFonts w:ascii="Arial" w:hAnsi="Arial" w:cs="Arial"/>
          <w:b/>
          <w:bCs/>
          <w:sz w:val="24"/>
          <w:szCs w:val="24"/>
        </w:rPr>
        <w:t>Tribunale di Rovigo, 22 novembre 2024</w:t>
      </w:r>
      <w:r w:rsidR="001224CF">
        <w:rPr>
          <w:rFonts w:ascii="Arial" w:hAnsi="Arial" w:cs="Arial"/>
          <w:b/>
          <w:bCs/>
          <w:sz w:val="24"/>
          <w:szCs w:val="24"/>
        </w:rPr>
        <w:t xml:space="preserve"> (doc. 9)</w:t>
      </w:r>
      <w:r>
        <w:rPr>
          <w:rFonts w:ascii="Arial" w:hAnsi="Arial" w:cs="Arial"/>
          <w:sz w:val="24"/>
          <w:szCs w:val="24"/>
        </w:rPr>
        <w:t xml:space="preserve">: sotto il profilo della soggettività passiva, ha escluso l’applicabilità delle esenzioni di cui alle lettere a) e d) del comma 833 ai gestori del SII, affermando che </w:t>
      </w:r>
      <w:r w:rsidRPr="001224CF">
        <w:rPr>
          <w:rFonts w:ascii="Arial" w:hAnsi="Arial" w:cs="Arial"/>
          <w:b/>
          <w:bCs/>
          <w:sz w:val="24"/>
          <w:szCs w:val="24"/>
          <w:u w:val="single"/>
        </w:rPr>
        <w:t>non è gratuita la devoluzione di un impianto già di proprietà dell’ente, trattandosi di mera restituzione</w:t>
      </w:r>
      <w:r>
        <w:rPr>
          <w:rFonts w:ascii="Arial" w:hAnsi="Arial" w:cs="Arial"/>
          <w:sz w:val="24"/>
          <w:szCs w:val="24"/>
        </w:rPr>
        <w:t>.</w:t>
      </w:r>
    </w:p>
    <w:p w14:paraId="0CCF7E48" w14:textId="324DBEFC" w:rsidR="0084655C" w:rsidRPr="006B631F" w:rsidRDefault="00E771EC" w:rsidP="00E771EC">
      <w:pPr>
        <w:spacing w:line="360" w:lineRule="auto"/>
        <w:jc w:val="both"/>
        <w:rPr>
          <w:rFonts w:ascii="Arial" w:hAnsi="Arial" w:cs="Arial"/>
          <w:sz w:val="24"/>
          <w:szCs w:val="24"/>
        </w:rPr>
      </w:pPr>
      <w:r>
        <w:rPr>
          <w:rFonts w:ascii="Arial" w:hAnsi="Arial" w:cs="Arial"/>
          <w:b/>
          <w:bCs/>
          <w:sz w:val="24"/>
          <w:szCs w:val="24"/>
        </w:rPr>
        <w:tab/>
      </w:r>
      <w:r w:rsidR="001224CF">
        <w:rPr>
          <w:rFonts w:ascii="Arial" w:hAnsi="Arial" w:cs="Arial"/>
          <w:b/>
          <w:bCs/>
          <w:sz w:val="24"/>
          <w:szCs w:val="24"/>
        </w:rPr>
        <w:t xml:space="preserve">La </w:t>
      </w:r>
      <w:r>
        <w:rPr>
          <w:rFonts w:ascii="Arial" w:hAnsi="Arial" w:cs="Arial"/>
          <w:b/>
          <w:bCs/>
          <w:sz w:val="24"/>
          <w:szCs w:val="24"/>
        </w:rPr>
        <w:t>CGT II grado Emilia-Romagna n. 526/2024</w:t>
      </w:r>
      <w:r w:rsidR="001224CF">
        <w:rPr>
          <w:rFonts w:ascii="Arial" w:hAnsi="Arial" w:cs="Arial"/>
          <w:b/>
          <w:bCs/>
          <w:sz w:val="24"/>
          <w:szCs w:val="24"/>
        </w:rPr>
        <w:t xml:space="preserve"> (doc. 10)</w:t>
      </w:r>
      <w:r>
        <w:rPr>
          <w:rFonts w:ascii="Arial" w:hAnsi="Arial" w:cs="Arial"/>
          <w:sz w:val="24"/>
          <w:szCs w:val="24"/>
        </w:rPr>
        <w:t>: ha ribadito la natura tassativa delle ipotesi di esenzione e che la devoluzione gratuita va intesa in senso letterale, dovendo avvenire direttamente in favore del Comune.</w:t>
      </w:r>
    </w:p>
    <w:p w14:paraId="74B45EF3" w14:textId="6BA4961F" w:rsidR="0084655C" w:rsidRPr="006B631F" w:rsidRDefault="00E771EC" w:rsidP="006B631F">
      <w:pPr>
        <w:spacing w:line="360" w:lineRule="auto"/>
        <w:jc w:val="both"/>
        <w:rPr>
          <w:rFonts w:ascii="Arial" w:hAnsi="Arial" w:cs="Arial"/>
          <w:sz w:val="24"/>
          <w:szCs w:val="24"/>
        </w:rPr>
      </w:pPr>
      <w:r>
        <w:rPr>
          <w:rFonts w:ascii="Arial" w:hAnsi="Arial" w:cs="Arial"/>
          <w:b/>
          <w:bCs/>
          <w:sz w:val="24"/>
          <w:szCs w:val="24"/>
        </w:rPr>
        <w:tab/>
      </w:r>
      <w:r w:rsidR="002E099D">
        <w:rPr>
          <w:rFonts w:ascii="Arial" w:hAnsi="Arial" w:cs="Arial"/>
          <w:b/>
          <w:bCs/>
          <w:sz w:val="24"/>
          <w:szCs w:val="24"/>
        </w:rPr>
        <w:t>6. LEGITTIMITÀ DELL’ACCERTAMENTO INDUTTIVO E INVERSIONE DELL’ONERE PROBATORIO</w:t>
      </w:r>
    </w:p>
    <w:p w14:paraId="7DE6B607" w14:textId="77777777" w:rsidR="001224CF" w:rsidRDefault="002E099D" w:rsidP="001224CF">
      <w:pPr>
        <w:spacing w:line="360" w:lineRule="auto"/>
        <w:ind w:firstLine="708"/>
        <w:jc w:val="both"/>
        <w:rPr>
          <w:rFonts w:ascii="Arial" w:hAnsi="Arial" w:cs="Arial"/>
          <w:sz w:val="24"/>
          <w:szCs w:val="24"/>
        </w:rPr>
      </w:pPr>
      <w:r>
        <w:rPr>
          <w:rFonts w:ascii="Arial" w:hAnsi="Arial" w:cs="Arial"/>
          <w:sz w:val="24"/>
          <w:szCs w:val="24"/>
        </w:rPr>
        <w:t xml:space="preserve">Il comma 792 della L. n. 160/2019 legittima espressamente il Comune a procedere ad accertamento d’ufficio in caso di omessa dichiarazione delle utenze attive. </w:t>
      </w:r>
    </w:p>
    <w:p w14:paraId="7E6C0919" w14:textId="77777777" w:rsidR="001224CF" w:rsidRDefault="002E099D" w:rsidP="001224CF">
      <w:pPr>
        <w:spacing w:line="360" w:lineRule="auto"/>
        <w:ind w:firstLine="708"/>
        <w:jc w:val="both"/>
        <w:rPr>
          <w:rFonts w:ascii="Arial" w:hAnsi="Arial" w:cs="Arial"/>
          <w:sz w:val="24"/>
          <w:szCs w:val="24"/>
        </w:rPr>
      </w:pPr>
      <w:r>
        <w:rPr>
          <w:rFonts w:ascii="Arial" w:hAnsi="Arial" w:cs="Arial"/>
          <w:sz w:val="24"/>
          <w:szCs w:val="24"/>
        </w:rPr>
        <w:t xml:space="preserve">Nel caso di specie, AQP ha sistematicamente omesso di trasmettere la dichiarazione prescritta entro il 30 aprile di ciascun anno, nonostante le formali sollecitazioni di Archivia Solution del 12 giugno 2025 e del 28 agosto 2025. </w:t>
      </w:r>
    </w:p>
    <w:p w14:paraId="259B34FB" w14:textId="275E6918" w:rsidR="0084655C" w:rsidRPr="007B1BA2" w:rsidRDefault="002E099D" w:rsidP="001224CF">
      <w:pPr>
        <w:spacing w:line="360" w:lineRule="auto"/>
        <w:ind w:firstLine="708"/>
        <w:jc w:val="both"/>
        <w:rPr>
          <w:rFonts w:ascii="Arial" w:hAnsi="Arial" w:cs="Arial"/>
          <w:sz w:val="24"/>
          <w:szCs w:val="24"/>
        </w:rPr>
      </w:pPr>
      <w:r>
        <w:rPr>
          <w:rFonts w:ascii="Arial" w:hAnsi="Arial" w:cs="Arial"/>
          <w:sz w:val="24"/>
          <w:szCs w:val="24"/>
        </w:rPr>
        <w:lastRenderedPageBreak/>
        <w:t>Il calcolo induttivo è stato effettuato sulla base di dati oggettivi e verificabili: la popolazione residente nel Comune di Bitritto e i dati statistici delle relazioni annuali ARERA, che consentono di stimare le utenze attive in misura proporzionale alla popolazione.</w:t>
      </w:r>
    </w:p>
    <w:p w14:paraId="5442BF68" w14:textId="77777777" w:rsidR="001224CF" w:rsidRDefault="007B1BA2" w:rsidP="006B631F">
      <w:pPr>
        <w:spacing w:line="360" w:lineRule="auto"/>
        <w:jc w:val="both"/>
        <w:rPr>
          <w:rFonts w:ascii="Arial" w:hAnsi="Arial" w:cs="Arial"/>
          <w:sz w:val="24"/>
          <w:szCs w:val="24"/>
        </w:rPr>
      </w:pPr>
      <w:r w:rsidRPr="007B1BA2">
        <w:rPr>
          <w:rFonts w:ascii="Arial" w:hAnsi="Arial" w:cs="Arial"/>
          <w:sz w:val="24"/>
          <w:szCs w:val="24"/>
        </w:rPr>
        <w:tab/>
        <w:t>Il sistematico rifiuto di AQP di comunicare il numero di utenze ha determinato un’</w:t>
      </w:r>
      <w:r w:rsidRPr="007B1BA2">
        <w:rPr>
          <w:rFonts w:ascii="Arial" w:hAnsi="Arial" w:cs="Arial"/>
          <w:b/>
          <w:bCs/>
          <w:sz w:val="24"/>
          <w:szCs w:val="24"/>
        </w:rPr>
        <w:t>inversione dell’onere probatorio</w:t>
      </w:r>
      <w:r w:rsidRPr="007B1BA2">
        <w:rPr>
          <w:rFonts w:ascii="Arial" w:hAnsi="Arial" w:cs="Arial"/>
          <w:sz w:val="24"/>
          <w:szCs w:val="24"/>
        </w:rPr>
        <w:t xml:space="preserve">: sarà AQP a dover dimostrare, documentalmente, che il numero di utenze servite nel Comune di Bitritto è diverso da quello stimato in via presuntiva. </w:t>
      </w:r>
    </w:p>
    <w:p w14:paraId="4E4C381B" w14:textId="38E6896B" w:rsidR="0084655C" w:rsidRPr="006B631F" w:rsidRDefault="001224CF" w:rsidP="001224CF">
      <w:pPr>
        <w:spacing w:line="360" w:lineRule="auto"/>
        <w:ind w:firstLine="708"/>
        <w:jc w:val="both"/>
        <w:rPr>
          <w:rFonts w:ascii="Arial" w:hAnsi="Arial" w:cs="Arial"/>
          <w:sz w:val="24"/>
          <w:szCs w:val="24"/>
        </w:rPr>
      </w:pPr>
      <w:r>
        <w:rPr>
          <w:rFonts w:ascii="Arial" w:hAnsi="Arial" w:cs="Arial"/>
          <w:sz w:val="24"/>
          <w:szCs w:val="24"/>
        </w:rPr>
        <w:t>Ed infatti, l</w:t>
      </w:r>
      <w:r w:rsidR="007B1BA2" w:rsidRPr="007B1BA2">
        <w:rPr>
          <w:rFonts w:ascii="Arial" w:hAnsi="Arial" w:cs="Arial"/>
          <w:sz w:val="24"/>
          <w:szCs w:val="24"/>
        </w:rPr>
        <w:t>a parte che si sottrae agli obblighi informativi previsti dalla legge non può giovarsi della propria inadempienza per contestare la legittimità del metodo di accertamento che tale inadempienza ha reso necessario.</w:t>
      </w:r>
    </w:p>
    <w:p w14:paraId="5D11431E" w14:textId="60ED073A" w:rsidR="0084655C" w:rsidRPr="006B631F" w:rsidRDefault="001224CF" w:rsidP="006122C0">
      <w:pPr>
        <w:spacing w:line="360" w:lineRule="auto"/>
        <w:jc w:val="both"/>
        <w:rPr>
          <w:rFonts w:ascii="Arial" w:hAnsi="Arial" w:cs="Arial"/>
          <w:sz w:val="24"/>
          <w:szCs w:val="24"/>
        </w:rPr>
      </w:pPr>
      <w:r>
        <w:rPr>
          <w:rFonts w:ascii="Arial" w:hAnsi="Arial" w:cs="Arial"/>
          <w:sz w:val="24"/>
          <w:szCs w:val="24"/>
        </w:rPr>
        <w:tab/>
        <w:t xml:space="preserve">Si rileva, comunque, che al momento AQP non </w:t>
      </w:r>
      <w:r w:rsidR="006122C0">
        <w:rPr>
          <w:rFonts w:ascii="Arial" w:hAnsi="Arial" w:cs="Arial"/>
          <w:sz w:val="24"/>
          <w:szCs w:val="24"/>
        </w:rPr>
        <w:t xml:space="preserve">risulta aver </w:t>
      </w:r>
      <w:r>
        <w:rPr>
          <w:rFonts w:ascii="Arial" w:hAnsi="Arial" w:cs="Arial"/>
          <w:sz w:val="24"/>
          <w:szCs w:val="24"/>
        </w:rPr>
        <w:t xml:space="preserve">prodotto </w:t>
      </w:r>
      <w:r w:rsidR="006122C0">
        <w:rPr>
          <w:rFonts w:ascii="Arial" w:hAnsi="Arial" w:cs="Arial"/>
          <w:sz w:val="24"/>
          <w:szCs w:val="24"/>
        </w:rPr>
        <w:t xml:space="preserve">alcunchè </w:t>
      </w:r>
      <w:r>
        <w:rPr>
          <w:rFonts w:ascii="Arial" w:hAnsi="Arial" w:cs="Arial"/>
          <w:sz w:val="24"/>
          <w:szCs w:val="24"/>
        </w:rPr>
        <w:t>idone</w:t>
      </w:r>
      <w:r w:rsidR="006122C0">
        <w:rPr>
          <w:rFonts w:ascii="Arial" w:hAnsi="Arial" w:cs="Arial"/>
          <w:sz w:val="24"/>
          <w:szCs w:val="24"/>
        </w:rPr>
        <w:t>o</w:t>
      </w:r>
      <w:r>
        <w:rPr>
          <w:rFonts w:ascii="Arial" w:hAnsi="Arial" w:cs="Arial"/>
          <w:sz w:val="24"/>
          <w:szCs w:val="24"/>
        </w:rPr>
        <w:t xml:space="preserve"> a confutare i calcoli operati dal Comune  </w:t>
      </w:r>
    </w:p>
    <w:p w14:paraId="7A48B188" w14:textId="77777777" w:rsidR="0084655C" w:rsidRPr="006B631F" w:rsidRDefault="002E099D" w:rsidP="006122C0">
      <w:pPr>
        <w:spacing w:line="360" w:lineRule="auto"/>
        <w:ind w:firstLine="708"/>
        <w:jc w:val="both"/>
        <w:rPr>
          <w:rFonts w:ascii="Arial" w:hAnsi="Arial" w:cs="Arial"/>
          <w:sz w:val="24"/>
          <w:szCs w:val="24"/>
        </w:rPr>
      </w:pPr>
      <w:r>
        <w:rPr>
          <w:rFonts w:ascii="Arial" w:hAnsi="Arial" w:cs="Arial"/>
          <w:b/>
          <w:bCs/>
          <w:sz w:val="24"/>
          <w:szCs w:val="24"/>
        </w:rPr>
        <w:t>SULLA RICHIESTA DI SOSPENSIONE DELL’EFFICACIA ESECUTIVA</w:t>
      </w:r>
    </w:p>
    <w:p w14:paraId="79287642" w14:textId="77777777" w:rsidR="006122C0" w:rsidRDefault="002E099D" w:rsidP="006122C0">
      <w:pPr>
        <w:spacing w:line="360" w:lineRule="auto"/>
        <w:ind w:firstLine="708"/>
        <w:jc w:val="both"/>
        <w:rPr>
          <w:rFonts w:ascii="Arial" w:hAnsi="Arial" w:cs="Arial"/>
          <w:sz w:val="24"/>
          <w:szCs w:val="24"/>
        </w:rPr>
      </w:pPr>
      <w:r>
        <w:rPr>
          <w:rFonts w:ascii="Arial" w:hAnsi="Arial" w:cs="Arial"/>
          <w:sz w:val="24"/>
          <w:szCs w:val="24"/>
        </w:rPr>
        <w:t xml:space="preserve">Alla luce di tutto quanto esposto, risulta evidente l’insussistenza dei presupposti per la concessione della sospensiva. </w:t>
      </w:r>
    </w:p>
    <w:p w14:paraId="5F845CD9" w14:textId="77777777" w:rsidR="006122C0" w:rsidRDefault="002E099D" w:rsidP="006122C0">
      <w:pPr>
        <w:spacing w:line="360" w:lineRule="auto"/>
        <w:ind w:firstLine="708"/>
        <w:jc w:val="both"/>
        <w:rPr>
          <w:rFonts w:ascii="Arial" w:hAnsi="Arial" w:cs="Arial"/>
          <w:sz w:val="24"/>
          <w:szCs w:val="24"/>
        </w:rPr>
      </w:pPr>
      <w:r w:rsidRPr="006122C0">
        <w:rPr>
          <w:rFonts w:ascii="Arial" w:hAnsi="Arial" w:cs="Arial"/>
          <w:b/>
          <w:bCs/>
          <w:sz w:val="24"/>
          <w:szCs w:val="24"/>
        </w:rPr>
        <w:t xml:space="preserve">Manca il </w:t>
      </w:r>
      <w:r w:rsidRPr="006122C0">
        <w:rPr>
          <w:rFonts w:ascii="Arial" w:hAnsi="Arial" w:cs="Arial"/>
          <w:b/>
          <w:bCs/>
          <w:i/>
          <w:iCs/>
          <w:sz w:val="24"/>
          <w:szCs w:val="24"/>
        </w:rPr>
        <w:t>fumus boni iuris</w:t>
      </w:r>
      <w:r>
        <w:rPr>
          <w:rFonts w:ascii="Arial" w:hAnsi="Arial" w:cs="Arial"/>
          <w:sz w:val="24"/>
          <w:szCs w:val="24"/>
        </w:rPr>
        <w:t xml:space="preserve">, stante la palese infondatezza in diritto di tutti i motivi del ricorso. </w:t>
      </w:r>
    </w:p>
    <w:p w14:paraId="2841FECC" w14:textId="113D1C5C" w:rsidR="0084655C" w:rsidRDefault="002E099D" w:rsidP="006122C0">
      <w:pPr>
        <w:spacing w:line="360" w:lineRule="auto"/>
        <w:ind w:firstLine="708"/>
        <w:jc w:val="both"/>
        <w:rPr>
          <w:rFonts w:ascii="Arial" w:hAnsi="Arial" w:cs="Arial"/>
          <w:sz w:val="24"/>
          <w:szCs w:val="24"/>
        </w:rPr>
      </w:pPr>
      <w:r w:rsidRPr="006122C0">
        <w:rPr>
          <w:rFonts w:ascii="Arial" w:hAnsi="Arial" w:cs="Arial"/>
          <w:b/>
          <w:bCs/>
          <w:sz w:val="24"/>
          <w:szCs w:val="24"/>
        </w:rPr>
        <w:t>Manca</w:t>
      </w:r>
      <w:r w:rsidR="006122C0" w:rsidRPr="006122C0">
        <w:rPr>
          <w:rFonts w:ascii="Arial" w:hAnsi="Arial" w:cs="Arial"/>
          <w:b/>
          <w:bCs/>
          <w:sz w:val="24"/>
          <w:szCs w:val="24"/>
        </w:rPr>
        <w:t>,</w:t>
      </w:r>
      <w:r w:rsidRPr="006122C0">
        <w:rPr>
          <w:rFonts w:ascii="Arial" w:hAnsi="Arial" w:cs="Arial"/>
          <w:b/>
          <w:bCs/>
          <w:sz w:val="24"/>
          <w:szCs w:val="24"/>
        </w:rPr>
        <w:t xml:space="preserve"> altresì</w:t>
      </w:r>
      <w:r w:rsidR="006122C0" w:rsidRPr="006122C0">
        <w:rPr>
          <w:rFonts w:ascii="Arial" w:hAnsi="Arial" w:cs="Arial"/>
          <w:b/>
          <w:bCs/>
          <w:sz w:val="24"/>
          <w:szCs w:val="24"/>
        </w:rPr>
        <w:t>,</w:t>
      </w:r>
      <w:r w:rsidRPr="006122C0">
        <w:rPr>
          <w:rFonts w:ascii="Arial" w:hAnsi="Arial" w:cs="Arial"/>
          <w:b/>
          <w:bCs/>
          <w:sz w:val="24"/>
          <w:szCs w:val="24"/>
        </w:rPr>
        <w:t xml:space="preserve"> il </w:t>
      </w:r>
      <w:r w:rsidRPr="006122C0">
        <w:rPr>
          <w:rFonts w:ascii="Arial" w:hAnsi="Arial" w:cs="Arial"/>
          <w:b/>
          <w:bCs/>
          <w:i/>
          <w:iCs/>
          <w:sz w:val="24"/>
          <w:szCs w:val="24"/>
        </w:rPr>
        <w:t>periculum in mora</w:t>
      </w:r>
      <w:r>
        <w:rPr>
          <w:rFonts w:ascii="Arial" w:hAnsi="Arial" w:cs="Arial"/>
          <w:sz w:val="24"/>
          <w:szCs w:val="24"/>
        </w:rPr>
        <w:t>, non potendosi ritenere che il pagamento della somma richiesta possa arrecare un pregiudizio grave e irreparabile a una società delle dimensioni e della capacità economica di AQP, gestore del servizio idrico integrato per l’intera Regione Puglia.</w:t>
      </w:r>
    </w:p>
    <w:p w14:paraId="6BCF1D61" w14:textId="31292582" w:rsidR="006122C0" w:rsidRPr="006B631F" w:rsidRDefault="006122C0" w:rsidP="006122C0">
      <w:pPr>
        <w:spacing w:line="360" w:lineRule="auto"/>
        <w:ind w:firstLine="708"/>
        <w:jc w:val="both"/>
        <w:rPr>
          <w:rFonts w:ascii="Arial" w:hAnsi="Arial" w:cs="Arial"/>
          <w:sz w:val="24"/>
          <w:szCs w:val="24"/>
        </w:rPr>
      </w:pPr>
      <w:r>
        <w:rPr>
          <w:rFonts w:ascii="Arial" w:hAnsi="Arial" w:cs="Arial"/>
          <w:sz w:val="24"/>
          <w:szCs w:val="24"/>
        </w:rPr>
        <w:t>Danno in ogni caso non dimostrato.</w:t>
      </w:r>
    </w:p>
    <w:p w14:paraId="3E21D7A3" w14:textId="77777777" w:rsidR="0084655C" w:rsidRPr="006B631F" w:rsidRDefault="002E099D" w:rsidP="006122C0">
      <w:pPr>
        <w:spacing w:line="360" w:lineRule="auto"/>
        <w:ind w:firstLine="708"/>
        <w:jc w:val="both"/>
        <w:rPr>
          <w:rFonts w:ascii="Arial" w:hAnsi="Arial" w:cs="Arial"/>
          <w:sz w:val="24"/>
          <w:szCs w:val="24"/>
        </w:rPr>
      </w:pPr>
      <w:r>
        <w:rPr>
          <w:rFonts w:ascii="Arial" w:hAnsi="Arial" w:cs="Arial"/>
          <w:sz w:val="24"/>
          <w:szCs w:val="24"/>
        </w:rPr>
        <w:t>Per tutto quanto innanzi dedotto ed eccepito si rassegnano le seguenti</w:t>
      </w:r>
    </w:p>
    <w:p w14:paraId="2C1A7426" w14:textId="77777777" w:rsidR="0084655C" w:rsidRPr="006B631F" w:rsidRDefault="002E099D" w:rsidP="006B631F">
      <w:pPr>
        <w:spacing w:line="360" w:lineRule="auto"/>
        <w:jc w:val="center"/>
        <w:rPr>
          <w:rFonts w:ascii="Arial" w:hAnsi="Arial" w:cs="Arial"/>
          <w:sz w:val="24"/>
          <w:szCs w:val="24"/>
        </w:rPr>
      </w:pPr>
      <w:r>
        <w:rPr>
          <w:rFonts w:ascii="Arial" w:hAnsi="Arial" w:cs="Arial"/>
          <w:b/>
          <w:bCs/>
          <w:sz w:val="24"/>
          <w:szCs w:val="24"/>
        </w:rPr>
        <w:t>CONCLUSIONI</w:t>
      </w:r>
    </w:p>
    <w:p w14:paraId="649CCDBE" w14:textId="77777777" w:rsidR="0084655C" w:rsidRPr="006B631F" w:rsidRDefault="002E099D" w:rsidP="006B631F">
      <w:pPr>
        <w:spacing w:line="360" w:lineRule="auto"/>
        <w:jc w:val="both"/>
        <w:rPr>
          <w:rFonts w:ascii="Arial" w:hAnsi="Arial" w:cs="Arial"/>
          <w:sz w:val="24"/>
          <w:szCs w:val="24"/>
        </w:rPr>
      </w:pPr>
      <w:r>
        <w:rPr>
          <w:rFonts w:ascii="Arial" w:hAnsi="Arial" w:cs="Arial"/>
          <w:sz w:val="24"/>
          <w:szCs w:val="24"/>
        </w:rPr>
        <w:t>Voglia l’On.le Corte di Giustizia Tributaria di primo grado di Bari:</w:t>
      </w:r>
    </w:p>
    <w:p w14:paraId="55560893" w14:textId="64AEAF6A" w:rsidR="0084655C" w:rsidRPr="006B631F" w:rsidRDefault="00CD1CE4" w:rsidP="006B631F">
      <w:pPr>
        <w:spacing w:line="360" w:lineRule="auto"/>
        <w:jc w:val="both"/>
        <w:rPr>
          <w:rFonts w:ascii="Arial" w:hAnsi="Arial" w:cs="Arial"/>
          <w:sz w:val="24"/>
          <w:szCs w:val="24"/>
        </w:rPr>
      </w:pPr>
      <w:r>
        <w:rPr>
          <w:rFonts w:ascii="Arial" w:hAnsi="Arial" w:cs="Arial"/>
          <w:b/>
          <w:bCs/>
          <w:sz w:val="24"/>
          <w:szCs w:val="24"/>
        </w:rPr>
        <w:t>A) Nel merito</w:t>
      </w:r>
      <w:r>
        <w:rPr>
          <w:rFonts w:ascii="Arial" w:hAnsi="Arial" w:cs="Arial"/>
          <w:sz w:val="24"/>
          <w:szCs w:val="24"/>
        </w:rPr>
        <w:t>: rigettare integralmente il ricorso proposto da Acquedotto Pugliese S.p.A., confermando la piena legittimità e fondatezza dell’avviso di accertamento esecutivo n. 1 del 26/01/2026, emesso dal Comune di Bitritto per il recupero del Canone Unico Patrimoniale per gli anni 2021-2024;</w:t>
      </w:r>
    </w:p>
    <w:p w14:paraId="22B2E025" w14:textId="50819BD6" w:rsidR="0084655C" w:rsidRPr="006B631F" w:rsidRDefault="00CD1CE4" w:rsidP="006B631F">
      <w:pPr>
        <w:spacing w:line="360" w:lineRule="auto"/>
        <w:jc w:val="both"/>
        <w:rPr>
          <w:rFonts w:ascii="Arial" w:hAnsi="Arial" w:cs="Arial"/>
          <w:sz w:val="24"/>
          <w:szCs w:val="24"/>
        </w:rPr>
      </w:pPr>
      <w:r>
        <w:rPr>
          <w:rFonts w:ascii="Arial" w:hAnsi="Arial" w:cs="Arial"/>
          <w:b/>
          <w:bCs/>
          <w:sz w:val="24"/>
          <w:szCs w:val="24"/>
        </w:rPr>
        <w:t>B) In via subordinata</w:t>
      </w:r>
      <w:r>
        <w:rPr>
          <w:rFonts w:ascii="Arial" w:hAnsi="Arial" w:cs="Arial"/>
          <w:sz w:val="24"/>
          <w:szCs w:val="24"/>
        </w:rPr>
        <w:t>: rideterminare il Canone Unico dovuto da Acquedotto Pugliese S.p.A. al Comune di Bitritto sulla base della documentazione prodotta in giudizio e all’esito dell’attività istruttoria;</w:t>
      </w:r>
    </w:p>
    <w:p w14:paraId="1845DBF6" w14:textId="7DB58A6B" w:rsidR="0084655C" w:rsidRPr="006B631F" w:rsidRDefault="00CD1CE4" w:rsidP="006B631F">
      <w:pPr>
        <w:spacing w:line="360" w:lineRule="auto"/>
        <w:jc w:val="both"/>
        <w:rPr>
          <w:rFonts w:ascii="Arial" w:hAnsi="Arial" w:cs="Arial"/>
          <w:sz w:val="24"/>
          <w:szCs w:val="24"/>
        </w:rPr>
      </w:pPr>
      <w:r>
        <w:rPr>
          <w:rFonts w:ascii="Arial" w:hAnsi="Arial" w:cs="Arial"/>
          <w:b/>
          <w:bCs/>
          <w:sz w:val="24"/>
          <w:szCs w:val="24"/>
        </w:rPr>
        <w:t>C) In via istruttoria</w:t>
      </w:r>
      <w:r>
        <w:rPr>
          <w:rFonts w:ascii="Arial" w:hAnsi="Arial" w:cs="Arial"/>
          <w:sz w:val="24"/>
          <w:szCs w:val="24"/>
        </w:rPr>
        <w:t>: intimare ad Acquedotto Pugliese S.p.A. l’esibizione della documentazione idonea ad accertare il numero di utenze riconducibili ad essa per ciascun anno accertato;</w:t>
      </w:r>
    </w:p>
    <w:p w14:paraId="4B143532" w14:textId="77777777" w:rsidR="0084655C" w:rsidRPr="006B631F" w:rsidRDefault="0084655C" w:rsidP="006B631F">
      <w:pPr>
        <w:spacing w:line="360" w:lineRule="auto"/>
        <w:rPr>
          <w:rFonts w:ascii="Arial" w:hAnsi="Arial" w:cs="Arial"/>
          <w:sz w:val="24"/>
          <w:szCs w:val="24"/>
        </w:rPr>
      </w:pPr>
    </w:p>
    <w:p w14:paraId="6149AE48" w14:textId="754803B6" w:rsidR="0084655C" w:rsidRDefault="00CD1CE4" w:rsidP="006B631F">
      <w:pPr>
        <w:spacing w:line="360" w:lineRule="auto"/>
        <w:jc w:val="both"/>
        <w:rPr>
          <w:rFonts w:ascii="Arial" w:hAnsi="Arial" w:cs="Arial"/>
          <w:sz w:val="24"/>
          <w:szCs w:val="24"/>
        </w:rPr>
      </w:pPr>
      <w:r>
        <w:rPr>
          <w:rFonts w:ascii="Arial" w:hAnsi="Arial" w:cs="Arial"/>
          <w:b/>
          <w:bCs/>
          <w:sz w:val="24"/>
          <w:szCs w:val="24"/>
        </w:rPr>
        <w:lastRenderedPageBreak/>
        <w:t>D)  In ogni caso</w:t>
      </w:r>
      <w:r>
        <w:rPr>
          <w:rFonts w:ascii="Arial" w:hAnsi="Arial" w:cs="Arial"/>
          <w:sz w:val="24"/>
          <w:szCs w:val="24"/>
        </w:rPr>
        <w:t>: condannare Acquedotto Pugliese S.p.A. alla rifusione delle spese del presente giudizio.</w:t>
      </w:r>
    </w:p>
    <w:p w14:paraId="5C10B333" w14:textId="77777777" w:rsidR="006122C0" w:rsidRPr="006122C0" w:rsidRDefault="006122C0" w:rsidP="006122C0">
      <w:pPr>
        <w:snapToGrid w:val="0"/>
        <w:spacing w:line="360" w:lineRule="auto"/>
        <w:ind w:firstLine="708"/>
        <w:jc w:val="both"/>
        <w:rPr>
          <w:rFonts w:ascii="Arial" w:eastAsia="Arial" w:hAnsi="Arial" w:cs="Arial"/>
          <w:b/>
          <w:bCs/>
          <w:sz w:val="24"/>
          <w:szCs w:val="24"/>
          <w:u w:val="single"/>
        </w:rPr>
      </w:pPr>
      <w:r w:rsidRPr="006122C0">
        <w:rPr>
          <w:rFonts w:ascii="Arial" w:eastAsia="Arial" w:hAnsi="Arial" w:cs="Arial"/>
          <w:b/>
          <w:bCs/>
          <w:sz w:val="24"/>
          <w:szCs w:val="24"/>
          <w:u w:val="single"/>
        </w:rPr>
        <w:t>Si chiede di essere autorizzati alla trattazione della controversia con collegamento da remoto.</w:t>
      </w:r>
    </w:p>
    <w:p w14:paraId="07B791A9" w14:textId="77777777" w:rsidR="006122C0" w:rsidRPr="006122C0" w:rsidRDefault="006122C0" w:rsidP="006122C0">
      <w:pPr>
        <w:snapToGrid w:val="0"/>
        <w:spacing w:line="360" w:lineRule="auto"/>
        <w:ind w:firstLine="708"/>
        <w:jc w:val="both"/>
        <w:rPr>
          <w:rFonts w:ascii="Arial" w:eastAsia="Arial" w:hAnsi="Arial" w:cs="Arial"/>
          <w:sz w:val="24"/>
          <w:szCs w:val="24"/>
        </w:rPr>
      </w:pPr>
      <w:r w:rsidRPr="006122C0">
        <w:rPr>
          <w:rFonts w:ascii="Arial" w:eastAsia="Arial" w:hAnsi="Arial" w:cs="Arial"/>
          <w:sz w:val="24"/>
          <w:szCs w:val="24"/>
        </w:rPr>
        <w:t>Con ogni riserva.</w:t>
      </w:r>
    </w:p>
    <w:p w14:paraId="285BA39D" w14:textId="77777777" w:rsidR="006122C0" w:rsidRPr="006122C0" w:rsidRDefault="006122C0" w:rsidP="006122C0">
      <w:pPr>
        <w:snapToGrid w:val="0"/>
        <w:spacing w:line="276" w:lineRule="auto"/>
        <w:jc w:val="center"/>
        <w:rPr>
          <w:rFonts w:ascii="Arial" w:eastAsia="Arial" w:hAnsi="Arial" w:cs="Arial"/>
          <w:sz w:val="24"/>
          <w:szCs w:val="24"/>
        </w:rPr>
      </w:pPr>
      <w:r w:rsidRPr="006122C0">
        <w:rPr>
          <w:rFonts w:ascii="Arial" w:eastAsia="Arial" w:hAnsi="Arial" w:cs="Arial"/>
          <w:sz w:val="24"/>
          <w:szCs w:val="24"/>
        </w:rPr>
        <w:t>* * *</w:t>
      </w:r>
    </w:p>
    <w:p w14:paraId="5EA07FBF" w14:textId="77777777" w:rsidR="006122C0" w:rsidRPr="006122C0" w:rsidRDefault="006122C0" w:rsidP="006122C0">
      <w:pPr>
        <w:snapToGrid w:val="0"/>
        <w:spacing w:line="360" w:lineRule="auto"/>
        <w:ind w:firstLine="708"/>
        <w:jc w:val="center"/>
        <w:rPr>
          <w:rFonts w:ascii="Arial" w:eastAsia="Arial" w:hAnsi="Arial" w:cs="Arial"/>
          <w:sz w:val="24"/>
          <w:szCs w:val="24"/>
        </w:rPr>
      </w:pPr>
      <w:r w:rsidRPr="006122C0">
        <w:rPr>
          <w:rFonts w:ascii="Arial" w:eastAsia="Arial" w:hAnsi="Arial" w:cs="Arial"/>
          <w:b/>
          <w:bCs/>
          <w:sz w:val="24"/>
          <w:szCs w:val="24"/>
        </w:rPr>
        <w:t>Attestazione di conformità degli atti depositati</w:t>
      </w:r>
    </w:p>
    <w:p w14:paraId="4E51A7B0" w14:textId="750FFE8B" w:rsidR="006122C0" w:rsidRPr="006122C0" w:rsidRDefault="006122C0" w:rsidP="006122C0">
      <w:pPr>
        <w:snapToGrid w:val="0"/>
        <w:spacing w:line="360" w:lineRule="auto"/>
        <w:ind w:firstLine="708"/>
        <w:jc w:val="both"/>
        <w:rPr>
          <w:rFonts w:ascii="Arial" w:eastAsia="Arial" w:hAnsi="Arial" w:cs="Arial"/>
          <w:sz w:val="24"/>
          <w:szCs w:val="24"/>
        </w:rPr>
      </w:pPr>
      <w:r w:rsidRPr="006122C0">
        <w:rPr>
          <w:rFonts w:ascii="Arial" w:eastAsia="Arial" w:hAnsi="Arial" w:cs="Arial"/>
          <w:sz w:val="24"/>
          <w:szCs w:val="24"/>
        </w:rPr>
        <w:t xml:space="preserve">Io sottoscritta </w:t>
      </w:r>
      <w:r>
        <w:rPr>
          <w:rFonts w:ascii="Arial" w:eastAsia="Arial" w:hAnsi="Arial" w:cs="Arial"/>
          <w:sz w:val="24"/>
          <w:szCs w:val="24"/>
        </w:rPr>
        <w:t>avv. Maria Voccia De Felice</w:t>
      </w:r>
      <w:r w:rsidRPr="006122C0">
        <w:rPr>
          <w:rFonts w:ascii="Arial" w:eastAsia="Arial" w:hAnsi="Arial" w:cs="Arial"/>
          <w:sz w:val="24"/>
          <w:szCs w:val="24"/>
        </w:rPr>
        <w:t xml:space="preserve"> (c.f. </w:t>
      </w:r>
      <w:r>
        <w:rPr>
          <w:rFonts w:ascii="Arial" w:eastAsia="Arial" w:hAnsi="Arial" w:cs="Arial"/>
          <w:sz w:val="24"/>
          <w:szCs w:val="24"/>
        </w:rPr>
        <w:t>VCCMRA66M64G813U</w:t>
      </w:r>
      <w:r w:rsidRPr="006122C0">
        <w:rPr>
          <w:rFonts w:ascii="Arial" w:eastAsia="Arial" w:hAnsi="Arial" w:cs="Arial"/>
          <w:sz w:val="24"/>
          <w:szCs w:val="24"/>
        </w:rPr>
        <w:t xml:space="preserve">), in qualità di difensore nominato nel presente procedimento, attesto, ai sensi dell’art. 22, co. 2, d.lgs. 82/2005, la conformità con gli originali delle copie per immagine dei seguenti documenti depositati: </w:t>
      </w:r>
    </w:p>
    <w:p w14:paraId="3D088C4F" w14:textId="77777777" w:rsidR="0084655C" w:rsidRPr="006B631F" w:rsidRDefault="002E099D" w:rsidP="006B631F">
      <w:pPr>
        <w:spacing w:line="360" w:lineRule="auto"/>
        <w:rPr>
          <w:rFonts w:ascii="Arial" w:hAnsi="Arial" w:cs="Arial"/>
          <w:sz w:val="24"/>
          <w:szCs w:val="24"/>
        </w:rPr>
      </w:pPr>
      <w:r>
        <w:rPr>
          <w:rFonts w:ascii="Arial" w:hAnsi="Arial" w:cs="Arial"/>
          <w:b/>
          <w:bCs/>
          <w:sz w:val="24"/>
          <w:szCs w:val="24"/>
        </w:rPr>
        <w:t>A.</w:t>
      </w:r>
      <w:r>
        <w:rPr>
          <w:rFonts w:ascii="Arial" w:hAnsi="Arial" w:cs="Arial"/>
          <w:sz w:val="24"/>
          <w:szCs w:val="24"/>
        </w:rPr>
        <w:t xml:space="preserve">  Atto di citazione in opposizione notificato da Acquedotto Pugliese S.p.A. in data 1 aprile 2026.</w:t>
      </w:r>
    </w:p>
    <w:p w14:paraId="0BFB905D" w14:textId="1C4BB9BE" w:rsidR="0084655C" w:rsidRPr="006B631F" w:rsidRDefault="002E099D" w:rsidP="006B631F">
      <w:pPr>
        <w:spacing w:line="360" w:lineRule="auto"/>
        <w:rPr>
          <w:rFonts w:ascii="Arial" w:hAnsi="Arial" w:cs="Arial"/>
          <w:sz w:val="24"/>
          <w:szCs w:val="24"/>
        </w:rPr>
      </w:pPr>
      <w:r>
        <w:rPr>
          <w:rFonts w:ascii="Arial" w:hAnsi="Arial" w:cs="Arial"/>
          <w:b/>
          <w:bCs/>
          <w:sz w:val="24"/>
          <w:szCs w:val="24"/>
        </w:rPr>
        <w:t>B.</w:t>
      </w:r>
      <w:r>
        <w:rPr>
          <w:rFonts w:ascii="Arial" w:hAnsi="Arial" w:cs="Arial"/>
          <w:sz w:val="24"/>
          <w:szCs w:val="24"/>
        </w:rPr>
        <w:t xml:space="preserve">  Deliberazione di Giunta Comunale n. </w:t>
      </w:r>
      <w:r w:rsidR="006122C0">
        <w:rPr>
          <w:rFonts w:ascii="Arial" w:hAnsi="Arial" w:cs="Arial"/>
          <w:sz w:val="24"/>
          <w:szCs w:val="24"/>
        </w:rPr>
        <w:t>110</w:t>
      </w:r>
      <w:r>
        <w:rPr>
          <w:rFonts w:ascii="Arial" w:hAnsi="Arial" w:cs="Arial"/>
          <w:sz w:val="24"/>
          <w:szCs w:val="24"/>
        </w:rPr>
        <w:t xml:space="preserve"> del </w:t>
      </w:r>
      <w:r w:rsidR="006122C0">
        <w:rPr>
          <w:rFonts w:ascii="Arial" w:hAnsi="Arial" w:cs="Arial"/>
          <w:sz w:val="24"/>
          <w:szCs w:val="24"/>
        </w:rPr>
        <w:t>01/07/2026</w:t>
      </w:r>
      <w:r>
        <w:rPr>
          <w:rFonts w:ascii="Arial" w:hAnsi="Arial" w:cs="Arial"/>
          <w:sz w:val="24"/>
          <w:szCs w:val="24"/>
        </w:rPr>
        <w:t xml:space="preserve"> (costituzione in giudizio).</w:t>
      </w:r>
    </w:p>
    <w:p w14:paraId="7A14DFA5" w14:textId="77777777" w:rsidR="0084655C" w:rsidRPr="006B631F" w:rsidRDefault="002E099D" w:rsidP="006B631F">
      <w:pPr>
        <w:spacing w:line="360" w:lineRule="auto"/>
        <w:rPr>
          <w:rFonts w:ascii="Arial" w:hAnsi="Arial" w:cs="Arial"/>
          <w:sz w:val="24"/>
          <w:szCs w:val="24"/>
        </w:rPr>
      </w:pPr>
      <w:r>
        <w:rPr>
          <w:rFonts w:ascii="Arial" w:hAnsi="Arial" w:cs="Arial"/>
          <w:b/>
          <w:bCs/>
          <w:sz w:val="24"/>
          <w:szCs w:val="24"/>
        </w:rPr>
        <w:t>1)</w:t>
      </w:r>
      <w:r>
        <w:rPr>
          <w:rFonts w:ascii="Arial" w:hAnsi="Arial" w:cs="Arial"/>
          <w:sz w:val="24"/>
          <w:szCs w:val="24"/>
        </w:rPr>
        <w:t xml:space="preserve">  Delibera di Consiglio Comunale n. 7 del 01/03/2021 (Regolamento CUP).</w:t>
      </w:r>
    </w:p>
    <w:p w14:paraId="0DD4C4A4" w14:textId="77777777" w:rsidR="0084655C" w:rsidRPr="006B631F" w:rsidRDefault="002E099D" w:rsidP="006B631F">
      <w:pPr>
        <w:spacing w:line="360" w:lineRule="auto"/>
        <w:rPr>
          <w:rFonts w:ascii="Arial" w:hAnsi="Arial" w:cs="Arial"/>
          <w:sz w:val="24"/>
          <w:szCs w:val="24"/>
        </w:rPr>
      </w:pPr>
      <w:r>
        <w:rPr>
          <w:rFonts w:ascii="Arial" w:hAnsi="Arial" w:cs="Arial"/>
          <w:b/>
          <w:bCs/>
          <w:sz w:val="24"/>
          <w:szCs w:val="24"/>
        </w:rPr>
        <w:t>2)</w:t>
      </w:r>
      <w:r>
        <w:rPr>
          <w:rFonts w:ascii="Arial" w:hAnsi="Arial" w:cs="Arial"/>
          <w:sz w:val="24"/>
          <w:szCs w:val="24"/>
        </w:rPr>
        <w:t xml:space="preserve">  Determinazione n. 64 del 11/04/2025 (affidamento incarico ad Archivia Solution S.p.A.).</w:t>
      </w:r>
    </w:p>
    <w:p w14:paraId="36887942" w14:textId="77777777" w:rsidR="0084655C" w:rsidRPr="006B631F" w:rsidRDefault="002E099D" w:rsidP="006B631F">
      <w:pPr>
        <w:spacing w:line="360" w:lineRule="auto"/>
        <w:rPr>
          <w:rFonts w:ascii="Arial" w:hAnsi="Arial" w:cs="Arial"/>
          <w:sz w:val="24"/>
          <w:szCs w:val="24"/>
        </w:rPr>
      </w:pPr>
      <w:r>
        <w:rPr>
          <w:rFonts w:ascii="Arial" w:hAnsi="Arial" w:cs="Arial"/>
          <w:b/>
          <w:bCs/>
          <w:sz w:val="24"/>
          <w:szCs w:val="24"/>
        </w:rPr>
        <w:t>3)</w:t>
      </w:r>
      <w:r>
        <w:rPr>
          <w:rFonts w:ascii="Arial" w:hAnsi="Arial" w:cs="Arial"/>
          <w:sz w:val="24"/>
          <w:szCs w:val="24"/>
        </w:rPr>
        <w:t xml:space="preserve">  Nota Archivia Solution del 12/06/2025 (prima richiesta dichiarazione utenze e versamenti).</w:t>
      </w:r>
    </w:p>
    <w:p w14:paraId="2CA09CDD" w14:textId="77777777" w:rsidR="0084655C" w:rsidRPr="006B631F" w:rsidRDefault="002E099D" w:rsidP="006B631F">
      <w:pPr>
        <w:spacing w:line="360" w:lineRule="auto"/>
        <w:rPr>
          <w:rFonts w:ascii="Arial" w:hAnsi="Arial" w:cs="Arial"/>
          <w:sz w:val="24"/>
          <w:szCs w:val="24"/>
        </w:rPr>
      </w:pPr>
      <w:r>
        <w:rPr>
          <w:rFonts w:ascii="Arial" w:hAnsi="Arial" w:cs="Arial"/>
          <w:b/>
          <w:bCs/>
          <w:sz w:val="24"/>
          <w:szCs w:val="24"/>
        </w:rPr>
        <w:t>4)</w:t>
      </w:r>
      <w:r>
        <w:rPr>
          <w:rFonts w:ascii="Arial" w:hAnsi="Arial" w:cs="Arial"/>
          <w:sz w:val="24"/>
          <w:szCs w:val="24"/>
        </w:rPr>
        <w:t xml:space="preserve">  Riscontro Acquedotto Pugliese del 18/06/2025 (prot. n. 42998/2025).</w:t>
      </w:r>
    </w:p>
    <w:p w14:paraId="28AE937E" w14:textId="77777777" w:rsidR="0084655C" w:rsidRPr="006B631F" w:rsidRDefault="002E099D" w:rsidP="006B631F">
      <w:pPr>
        <w:spacing w:line="360" w:lineRule="auto"/>
        <w:rPr>
          <w:rFonts w:ascii="Arial" w:hAnsi="Arial" w:cs="Arial"/>
          <w:sz w:val="24"/>
          <w:szCs w:val="24"/>
        </w:rPr>
      </w:pPr>
      <w:r>
        <w:rPr>
          <w:rFonts w:ascii="Arial" w:hAnsi="Arial" w:cs="Arial"/>
          <w:b/>
          <w:bCs/>
          <w:sz w:val="24"/>
          <w:szCs w:val="24"/>
        </w:rPr>
        <w:t>5)</w:t>
      </w:r>
      <w:r>
        <w:rPr>
          <w:rFonts w:ascii="Arial" w:hAnsi="Arial" w:cs="Arial"/>
          <w:sz w:val="24"/>
          <w:szCs w:val="24"/>
        </w:rPr>
        <w:t xml:space="preserve">  Nota Archivia Solution del 28/08/2025 (replica e reiterazione richiesta dati).</w:t>
      </w:r>
    </w:p>
    <w:p w14:paraId="4C5D0E02" w14:textId="77777777" w:rsidR="0084655C" w:rsidRPr="006B631F" w:rsidRDefault="002E099D" w:rsidP="006B631F">
      <w:pPr>
        <w:spacing w:line="360" w:lineRule="auto"/>
        <w:rPr>
          <w:rFonts w:ascii="Arial" w:hAnsi="Arial" w:cs="Arial"/>
          <w:sz w:val="24"/>
          <w:szCs w:val="24"/>
        </w:rPr>
      </w:pPr>
      <w:r>
        <w:rPr>
          <w:rFonts w:ascii="Arial" w:hAnsi="Arial" w:cs="Arial"/>
          <w:b/>
          <w:bCs/>
          <w:sz w:val="24"/>
          <w:szCs w:val="24"/>
        </w:rPr>
        <w:t>6)</w:t>
      </w:r>
      <w:r>
        <w:rPr>
          <w:rFonts w:ascii="Arial" w:hAnsi="Arial" w:cs="Arial"/>
          <w:sz w:val="24"/>
          <w:szCs w:val="24"/>
        </w:rPr>
        <w:t xml:space="preserve">  Avviso di accertamento esecutivo n. 1 del 26/01/2026.</w:t>
      </w:r>
    </w:p>
    <w:p w14:paraId="1AF63201" w14:textId="77777777" w:rsidR="0084655C" w:rsidRPr="006B631F" w:rsidRDefault="002E099D" w:rsidP="006B631F">
      <w:pPr>
        <w:spacing w:line="360" w:lineRule="auto"/>
        <w:rPr>
          <w:rFonts w:ascii="Arial" w:hAnsi="Arial" w:cs="Arial"/>
          <w:sz w:val="24"/>
          <w:szCs w:val="24"/>
        </w:rPr>
      </w:pPr>
      <w:r>
        <w:rPr>
          <w:rFonts w:ascii="Arial" w:hAnsi="Arial" w:cs="Arial"/>
          <w:b/>
          <w:bCs/>
          <w:sz w:val="24"/>
          <w:szCs w:val="24"/>
        </w:rPr>
        <w:t>7)</w:t>
      </w:r>
      <w:r>
        <w:rPr>
          <w:rFonts w:ascii="Arial" w:hAnsi="Arial" w:cs="Arial"/>
          <w:sz w:val="24"/>
          <w:szCs w:val="24"/>
        </w:rPr>
        <w:t xml:space="preserve">  Sentenza Cass. SS.UU. n. 12225 del 1° maggio 2026.</w:t>
      </w:r>
    </w:p>
    <w:p w14:paraId="28EF3646" w14:textId="77777777" w:rsidR="0084655C" w:rsidRPr="006B631F" w:rsidRDefault="002E099D" w:rsidP="006B631F">
      <w:pPr>
        <w:spacing w:line="360" w:lineRule="auto"/>
        <w:rPr>
          <w:rFonts w:ascii="Arial" w:hAnsi="Arial" w:cs="Arial"/>
          <w:sz w:val="24"/>
          <w:szCs w:val="24"/>
        </w:rPr>
      </w:pPr>
      <w:r>
        <w:rPr>
          <w:rFonts w:ascii="Arial" w:hAnsi="Arial" w:cs="Arial"/>
          <w:b/>
          <w:bCs/>
          <w:sz w:val="24"/>
          <w:szCs w:val="24"/>
        </w:rPr>
        <w:t>8)</w:t>
      </w:r>
      <w:r>
        <w:rPr>
          <w:rFonts w:ascii="Arial" w:hAnsi="Arial" w:cs="Arial"/>
          <w:sz w:val="24"/>
          <w:szCs w:val="24"/>
        </w:rPr>
        <w:t xml:space="preserve">  Sentenza Corte d’Appello di Venezia n. 3441/2025.</w:t>
      </w:r>
    </w:p>
    <w:p w14:paraId="7C01E335" w14:textId="77777777" w:rsidR="0084655C" w:rsidRPr="006B631F" w:rsidRDefault="002E099D" w:rsidP="006B631F">
      <w:pPr>
        <w:spacing w:line="360" w:lineRule="auto"/>
        <w:rPr>
          <w:rFonts w:ascii="Arial" w:hAnsi="Arial" w:cs="Arial"/>
          <w:sz w:val="24"/>
          <w:szCs w:val="24"/>
        </w:rPr>
      </w:pPr>
      <w:r>
        <w:rPr>
          <w:rFonts w:ascii="Arial" w:hAnsi="Arial" w:cs="Arial"/>
          <w:b/>
          <w:bCs/>
          <w:sz w:val="24"/>
          <w:szCs w:val="24"/>
        </w:rPr>
        <w:t>9)</w:t>
      </w:r>
      <w:r>
        <w:rPr>
          <w:rFonts w:ascii="Arial" w:hAnsi="Arial" w:cs="Arial"/>
          <w:sz w:val="24"/>
          <w:szCs w:val="24"/>
        </w:rPr>
        <w:t xml:space="preserve">  Sentenza Tribunale di Rovigo del 22 novembre 2024.</w:t>
      </w:r>
    </w:p>
    <w:p w14:paraId="6F7668E7" w14:textId="77777777" w:rsidR="0084655C" w:rsidRPr="006B631F" w:rsidRDefault="002E099D" w:rsidP="006B631F">
      <w:pPr>
        <w:spacing w:line="360" w:lineRule="auto"/>
        <w:rPr>
          <w:rFonts w:ascii="Arial" w:hAnsi="Arial" w:cs="Arial"/>
          <w:sz w:val="24"/>
          <w:szCs w:val="24"/>
        </w:rPr>
      </w:pPr>
      <w:r>
        <w:rPr>
          <w:rFonts w:ascii="Arial" w:hAnsi="Arial" w:cs="Arial"/>
          <w:b/>
          <w:bCs/>
          <w:sz w:val="24"/>
          <w:szCs w:val="24"/>
        </w:rPr>
        <w:t>10)</w:t>
      </w:r>
      <w:r>
        <w:rPr>
          <w:rFonts w:ascii="Arial" w:hAnsi="Arial" w:cs="Arial"/>
          <w:sz w:val="24"/>
          <w:szCs w:val="24"/>
        </w:rPr>
        <w:t xml:space="preserve">  Sentenza CGT II grado Emilia-Romagna n. 526/2024.</w:t>
      </w:r>
    </w:p>
    <w:p w14:paraId="12DF4D08" w14:textId="0CCE77E3" w:rsidR="0084655C" w:rsidRPr="006B631F" w:rsidRDefault="002E099D" w:rsidP="006B631F">
      <w:pPr>
        <w:spacing w:line="360" w:lineRule="auto"/>
        <w:rPr>
          <w:rFonts w:ascii="Arial" w:hAnsi="Arial" w:cs="Arial"/>
          <w:sz w:val="24"/>
          <w:szCs w:val="24"/>
        </w:rPr>
      </w:pPr>
      <w:r>
        <w:rPr>
          <w:rFonts w:ascii="Arial" w:hAnsi="Arial" w:cs="Arial"/>
          <w:b/>
          <w:bCs/>
          <w:sz w:val="24"/>
          <w:szCs w:val="24"/>
        </w:rPr>
        <w:t>11)</w:t>
      </w:r>
      <w:r>
        <w:rPr>
          <w:rFonts w:ascii="Arial" w:hAnsi="Arial" w:cs="Arial"/>
          <w:sz w:val="24"/>
          <w:szCs w:val="24"/>
        </w:rPr>
        <w:t xml:space="preserve">  </w:t>
      </w:r>
      <w:r>
        <w:rPr>
          <w:rFonts w:ascii="Arial" w:hAnsi="Arial" w:cs="Arial"/>
          <w:sz w:val="24"/>
          <w:szCs w:val="24"/>
        </w:rPr>
        <w:t>Sentenza Cass. Sez. trib. n. 16866/2025.</w:t>
      </w:r>
    </w:p>
    <w:p w14:paraId="063BEAAF" w14:textId="68BCF49D" w:rsidR="0084655C" w:rsidRPr="006B631F" w:rsidRDefault="002E099D" w:rsidP="006B631F">
      <w:pPr>
        <w:spacing w:line="360" w:lineRule="auto"/>
        <w:rPr>
          <w:rFonts w:ascii="Arial" w:hAnsi="Arial" w:cs="Arial"/>
          <w:sz w:val="24"/>
          <w:szCs w:val="24"/>
        </w:rPr>
      </w:pPr>
      <w:r>
        <w:rPr>
          <w:rFonts w:ascii="Arial" w:hAnsi="Arial" w:cs="Arial"/>
          <w:sz w:val="24"/>
          <w:szCs w:val="24"/>
        </w:rPr>
        <w:t xml:space="preserve">Bitritto – Salerno, </w:t>
      </w:r>
      <w:r w:rsidR="006122C0">
        <w:rPr>
          <w:rFonts w:ascii="Arial" w:hAnsi="Arial" w:cs="Arial"/>
          <w:sz w:val="24"/>
          <w:szCs w:val="24"/>
        </w:rPr>
        <w:t>14.07.2026</w:t>
      </w:r>
    </w:p>
    <w:p w14:paraId="43A6DDD1" w14:textId="77777777" w:rsidR="0084655C" w:rsidRPr="006B631F" w:rsidRDefault="0084655C" w:rsidP="006B631F">
      <w:pPr>
        <w:spacing w:line="360" w:lineRule="auto"/>
        <w:rPr>
          <w:rFonts w:ascii="Arial" w:hAnsi="Arial" w:cs="Arial"/>
          <w:sz w:val="24"/>
          <w:szCs w:val="24"/>
        </w:rPr>
      </w:pPr>
    </w:p>
    <w:p w14:paraId="73987523" w14:textId="77777777" w:rsidR="0084655C" w:rsidRPr="006B631F" w:rsidRDefault="002E099D" w:rsidP="006B631F">
      <w:pPr>
        <w:spacing w:line="360" w:lineRule="auto"/>
        <w:jc w:val="right"/>
        <w:rPr>
          <w:rFonts w:ascii="Arial" w:hAnsi="Arial" w:cs="Arial"/>
          <w:sz w:val="24"/>
          <w:szCs w:val="24"/>
        </w:rPr>
      </w:pPr>
      <w:r>
        <w:rPr>
          <w:rFonts w:ascii="Arial" w:hAnsi="Arial" w:cs="Arial"/>
          <w:b/>
          <w:bCs/>
          <w:sz w:val="24"/>
          <w:szCs w:val="24"/>
        </w:rPr>
        <w:t>Avv. Maria Voccia De Felice</w:t>
      </w:r>
    </w:p>
    <w:sectPr w:rsidR="0084655C" w:rsidRPr="006B631F" w:rsidSect="001E1359">
      <w:footerReference w:type="default" r:id="rId8"/>
      <w:pgSz w:w="11906" w:h="16838"/>
      <w:pgMar w:top="567"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07A54" w14:textId="77777777" w:rsidR="002E099D" w:rsidRDefault="002E099D" w:rsidP="00C4719E">
      <w:r>
        <w:separator/>
      </w:r>
    </w:p>
  </w:endnote>
  <w:endnote w:type="continuationSeparator" w:id="0">
    <w:p w14:paraId="07F75995" w14:textId="77777777" w:rsidR="002E099D" w:rsidRDefault="002E099D" w:rsidP="00C47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6536669"/>
      <w:docPartObj>
        <w:docPartGallery w:val="Page Numbers (Bottom of Page)"/>
        <w:docPartUnique/>
      </w:docPartObj>
    </w:sdtPr>
    <w:sdtContent>
      <w:p w14:paraId="7B6E64B8" w14:textId="45F7B9D7" w:rsidR="00C4719E" w:rsidRDefault="00C4719E">
        <w:pPr>
          <w:pStyle w:val="Pidipagina"/>
          <w:jc w:val="center"/>
        </w:pPr>
        <w:r>
          <w:fldChar w:fldCharType="begin"/>
        </w:r>
        <w:r>
          <w:instrText>PAGE   \* MERGEFORMAT</w:instrText>
        </w:r>
        <w:r>
          <w:fldChar w:fldCharType="separate"/>
        </w:r>
        <w:r>
          <w:t>2</w:t>
        </w:r>
        <w:r>
          <w:fldChar w:fldCharType="end"/>
        </w:r>
      </w:p>
    </w:sdtContent>
  </w:sdt>
  <w:p w14:paraId="61684D1F" w14:textId="77777777" w:rsidR="00C4719E" w:rsidRDefault="00C4719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93664" w14:textId="77777777" w:rsidR="002E099D" w:rsidRDefault="002E099D" w:rsidP="00C4719E">
      <w:r>
        <w:separator/>
      </w:r>
    </w:p>
  </w:footnote>
  <w:footnote w:type="continuationSeparator" w:id="0">
    <w:p w14:paraId="297CEF3E" w14:textId="77777777" w:rsidR="002E099D" w:rsidRDefault="002E099D" w:rsidP="00C471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1F76"/>
    <w:multiLevelType w:val="hybridMultilevel"/>
    <w:tmpl w:val="4972E9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2A27899"/>
    <w:multiLevelType w:val="hybridMultilevel"/>
    <w:tmpl w:val="EC24E7C4"/>
    <w:lvl w:ilvl="0" w:tplc="041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6F9109D"/>
    <w:multiLevelType w:val="hybridMultilevel"/>
    <w:tmpl w:val="5E60F56E"/>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13A3384"/>
    <w:multiLevelType w:val="hybridMultilevel"/>
    <w:tmpl w:val="F4340BA8"/>
    <w:lvl w:ilvl="0" w:tplc="376234F0">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FF25636"/>
    <w:multiLevelType w:val="hybridMultilevel"/>
    <w:tmpl w:val="4FE228E0"/>
    <w:lvl w:ilvl="0" w:tplc="376234F0">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59D400B"/>
    <w:multiLevelType w:val="hybridMultilevel"/>
    <w:tmpl w:val="6B7CE09E"/>
    <w:lvl w:ilvl="0" w:tplc="B38EC42E">
      <w:start w:val="1"/>
      <w:numFmt w:val="bullet"/>
      <w:lvlText w:val="●"/>
      <w:lvlJc w:val="left"/>
      <w:pPr>
        <w:ind w:left="720" w:hanging="360"/>
      </w:pPr>
    </w:lvl>
    <w:lvl w:ilvl="1" w:tplc="D3D411DC">
      <w:start w:val="1"/>
      <w:numFmt w:val="bullet"/>
      <w:lvlText w:val="○"/>
      <w:lvlJc w:val="left"/>
      <w:pPr>
        <w:ind w:left="1440" w:hanging="360"/>
      </w:pPr>
    </w:lvl>
    <w:lvl w:ilvl="2" w:tplc="A2341C3E">
      <w:start w:val="1"/>
      <w:numFmt w:val="bullet"/>
      <w:lvlText w:val="■"/>
      <w:lvlJc w:val="left"/>
      <w:pPr>
        <w:ind w:left="2160" w:hanging="360"/>
      </w:pPr>
    </w:lvl>
    <w:lvl w:ilvl="3" w:tplc="F78A321E">
      <w:start w:val="1"/>
      <w:numFmt w:val="bullet"/>
      <w:lvlText w:val="●"/>
      <w:lvlJc w:val="left"/>
      <w:pPr>
        <w:ind w:left="2880" w:hanging="360"/>
      </w:pPr>
    </w:lvl>
    <w:lvl w:ilvl="4" w:tplc="2152C47C">
      <w:start w:val="1"/>
      <w:numFmt w:val="bullet"/>
      <w:lvlText w:val="○"/>
      <w:lvlJc w:val="left"/>
      <w:pPr>
        <w:ind w:left="3600" w:hanging="360"/>
      </w:pPr>
    </w:lvl>
    <w:lvl w:ilvl="5" w:tplc="3AD689B6">
      <w:start w:val="1"/>
      <w:numFmt w:val="bullet"/>
      <w:lvlText w:val="■"/>
      <w:lvlJc w:val="left"/>
      <w:pPr>
        <w:ind w:left="4320" w:hanging="360"/>
      </w:pPr>
    </w:lvl>
    <w:lvl w:ilvl="6" w:tplc="AF0E3616">
      <w:start w:val="1"/>
      <w:numFmt w:val="bullet"/>
      <w:lvlText w:val="●"/>
      <w:lvlJc w:val="left"/>
      <w:pPr>
        <w:ind w:left="5040" w:hanging="360"/>
      </w:pPr>
    </w:lvl>
    <w:lvl w:ilvl="7" w:tplc="7CB6D060">
      <w:start w:val="1"/>
      <w:numFmt w:val="bullet"/>
      <w:lvlText w:val="●"/>
      <w:lvlJc w:val="left"/>
      <w:pPr>
        <w:ind w:left="5760" w:hanging="360"/>
      </w:pPr>
    </w:lvl>
    <w:lvl w:ilvl="8" w:tplc="8DDEE790">
      <w:start w:val="1"/>
      <w:numFmt w:val="bullet"/>
      <w:lvlText w:val="●"/>
      <w:lvlJc w:val="left"/>
      <w:pPr>
        <w:ind w:left="6480" w:hanging="360"/>
      </w:pPr>
    </w:lvl>
  </w:abstractNum>
  <w:num w:numId="1" w16cid:durableId="981929583">
    <w:abstractNumId w:val="5"/>
    <w:lvlOverride w:ilvl="0">
      <w:startOverride w:val="1"/>
    </w:lvlOverride>
  </w:num>
  <w:num w:numId="2" w16cid:durableId="49811406">
    <w:abstractNumId w:val="0"/>
  </w:num>
  <w:num w:numId="3" w16cid:durableId="148637776">
    <w:abstractNumId w:val="4"/>
  </w:num>
  <w:num w:numId="4" w16cid:durableId="187568583">
    <w:abstractNumId w:val="3"/>
  </w:num>
  <w:num w:numId="5" w16cid:durableId="1396583736">
    <w:abstractNumId w:val="1"/>
  </w:num>
  <w:num w:numId="6" w16cid:durableId="330454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55C"/>
    <w:rsid w:val="000C2B14"/>
    <w:rsid w:val="000D3684"/>
    <w:rsid w:val="001224CF"/>
    <w:rsid w:val="001E1359"/>
    <w:rsid w:val="002116FC"/>
    <w:rsid w:val="00216527"/>
    <w:rsid w:val="002E099D"/>
    <w:rsid w:val="003C2C08"/>
    <w:rsid w:val="00403277"/>
    <w:rsid w:val="00414E6E"/>
    <w:rsid w:val="00486F44"/>
    <w:rsid w:val="00534FF4"/>
    <w:rsid w:val="00573EA8"/>
    <w:rsid w:val="005762EB"/>
    <w:rsid w:val="00580FF3"/>
    <w:rsid w:val="005A214B"/>
    <w:rsid w:val="006122C0"/>
    <w:rsid w:val="00617774"/>
    <w:rsid w:val="006B631F"/>
    <w:rsid w:val="00724D1C"/>
    <w:rsid w:val="007B1BA2"/>
    <w:rsid w:val="0084655C"/>
    <w:rsid w:val="008B773A"/>
    <w:rsid w:val="008D24F3"/>
    <w:rsid w:val="00912027"/>
    <w:rsid w:val="009D462E"/>
    <w:rsid w:val="00A00162"/>
    <w:rsid w:val="00BA7DED"/>
    <w:rsid w:val="00C4719E"/>
    <w:rsid w:val="00CD1CE4"/>
    <w:rsid w:val="00CE215D"/>
    <w:rsid w:val="00D306EE"/>
    <w:rsid w:val="00E13C32"/>
    <w:rsid w:val="00E3470C"/>
    <w:rsid w:val="00E771EC"/>
    <w:rsid w:val="00F61AC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11D73"/>
  <w15:docId w15:val="{967BB4B1-57C1-407F-B31F-31CE2FF97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 w:type="character" w:styleId="Menzionenonrisolta">
    <w:name w:val="Unresolved Mention"/>
    <w:basedOn w:val="Carpredefinitoparagrafo"/>
    <w:uiPriority w:val="99"/>
    <w:semiHidden/>
    <w:unhideWhenUsed/>
    <w:rsid w:val="007B1BA2"/>
    <w:rPr>
      <w:color w:val="605E5C"/>
      <w:shd w:val="clear" w:color="auto" w:fill="E1DFDD"/>
    </w:rPr>
  </w:style>
  <w:style w:type="paragraph" w:styleId="Intestazione">
    <w:name w:val="header"/>
    <w:basedOn w:val="Normale"/>
    <w:link w:val="IntestazioneCarattere"/>
    <w:uiPriority w:val="99"/>
    <w:unhideWhenUsed/>
    <w:rsid w:val="00C4719E"/>
    <w:pPr>
      <w:tabs>
        <w:tab w:val="center" w:pos="4819"/>
        <w:tab w:val="right" w:pos="9638"/>
      </w:tabs>
    </w:pPr>
  </w:style>
  <w:style w:type="character" w:customStyle="1" w:styleId="IntestazioneCarattere">
    <w:name w:val="Intestazione Carattere"/>
    <w:basedOn w:val="Carpredefinitoparagrafo"/>
    <w:link w:val="Intestazione"/>
    <w:uiPriority w:val="99"/>
    <w:rsid w:val="00C4719E"/>
  </w:style>
  <w:style w:type="paragraph" w:styleId="Pidipagina">
    <w:name w:val="footer"/>
    <w:basedOn w:val="Normale"/>
    <w:link w:val="PidipaginaCarattere"/>
    <w:uiPriority w:val="99"/>
    <w:unhideWhenUsed/>
    <w:rsid w:val="00C4719E"/>
    <w:pPr>
      <w:tabs>
        <w:tab w:val="center" w:pos="4819"/>
        <w:tab w:val="right" w:pos="9638"/>
      </w:tabs>
    </w:pPr>
  </w:style>
  <w:style w:type="character" w:customStyle="1" w:styleId="PidipaginaCarattere">
    <w:name w:val="Piè di pagina Carattere"/>
    <w:basedOn w:val="Carpredefinitoparagrafo"/>
    <w:link w:val="Pidipagina"/>
    <w:uiPriority w:val="99"/>
    <w:rsid w:val="00C471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mvocciaordsa@pec.giuffre.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9</Pages>
  <Words>3348</Words>
  <Characters>19090</Characters>
  <Application>Microsoft Office Word</Application>
  <DocSecurity>0</DocSecurity>
  <Lines>159</Lines>
  <Paragraphs>44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Voccia de Felice</cp:lastModifiedBy>
  <cp:revision>12</cp:revision>
  <cp:lastPrinted>2026-07-14T11:51:00Z</cp:lastPrinted>
  <dcterms:created xsi:type="dcterms:W3CDTF">2026-06-07T09:12:00Z</dcterms:created>
  <dcterms:modified xsi:type="dcterms:W3CDTF">2026-07-14T12:01:00Z</dcterms:modified>
</cp:coreProperties>
</file>