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13EB552" w14:textId="77777777" w:rsidR="00BF23ED" w:rsidRDefault="00D80285" w:rsidP="00513BDD">
      <w:pPr>
        <w:jc w:val="center"/>
      </w:pPr>
      <w:r>
        <w:rPr>
          <w:b/>
          <w:bCs/>
        </w:rPr>
        <w:t>Maria Voccia De Felice</w:t>
      </w:r>
    </w:p>
    <w:p w14:paraId="1DBED1C0" w14:textId="77777777" w:rsidR="00BF23ED" w:rsidRDefault="00D80285" w:rsidP="00513BDD">
      <w:pPr>
        <w:jc w:val="center"/>
      </w:pPr>
      <w:r>
        <w:rPr>
          <w:b/>
          <w:bCs/>
        </w:rPr>
        <w:t>Avvocato</w:t>
      </w:r>
    </w:p>
    <w:p w14:paraId="3C8166C0" w14:textId="77777777" w:rsidR="00BF23ED" w:rsidRDefault="00D80285" w:rsidP="00513BDD">
      <w:pPr>
        <w:jc w:val="center"/>
      </w:pPr>
      <w:r>
        <w:rPr>
          <w:b/>
          <w:bCs/>
        </w:rPr>
        <w:t>Patrocinante in Cassazione</w:t>
      </w:r>
    </w:p>
    <w:p w14:paraId="4B4FAFD6" w14:textId="77777777" w:rsidR="00BF23ED" w:rsidRDefault="00D80285" w:rsidP="00513BDD">
      <w:pPr>
        <w:jc w:val="center"/>
      </w:pPr>
      <w:r>
        <w:rPr>
          <w:b/>
          <w:bCs/>
        </w:rPr>
        <w:t>Salerno - Via G. Vicinanza n. 42 – 84123</w:t>
      </w:r>
    </w:p>
    <w:p w14:paraId="4B1987A6" w14:textId="77777777" w:rsidR="00BF23ED" w:rsidRDefault="00D80285" w:rsidP="00513BDD">
      <w:pPr>
        <w:jc w:val="center"/>
      </w:pPr>
      <w:r>
        <w:rPr>
          <w:b/>
          <w:bCs/>
        </w:rPr>
        <w:t xml:space="preserve">tel. </w:t>
      </w:r>
      <w:proofErr w:type="gramStart"/>
      <w:r>
        <w:rPr>
          <w:b/>
          <w:bCs/>
        </w:rPr>
        <w:t>089237255  fax</w:t>
      </w:r>
      <w:proofErr w:type="gramEnd"/>
      <w:r>
        <w:rPr>
          <w:b/>
          <w:bCs/>
        </w:rPr>
        <w:t xml:space="preserve"> 0892581656</w:t>
      </w:r>
    </w:p>
    <w:p w14:paraId="2D75BC27" w14:textId="77777777" w:rsidR="00BF23ED" w:rsidRDefault="00D80285" w:rsidP="00513BDD">
      <w:pPr>
        <w:jc w:val="center"/>
      </w:pPr>
      <w:r>
        <w:rPr>
          <w:b/>
          <w:bCs/>
        </w:rPr>
        <w:t>mobile 335 6329269</w:t>
      </w:r>
    </w:p>
    <w:p w14:paraId="18BFFDA3" w14:textId="77777777" w:rsidR="00BF23ED" w:rsidRDefault="00D80285" w:rsidP="00513BDD">
      <w:pPr>
        <w:jc w:val="center"/>
      </w:pPr>
      <w:r>
        <w:rPr>
          <w:b/>
          <w:bCs/>
        </w:rPr>
        <w:t xml:space="preserve">mail: </w:t>
      </w:r>
      <w:proofErr w:type="gramStart"/>
      <w:r>
        <w:rPr>
          <w:b/>
          <w:bCs/>
        </w:rPr>
        <w:t xml:space="preserve">mvoccia@vocciaspa.com  </w:t>
      </w:r>
      <w:proofErr w:type="spellStart"/>
      <w:r>
        <w:rPr>
          <w:b/>
          <w:bCs/>
        </w:rPr>
        <w:t>pec</w:t>
      </w:r>
      <w:proofErr w:type="spellEnd"/>
      <w:proofErr w:type="gramEnd"/>
      <w:r>
        <w:rPr>
          <w:b/>
          <w:bCs/>
        </w:rPr>
        <w:t>: mvocciaordsa@pec.giuffre.it</w:t>
      </w:r>
    </w:p>
    <w:p w14:paraId="1872050C" w14:textId="77777777" w:rsidR="00BF23ED" w:rsidRDefault="00BF23ED">
      <w:pPr>
        <w:spacing w:line="360" w:lineRule="auto"/>
      </w:pPr>
    </w:p>
    <w:p w14:paraId="693864FD" w14:textId="77777777" w:rsidR="00BF23ED" w:rsidRDefault="00D80285">
      <w:pPr>
        <w:spacing w:line="360" w:lineRule="auto"/>
        <w:jc w:val="center"/>
      </w:pPr>
      <w:r>
        <w:rPr>
          <w:b/>
          <w:bCs/>
        </w:rPr>
        <w:t>TRIBUNALE CIVILE DI PAVIA</w:t>
      </w:r>
    </w:p>
    <w:p w14:paraId="338730A0" w14:textId="084A0DA0" w:rsidR="00BF23ED" w:rsidRDefault="00D80285">
      <w:pPr>
        <w:spacing w:line="360" w:lineRule="auto"/>
        <w:jc w:val="center"/>
      </w:pPr>
      <w:r>
        <w:rPr>
          <w:b/>
          <w:bCs/>
        </w:rPr>
        <w:t xml:space="preserve">R.G. n. </w:t>
      </w:r>
      <w:r w:rsidR="001A26E8">
        <w:rPr>
          <w:b/>
          <w:bCs/>
        </w:rPr>
        <w:t>1584</w:t>
      </w:r>
      <w:r>
        <w:rPr>
          <w:b/>
          <w:bCs/>
        </w:rPr>
        <w:t>/2026</w:t>
      </w:r>
    </w:p>
    <w:p w14:paraId="6461477C" w14:textId="5C5A42C3" w:rsidR="00BF23ED" w:rsidRDefault="00D80285">
      <w:pPr>
        <w:spacing w:line="360" w:lineRule="auto"/>
        <w:jc w:val="center"/>
      </w:pPr>
      <w:r>
        <w:rPr>
          <w:b/>
          <w:bCs/>
        </w:rPr>
        <w:t xml:space="preserve">Giudice Dott. </w:t>
      </w:r>
      <w:r w:rsidR="001A26E8">
        <w:rPr>
          <w:b/>
          <w:bCs/>
        </w:rPr>
        <w:t>BUSSI</w:t>
      </w:r>
    </w:p>
    <w:p w14:paraId="03004654" w14:textId="77777777" w:rsidR="00BF23ED" w:rsidRDefault="00D80285">
      <w:pPr>
        <w:spacing w:line="360" w:lineRule="auto"/>
        <w:jc w:val="center"/>
      </w:pPr>
      <w:r>
        <w:rPr>
          <w:b/>
          <w:bCs/>
        </w:rPr>
        <w:t>Udienza 21.10.2026</w:t>
      </w:r>
    </w:p>
    <w:p w14:paraId="3C96B5AB" w14:textId="77777777" w:rsidR="00BF23ED" w:rsidRDefault="00BF23ED">
      <w:pPr>
        <w:spacing w:line="360" w:lineRule="auto"/>
      </w:pPr>
    </w:p>
    <w:p w14:paraId="7CC440F4" w14:textId="77777777" w:rsidR="00BF23ED" w:rsidRDefault="00D80285">
      <w:pPr>
        <w:spacing w:line="360" w:lineRule="auto"/>
        <w:jc w:val="center"/>
      </w:pPr>
      <w:r>
        <w:rPr>
          <w:b/>
          <w:bCs/>
        </w:rPr>
        <w:t>COMPARSA DI COSTITUZIONE E RISPOSTA</w:t>
      </w:r>
    </w:p>
    <w:p w14:paraId="0FFCCDB3" w14:textId="77777777" w:rsidR="00BF23ED" w:rsidRDefault="00BF23ED">
      <w:pPr>
        <w:spacing w:line="360" w:lineRule="auto"/>
      </w:pPr>
    </w:p>
    <w:p w14:paraId="706C05A5" w14:textId="0544251A" w:rsidR="00BF23ED" w:rsidRPr="00513BDD" w:rsidRDefault="00513BDD">
      <w:pPr>
        <w:spacing w:line="360" w:lineRule="auto"/>
        <w:jc w:val="both"/>
        <w:rPr>
          <w:u w:val="single"/>
        </w:rPr>
      </w:pPr>
      <w:r>
        <w:rPr>
          <w:b/>
          <w:bCs/>
        </w:rPr>
        <w:tab/>
        <w:t>PER:   Comune di Palestro</w:t>
      </w:r>
      <w:r>
        <w:t xml:space="preserve"> (PV) (C.F. 83001210182), in persona del Sindaco pro tempore, domiciliato per la carica in Palestro (PV), rappresentato e difeso, in esecuzione della </w:t>
      </w:r>
      <w:r>
        <w:rPr>
          <w:b/>
          <w:bCs/>
        </w:rPr>
        <w:t xml:space="preserve">Delibera di G.C. n. </w:t>
      </w:r>
      <w:r w:rsidR="001A26E8">
        <w:rPr>
          <w:b/>
          <w:bCs/>
        </w:rPr>
        <w:t>32</w:t>
      </w:r>
      <w:r>
        <w:rPr>
          <w:b/>
          <w:bCs/>
        </w:rPr>
        <w:t xml:space="preserve"> del </w:t>
      </w:r>
      <w:r w:rsidR="001A26E8">
        <w:rPr>
          <w:b/>
          <w:bCs/>
        </w:rPr>
        <w:t>15.05.2026</w:t>
      </w:r>
      <w:r>
        <w:t xml:space="preserve"> e in virtù di mandato in calce al presente atto e su foglio separato, dall'avv. Maria Voccia De Felice (C.F. VCCMRA66M64G813U) presso il cui studio elettivamente domicilia in Salerno alla Via G. Vicinanza n. 42, </w:t>
      </w:r>
      <w:r w:rsidRPr="00513BDD">
        <w:rPr>
          <w:u w:val="single"/>
        </w:rPr>
        <w:t xml:space="preserve">il suddetto procuratore dichiara di voler ricevere le notifiche di legge a mezzo </w:t>
      </w:r>
      <w:proofErr w:type="spellStart"/>
      <w:r w:rsidRPr="00513BDD">
        <w:rPr>
          <w:u w:val="single"/>
        </w:rPr>
        <w:t>pec</w:t>
      </w:r>
      <w:proofErr w:type="spellEnd"/>
      <w:r w:rsidRPr="00513BDD">
        <w:rPr>
          <w:u w:val="single"/>
        </w:rPr>
        <w:t xml:space="preserve"> all'indirizzo: </w:t>
      </w:r>
      <w:r w:rsidRPr="00513BDD">
        <w:rPr>
          <w:b/>
          <w:bCs/>
          <w:u w:val="single"/>
        </w:rPr>
        <w:t>mvocciaordsa@pec.giuffre.it;</w:t>
      </w:r>
    </w:p>
    <w:p w14:paraId="5C0CF642" w14:textId="77777777" w:rsidR="00513BDD" w:rsidRDefault="00513BDD">
      <w:pPr>
        <w:spacing w:line="360" w:lineRule="auto"/>
        <w:jc w:val="both"/>
        <w:rPr>
          <w:b/>
          <w:bCs/>
        </w:rPr>
      </w:pPr>
      <w:r>
        <w:rPr>
          <w:b/>
          <w:bCs/>
        </w:rPr>
        <w:tab/>
        <w:t xml:space="preserve">CONTRO:  </w:t>
      </w:r>
    </w:p>
    <w:p w14:paraId="3F1C1E01" w14:textId="77777777" w:rsidR="00513BDD" w:rsidRDefault="00513BDD" w:rsidP="00513BDD">
      <w:pPr>
        <w:spacing w:line="360" w:lineRule="auto"/>
        <w:jc w:val="both"/>
      </w:pPr>
      <w:r>
        <w:rPr>
          <w:b/>
          <w:bCs/>
        </w:rPr>
        <w:tab/>
        <w:t xml:space="preserve">PAVIA ACQUE </w:t>
      </w:r>
      <w:proofErr w:type="spellStart"/>
      <w:r>
        <w:rPr>
          <w:b/>
          <w:bCs/>
        </w:rPr>
        <w:t>S.c.a</w:t>
      </w:r>
      <w:proofErr w:type="spellEnd"/>
      <w:r>
        <w:rPr>
          <w:b/>
          <w:bCs/>
        </w:rPr>
        <w:t xml:space="preserve"> r.l.</w:t>
      </w:r>
      <w:r>
        <w:t>, con sede legale in Pavia (PV) alla Via Taramelli n. 2, codice fiscale 02234900187, in persona del legale rappresentante pro tempore, rappresentata e difesa dall'Avv. Andrea Fumagalli del Foro di Lecco e dall'Avv. Simone Dino Guida del Foro di Como, elettivamente domiciliata presso lo studio di quest'ultimo in Albavilla (CO) alla Via XXV Aprile n. 12.</w:t>
      </w:r>
    </w:p>
    <w:p w14:paraId="4F0F5131" w14:textId="34B7EB26" w:rsidR="00BF23ED" w:rsidRDefault="00513BDD" w:rsidP="00513BDD">
      <w:pPr>
        <w:spacing w:line="360" w:lineRule="auto"/>
        <w:jc w:val="both"/>
      </w:pPr>
      <w:r>
        <w:tab/>
      </w:r>
      <w:r>
        <w:rPr>
          <w:b/>
          <w:bCs/>
        </w:rPr>
        <w:t>PREMESSO</w:t>
      </w:r>
    </w:p>
    <w:p w14:paraId="19AAB1D3" w14:textId="77777777" w:rsidR="00BF23ED" w:rsidRPr="00303128" w:rsidRDefault="00D80285">
      <w:pPr>
        <w:spacing w:line="360" w:lineRule="auto"/>
        <w:ind w:firstLine="708"/>
        <w:jc w:val="both"/>
      </w:pPr>
      <w:r>
        <w:t xml:space="preserve">Con atto di citazione in opposizione </w:t>
      </w:r>
      <w:r>
        <w:rPr>
          <w:b/>
          <w:bCs/>
        </w:rPr>
        <w:t>(Doc. 1)</w:t>
      </w:r>
      <w:r>
        <w:t xml:space="preserve"> la società Pavia Acque </w:t>
      </w:r>
      <w:proofErr w:type="spellStart"/>
      <w:r>
        <w:t>S.c.a</w:t>
      </w:r>
      <w:proofErr w:type="spellEnd"/>
      <w:r>
        <w:t xml:space="preserve"> r.l. ha convenuto in giudizio il Comune di Palestro per l'annullamento dell'</w:t>
      </w:r>
      <w:r>
        <w:rPr>
          <w:b/>
          <w:bCs/>
        </w:rPr>
        <w:t>avviso di accertamento esecutivo n. 1 del 2 marzo 2026</w:t>
      </w:r>
      <w:r>
        <w:t xml:space="preserve"> </w:t>
      </w:r>
      <w:r>
        <w:rPr>
          <w:b/>
          <w:bCs/>
        </w:rPr>
        <w:t>(Doc. 2)</w:t>
      </w:r>
      <w:r>
        <w:t xml:space="preserve">, oggetto del presente giudizio, emesso dal Comune per il recupero del </w:t>
      </w:r>
      <w:r>
        <w:rPr>
          <w:b/>
          <w:bCs/>
        </w:rPr>
        <w:t>Canone Unico Patrimoniale (CUP)</w:t>
      </w:r>
      <w:r>
        <w:t xml:space="preserve"> dovuto dall'opponente per gli anni d'imposta </w:t>
      </w:r>
      <w:r w:rsidRPr="00303128">
        <w:rPr>
          <w:b/>
          <w:bCs/>
        </w:rPr>
        <w:t>2021-2022-2023-2024</w:t>
      </w:r>
      <w:r w:rsidRPr="00303128">
        <w:t xml:space="preserve">, ai sensi dell'art. 1, comma 831, della L. n. 160/2019, quale gestore del servizio idrico integrato dell'ATO </w:t>
      </w:r>
      <w:r w:rsidRPr="00303128">
        <w:lastRenderedPageBreak/>
        <w:t>della Provincia di Pavia e, in particolare, del Comune resistente, per la complessiva somma di € 17.283,00.</w:t>
      </w:r>
    </w:p>
    <w:p w14:paraId="4474AA25" w14:textId="5F08DE04" w:rsidR="00BF23ED" w:rsidRPr="00303128" w:rsidRDefault="00D80285">
      <w:pPr>
        <w:spacing w:line="360" w:lineRule="auto"/>
        <w:ind w:firstLine="708"/>
        <w:jc w:val="both"/>
      </w:pPr>
      <w:r w:rsidRPr="00303128">
        <w:t>L'accertamento è stato emesso in applicazione del Regolamento per la disciplina del Canone Unico Patrimoniale, approvato dal Comune di Palestro con Delibera di Consiglio Comunale n. 6 del 29 marzo 2021</w:t>
      </w:r>
      <w:r w:rsidR="00412DD1" w:rsidRPr="00303128">
        <w:rPr>
          <w:b/>
          <w:bCs/>
        </w:rPr>
        <w:t xml:space="preserve"> (Doc. 3)</w:t>
      </w:r>
      <w:r w:rsidR="002078C1">
        <w:rPr>
          <w:b/>
          <w:bCs/>
        </w:rPr>
        <w:t>.</w:t>
      </w:r>
    </w:p>
    <w:p w14:paraId="4AB013A6" w14:textId="2250043B" w:rsidR="00BF23ED" w:rsidRDefault="00D80285">
      <w:pPr>
        <w:spacing w:line="360" w:lineRule="auto"/>
        <w:ind w:firstLine="708"/>
        <w:jc w:val="both"/>
      </w:pPr>
      <w:r w:rsidRPr="00303128">
        <w:t xml:space="preserve">Va, subito, riferito </w:t>
      </w:r>
      <w:r w:rsidRPr="00303128">
        <w:rPr>
          <w:b/>
          <w:bCs/>
        </w:rPr>
        <w:t>che l'accertamento è stato preceduto da un'articolata fase di contraddittorio, promossa dal Comune di Palestro</w:t>
      </w:r>
      <w:r w:rsidR="001A26E8">
        <w:rPr>
          <w:b/>
          <w:bCs/>
        </w:rPr>
        <w:t>,</w:t>
      </w:r>
      <w:r w:rsidRPr="00303128">
        <w:t xml:space="preserve"> con l'ausilio della società Archivia Solution S.p.A., alla quale, con </w:t>
      </w:r>
      <w:r w:rsidRPr="00303128">
        <w:rPr>
          <w:b/>
          <w:bCs/>
        </w:rPr>
        <w:t xml:space="preserve">Determinazione n. </w:t>
      </w:r>
      <w:r w:rsidR="00E019E6" w:rsidRPr="00303128">
        <w:rPr>
          <w:b/>
          <w:bCs/>
        </w:rPr>
        <w:t>1</w:t>
      </w:r>
      <w:r w:rsidR="00235E46" w:rsidRPr="00303128">
        <w:rPr>
          <w:b/>
          <w:bCs/>
        </w:rPr>
        <w:t xml:space="preserve">22 </w:t>
      </w:r>
      <w:r w:rsidRPr="00303128">
        <w:rPr>
          <w:b/>
          <w:bCs/>
        </w:rPr>
        <w:t xml:space="preserve">del </w:t>
      </w:r>
      <w:r w:rsidR="00235E46" w:rsidRPr="00303128">
        <w:rPr>
          <w:b/>
          <w:bCs/>
        </w:rPr>
        <w:t>02/07/2025</w:t>
      </w:r>
      <w:r w:rsidRPr="00303128">
        <w:t>, è stato affidato il servizio di supporto nella verifica della congruità dei versamenti</w:t>
      </w:r>
      <w:r>
        <w:t xml:space="preserve"> CUP per gli anni 2021-2024 </w:t>
      </w:r>
      <w:r>
        <w:rPr>
          <w:b/>
          <w:bCs/>
        </w:rPr>
        <w:t xml:space="preserve">(Doc. </w:t>
      </w:r>
      <w:r w:rsidR="00412DD1">
        <w:rPr>
          <w:b/>
          <w:bCs/>
        </w:rPr>
        <w:t>4</w:t>
      </w:r>
      <w:r>
        <w:rPr>
          <w:b/>
          <w:bCs/>
        </w:rPr>
        <w:t>)</w:t>
      </w:r>
      <w:r>
        <w:t>.</w:t>
      </w:r>
    </w:p>
    <w:p w14:paraId="5FEEA8B6" w14:textId="47E51BCC" w:rsidR="00BF23ED" w:rsidRDefault="00D80285">
      <w:pPr>
        <w:spacing w:line="360" w:lineRule="auto"/>
        <w:ind w:firstLine="708"/>
        <w:jc w:val="both"/>
      </w:pPr>
      <w:r>
        <w:t xml:space="preserve">Ed infatti, con nota del </w:t>
      </w:r>
      <w:r w:rsidRPr="00513BDD">
        <w:rPr>
          <w:b/>
          <w:bCs/>
        </w:rPr>
        <w:t>10 luglio 2025</w:t>
      </w:r>
      <w:r>
        <w:t xml:space="preserve">, Archivia Solution ha richiesto a Pavia Acque la trasmissione della dichiarazione delle utenze attive al 31 dicembre di ciascun anno, per i servizi di erogazione di acqua potabile e di allaccio alla rete fognaria, nonché la documentazione dei versamenti effettuati </w:t>
      </w:r>
      <w:r>
        <w:rPr>
          <w:b/>
          <w:bCs/>
        </w:rPr>
        <w:t xml:space="preserve">(Doc. </w:t>
      </w:r>
      <w:r w:rsidR="00455299">
        <w:rPr>
          <w:b/>
          <w:bCs/>
        </w:rPr>
        <w:t>5</w:t>
      </w:r>
      <w:r>
        <w:rPr>
          <w:b/>
          <w:bCs/>
        </w:rPr>
        <w:t>)</w:t>
      </w:r>
      <w:r>
        <w:t>.</w:t>
      </w:r>
    </w:p>
    <w:p w14:paraId="61CB2D0D" w14:textId="2A4DFB12" w:rsidR="00BF23ED" w:rsidRDefault="00D80285">
      <w:pPr>
        <w:spacing w:line="360" w:lineRule="auto"/>
        <w:ind w:firstLine="708"/>
        <w:jc w:val="both"/>
      </w:pPr>
      <w:r>
        <w:t>A tale richiesta Pavia Acque ha riscontrato con nota del 15 luglio 2025, eccependo la propria asserita non debenza del CUP</w:t>
      </w:r>
      <w:r w:rsidR="00513BDD">
        <w:t>,</w:t>
      </w:r>
      <w:r>
        <w:t xml:space="preserve"> sul presupposto della natura pubblica delle reti e della loro concessione in uso gratuito</w:t>
      </w:r>
      <w:r w:rsidR="00513BDD">
        <w:t xml:space="preserve">, </w:t>
      </w:r>
      <w:r w:rsidRPr="00303128">
        <w:t xml:space="preserve">e </w:t>
      </w:r>
      <w:r w:rsidRPr="00303128">
        <w:rPr>
          <w:b/>
          <w:bCs/>
        </w:rPr>
        <w:t>dichiarando di non voler fornire alcuna dichiarazione relativa alle utenze attive</w:t>
      </w:r>
      <w:r w:rsidRPr="00303128">
        <w:t xml:space="preserve"> </w:t>
      </w:r>
      <w:r w:rsidRPr="00303128">
        <w:rPr>
          <w:b/>
          <w:bCs/>
        </w:rPr>
        <w:t xml:space="preserve">(Doc. </w:t>
      </w:r>
      <w:r w:rsidR="00455299" w:rsidRPr="00303128">
        <w:rPr>
          <w:b/>
          <w:bCs/>
        </w:rPr>
        <w:t>6</w:t>
      </w:r>
      <w:r w:rsidRPr="00303128">
        <w:rPr>
          <w:b/>
          <w:bCs/>
        </w:rPr>
        <w:t>)</w:t>
      </w:r>
      <w:r w:rsidRPr="00303128">
        <w:t>.</w:t>
      </w:r>
    </w:p>
    <w:p w14:paraId="4A8C2AE2" w14:textId="4912F7F3" w:rsidR="00BF23ED" w:rsidRDefault="00D80285">
      <w:pPr>
        <w:spacing w:line="360" w:lineRule="auto"/>
        <w:ind w:firstLine="708"/>
        <w:jc w:val="both"/>
      </w:pPr>
      <w:r>
        <w:t xml:space="preserve">A tale nota Archivia Solution ha replicato con sollecito del </w:t>
      </w:r>
      <w:r w:rsidRPr="00513BDD">
        <w:rPr>
          <w:b/>
          <w:bCs/>
        </w:rPr>
        <w:t>4 settembre 2025,</w:t>
      </w:r>
      <w:r>
        <w:t xml:space="preserve"> confutando le argomentazioni di Pavia Acque e reiterando la richiesta dei dati, con espressa avvertenza che in caso di inottemperanza si sarebbe proceduto ad accertamento su stima presuntiva </w:t>
      </w:r>
      <w:r>
        <w:rPr>
          <w:b/>
          <w:bCs/>
        </w:rPr>
        <w:t xml:space="preserve">(Doc. </w:t>
      </w:r>
      <w:r w:rsidR="00455299">
        <w:rPr>
          <w:b/>
          <w:bCs/>
        </w:rPr>
        <w:t>7</w:t>
      </w:r>
      <w:r>
        <w:rPr>
          <w:b/>
          <w:bCs/>
        </w:rPr>
        <w:t>)</w:t>
      </w:r>
      <w:r>
        <w:t>.</w:t>
      </w:r>
    </w:p>
    <w:p w14:paraId="7E55EDCC" w14:textId="77777777" w:rsidR="00BF23ED" w:rsidRDefault="00D80285">
      <w:pPr>
        <w:spacing w:line="360" w:lineRule="auto"/>
        <w:ind w:firstLine="708"/>
        <w:jc w:val="both"/>
      </w:pPr>
      <w:r>
        <w:t>Pavia Acque ha insistito nel rifiuto di comunicare i dati, costringendo il Comune a emettere l'avviso di accertamento su base induttiva, oggetto del presente contenzioso.</w:t>
      </w:r>
    </w:p>
    <w:p w14:paraId="4190B92C" w14:textId="242C237B" w:rsidR="00BF23ED" w:rsidRDefault="00D80285">
      <w:pPr>
        <w:spacing w:line="360" w:lineRule="auto"/>
        <w:ind w:firstLine="708"/>
        <w:jc w:val="both"/>
      </w:pPr>
      <w:r>
        <w:t xml:space="preserve">Avverso tale avviso l'opponente ha dapprima proposto istanza di riesame in autotutela in data 16 marzo 2026 </w:t>
      </w:r>
      <w:r>
        <w:rPr>
          <w:b/>
          <w:bCs/>
        </w:rPr>
        <w:t xml:space="preserve">(Doc. </w:t>
      </w:r>
      <w:r w:rsidR="00830EEE">
        <w:rPr>
          <w:b/>
          <w:bCs/>
        </w:rPr>
        <w:t>8</w:t>
      </w:r>
      <w:r>
        <w:rPr>
          <w:b/>
          <w:bCs/>
        </w:rPr>
        <w:t>)</w:t>
      </w:r>
      <w:r>
        <w:t xml:space="preserve">, respinta dal Comune con provvedimento del 1° aprile 2026 </w:t>
      </w:r>
      <w:r>
        <w:rPr>
          <w:b/>
          <w:bCs/>
        </w:rPr>
        <w:t xml:space="preserve">(Doc. </w:t>
      </w:r>
      <w:r w:rsidR="00830EEE">
        <w:rPr>
          <w:b/>
          <w:bCs/>
        </w:rPr>
        <w:t>9</w:t>
      </w:r>
      <w:r>
        <w:rPr>
          <w:b/>
          <w:bCs/>
        </w:rPr>
        <w:t>)</w:t>
      </w:r>
      <w:r>
        <w:t>, e ha</w:t>
      </w:r>
      <w:r w:rsidR="001A26E8">
        <w:t>,</w:t>
      </w:r>
      <w:r>
        <w:t xml:space="preserve"> quindi</w:t>
      </w:r>
      <w:r w:rsidR="001A26E8">
        <w:t>,</w:t>
      </w:r>
      <w:r>
        <w:t xml:space="preserve"> proposto la presente opposizione.</w:t>
      </w:r>
    </w:p>
    <w:p w14:paraId="681CB5CF" w14:textId="77777777" w:rsidR="00BF23ED" w:rsidRDefault="00D80285">
      <w:pPr>
        <w:spacing w:line="360" w:lineRule="auto"/>
        <w:ind w:firstLine="708"/>
        <w:jc w:val="both"/>
      </w:pPr>
      <w:r>
        <w:t xml:space="preserve">Va sin d'ora evidenziato che il </w:t>
      </w:r>
      <w:r>
        <w:rPr>
          <w:b/>
          <w:bCs/>
        </w:rPr>
        <w:t>sistematico rifiuto di Pavia Acque di comunicare il numero di utenze attive</w:t>
      </w:r>
      <w:r>
        <w:t xml:space="preserve"> – nonostante le formali sollecitazioni del 10 luglio 2025 e del 4 settembre 2025 – ha reso necessario e pienamente legittimo il ricorso alla </w:t>
      </w:r>
      <w:r w:rsidRPr="00513BDD">
        <w:rPr>
          <w:b/>
          <w:bCs/>
        </w:rPr>
        <w:t>stima presuntiva prevista</w:t>
      </w:r>
      <w:r>
        <w:t xml:space="preserve"> </w:t>
      </w:r>
      <w:r w:rsidRPr="001A26E8">
        <w:rPr>
          <w:b/>
          <w:bCs/>
        </w:rPr>
        <w:t>dal comma 792 della L. n. 160/2019</w:t>
      </w:r>
      <w:r>
        <w:t>, e ha, altresì, determinato un'</w:t>
      </w:r>
      <w:r>
        <w:rPr>
          <w:b/>
          <w:bCs/>
        </w:rPr>
        <w:t>inversione dell'onere probatorio</w:t>
      </w:r>
      <w:r>
        <w:t xml:space="preserve"> a carico del gestore: sarà Pavia Acque, in sede giudiziale, a dover fornire l'eventuale prova contraria, </w:t>
      </w:r>
      <w:r>
        <w:lastRenderedPageBreak/>
        <w:t>documentando il numero esatto delle utenze servite, dati che essa detiene e che ha, sino ad ora, ingiustificatamente omesso di comunicare.</w:t>
      </w:r>
    </w:p>
    <w:p w14:paraId="088CBA13" w14:textId="77777777" w:rsidR="001511C0" w:rsidRDefault="00D80285">
      <w:pPr>
        <w:spacing w:line="360" w:lineRule="auto"/>
        <w:ind w:firstLine="708"/>
        <w:jc w:val="both"/>
      </w:pPr>
      <w:r>
        <w:t xml:space="preserve">A sostegno delle proprie ragioni, l'opponente eccepisce, in sintesi: </w:t>
      </w:r>
    </w:p>
    <w:p w14:paraId="5F3EDECB" w14:textId="77777777" w:rsidR="001511C0" w:rsidRPr="00456336" w:rsidRDefault="001511C0">
      <w:pPr>
        <w:spacing w:line="360" w:lineRule="auto"/>
        <w:ind w:firstLine="708"/>
        <w:jc w:val="both"/>
      </w:pPr>
      <w:r w:rsidRPr="001A26E8">
        <w:rPr>
          <w:b/>
          <w:bCs/>
        </w:rPr>
        <w:t>(I)</w:t>
      </w:r>
      <w:r w:rsidRPr="00456336">
        <w:t xml:space="preserve"> l'insussistenza del presupposto impositivo, per non avere richiesto alcuna concessione e per non essere l'occupazione qualificabile come abusiva; </w:t>
      </w:r>
    </w:p>
    <w:p w14:paraId="0DF77FE9" w14:textId="77777777" w:rsidR="001511C0" w:rsidRPr="00456336" w:rsidRDefault="001511C0">
      <w:pPr>
        <w:spacing w:line="360" w:lineRule="auto"/>
        <w:ind w:firstLine="708"/>
        <w:jc w:val="both"/>
      </w:pPr>
      <w:r w:rsidRPr="001A26E8">
        <w:rPr>
          <w:b/>
          <w:bCs/>
        </w:rPr>
        <w:t>(II)</w:t>
      </w:r>
      <w:r w:rsidRPr="00456336">
        <w:t xml:space="preserve"> il diritto all'esenzione di cui all'art. 1, comma 833, lett. a), L. n. 160/2019 e all'art. 52, comma 1, lett. o), del Regolamento comunale, quale società in house </w:t>
      </w:r>
      <w:proofErr w:type="spellStart"/>
      <w:r w:rsidRPr="00456336">
        <w:t>providing</w:t>
      </w:r>
      <w:proofErr w:type="spellEnd"/>
      <w:r w:rsidRPr="00456336">
        <w:t xml:space="preserve"> interamente partecipata da enti pubblici; </w:t>
      </w:r>
    </w:p>
    <w:p w14:paraId="007CB631" w14:textId="77777777" w:rsidR="001511C0" w:rsidRPr="00456336" w:rsidRDefault="001511C0">
      <w:pPr>
        <w:spacing w:line="360" w:lineRule="auto"/>
        <w:ind w:firstLine="708"/>
        <w:jc w:val="both"/>
      </w:pPr>
      <w:r w:rsidRPr="001A26E8">
        <w:rPr>
          <w:b/>
          <w:bCs/>
        </w:rPr>
        <w:t>(III)</w:t>
      </w:r>
      <w:r w:rsidRPr="00456336">
        <w:t xml:space="preserve"> il diritto all'esenzione di cui all'art. 1, comma 833, lett. d), L. n. 160/2019 e all'art. 52, comma 1, lett. c), del Regolamento comunale, per l'asserita devoluzione gratuita dei beni al termine della concessione; </w:t>
      </w:r>
    </w:p>
    <w:p w14:paraId="55956B66" w14:textId="77777777" w:rsidR="001511C0" w:rsidRPr="00456336" w:rsidRDefault="001511C0">
      <w:pPr>
        <w:spacing w:line="360" w:lineRule="auto"/>
        <w:ind w:firstLine="708"/>
        <w:jc w:val="both"/>
      </w:pPr>
      <w:r w:rsidRPr="001A26E8">
        <w:rPr>
          <w:b/>
          <w:bCs/>
        </w:rPr>
        <w:t>(IV)</w:t>
      </w:r>
      <w:r w:rsidRPr="00456336">
        <w:t xml:space="preserve"> l'illegittimità della determinazione induttiva delle utenze, il difetto di motivazione, la tariffa applicata e la pretesa duplicazione del canone per i servizi di acquedotto e fognatura; </w:t>
      </w:r>
    </w:p>
    <w:p w14:paraId="3077A476" w14:textId="78A3E148" w:rsidR="00BF23ED" w:rsidRDefault="001511C0">
      <w:pPr>
        <w:spacing w:line="360" w:lineRule="auto"/>
        <w:ind w:firstLine="708"/>
        <w:jc w:val="both"/>
      </w:pPr>
      <w:r w:rsidRPr="001A26E8">
        <w:rPr>
          <w:b/>
          <w:bCs/>
        </w:rPr>
        <w:t>(V)</w:t>
      </w:r>
      <w:r w:rsidRPr="00456336">
        <w:t xml:space="preserve"> l'illegittimità dell'irrogazione delle sanzioni.</w:t>
      </w:r>
    </w:p>
    <w:p w14:paraId="78ED09AC" w14:textId="77777777" w:rsidR="00BF23ED" w:rsidRDefault="00D80285">
      <w:pPr>
        <w:spacing w:line="360" w:lineRule="auto"/>
        <w:ind w:firstLine="708"/>
        <w:jc w:val="both"/>
      </w:pPr>
      <w:r>
        <w:rPr>
          <w:b/>
          <w:bCs/>
        </w:rPr>
        <w:t>L'opposizione è infondata in fatto e in diritto.</w:t>
      </w:r>
    </w:p>
    <w:p w14:paraId="3898FE46" w14:textId="77777777" w:rsidR="00BF23ED" w:rsidRDefault="00D80285">
      <w:pPr>
        <w:spacing w:line="360" w:lineRule="auto"/>
        <w:ind w:firstLine="708"/>
        <w:jc w:val="both"/>
      </w:pPr>
      <w:r>
        <w:t>Con il presente atto si costituisce in giudizio il Comune di Palestro, come sopra rappresentato e difeso, che contesta integralmente le avverse domande, delle quali chiede l'integrale rigetto, per i seguenti</w:t>
      </w:r>
    </w:p>
    <w:p w14:paraId="605FA7C2" w14:textId="77777777" w:rsidR="00BF23ED" w:rsidRPr="007E1A47" w:rsidRDefault="00D80285">
      <w:pPr>
        <w:spacing w:line="360" w:lineRule="auto"/>
        <w:jc w:val="center"/>
        <w:rPr>
          <w:b/>
          <w:bCs/>
        </w:rPr>
      </w:pPr>
      <w:r w:rsidRPr="007E1A47">
        <w:rPr>
          <w:b/>
          <w:bCs/>
        </w:rPr>
        <w:t>MOTIVI</w:t>
      </w:r>
    </w:p>
    <w:p w14:paraId="50B39FA2" w14:textId="77777777" w:rsidR="00BF23ED" w:rsidRDefault="00D80285">
      <w:pPr>
        <w:spacing w:line="360" w:lineRule="auto"/>
        <w:ind w:firstLine="708"/>
        <w:jc w:val="both"/>
      </w:pPr>
      <w:r>
        <w:rPr>
          <w:b/>
          <w:bCs/>
        </w:rPr>
        <w:t>IN VIA PREGIUDIZIALE DI RITO, SI ECCEPISCE IL DIFETTO DI GIURISDIZIONE DEL GIUDICE ORDINARIO IN FAVORE DEL GIUDICE TRIBUTARIO.</w:t>
      </w:r>
    </w:p>
    <w:p w14:paraId="15FFE1BF" w14:textId="77777777" w:rsidR="00BF23ED" w:rsidRDefault="00D80285">
      <w:pPr>
        <w:spacing w:line="360" w:lineRule="auto"/>
        <w:ind w:firstLine="708"/>
        <w:jc w:val="both"/>
      </w:pPr>
      <w:r>
        <w:t xml:space="preserve">La presente controversia ha ad oggetto la debenza del Canone Unico Patrimoniale (CUP), che rientra nella giurisdizione esclusiva delle Corti di Giustizia Tributaria ai sensi dell'art. 2 del </w:t>
      </w:r>
      <w:proofErr w:type="spellStart"/>
      <w:r>
        <w:t>D.Lgs.</w:t>
      </w:r>
      <w:proofErr w:type="spellEnd"/>
      <w:r>
        <w:t xml:space="preserve"> n. 546/1992.</w:t>
      </w:r>
    </w:p>
    <w:p w14:paraId="14841257" w14:textId="77777777" w:rsidR="00BF23ED" w:rsidRPr="00513BDD" w:rsidRDefault="00D80285">
      <w:pPr>
        <w:spacing w:line="360" w:lineRule="auto"/>
        <w:ind w:firstLine="708"/>
        <w:jc w:val="both"/>
        <w:rPr>
          <w:b/>
          <w:bCs/>
          <w:u w:val="single"/>
        </w:rPr>
      </w:pPr>
      <w:r>
        <w:t xml:space="preserve">Ed infatti, la questione sulla natura giuridica del CUP e sulla conseguente giurisdizione è stata definitivamente risolta </w:t>
      </w:r>
      <w:r>
        <w:rPr>
          <w:b/>
          <w:bCs/>
        </w:rPr>
        <w:t>dalle Sezioni Unite della Corte di Cassazione che, con la sentenza n. 12225 del 1° maggio 2026, hanno enunciato il seguente principio di diritto:</w:t>
      </w:r>
      <w:r>
        <w:t xml:space="preserve"> </w:t>
      </w:r>
      <w:r>
        <w:rPr>
          <w:i/>
          <w:iCs/>
        </w:rPr>
        <w:t>“</w:t>
      </w:r>
      <w:r w:rsidRPr="00513BDD">
        <w:rPr>
          <w:b/>
          <w:bCs/>
          <w:i/>
          <w:iCs/>
          <w:u w:val="single"/>
        </w:rPr>
        <w:t>Il canone unico patrimoniale di cui all'art. 1, commi 816-847, della legge n. 160 del 2019, ha, in ogni caso, natura tributaria”</w:t>
      </w:r>
      <w:r w:rsidRPr="00513BDD">
        <w:rPr>
          <w:b/>
          <w:bCs/>
          <w:u w:val="single"/>
        </w:rPr>
        <w:t>.</w:t>
      </w:r>
    </w:p>
    <w:p w14:paraId="29C03EB1" w14:textId="77777777" w:rsidR="00BF23ED" w:rsidRDefault="00D80285">
      <w:pPr>
        <w:spacing w:line="360" w:lineRule="auto"/>
        <w:ind w:firstLine="708"/>
        <w:jc w:val="both"/>
      </w:pPr>
      <w:r>
        <w:t xml:space="preserve">La Suprema Corte ha chiarito che, al di là del </w:t>
      </w:r>
      <w:proofErr w:type="spellStart"/>
      <w:r>
        <w:t>nomen</w:t>
      </w:r>
      <w:proofErr w:type="spellEnd"/>
      <w:r>
        <w:t xml:space="preserve"> iuris utilizzato dal legislatore, il CUP possiede tutti i caratteri tipici del tributo: è una prestazione </w:t>
      </w:r>
      <w:r>
        <w:lastRenderedPageBreak/>
        <w:t>patrimoniale imposta coattivamente dalla legge, destinata a finanziare le spese pubbliche dell'ente locale.</w:t>
      </w:r>
    </w:p>
    <w:p w14:paraId="4F31D0C9" w14:textId="77777777" w:rsidR="00BF23ED" w:rsidRDefault="00D80285">
      <w:pPr>
        <w:spacing w:line="360" w:lineRule="auto"/>
        <w:ind w:firstLine="708"/>
        <w:jc w:val="both"/>
      </w:pPr>
      <w:r>
        <w:t>Di conseguenza, essendo pacifico che il CUP è un tributo, ogni controversia relativa alla sua debenza, come quella odierna, è sottratta alla giurisdizione del Giudice Ordinario e appartiene alla cognizione del Giudice Tributario.</w:t>
      </w:r>
    </w:p>
    <w:p w14:paraId="4523899C" w14:textId="77777777" w:rsidR="00BF23ED" w:rsidRDefault="00D80285">
      <w:pPr>
        <w:spacing w:line="360" w:lineRule="auto"/>
        <w:ind w:firstLine="708"/>
        <w:jc w:val="both"/>
      </w:pPr>
      <w:r>
        <w:t>Si chiede, pertanto, che l'Ill.mo Tribunale adito voglia dichiarare il proprio difetto di giurisdizione in favore del Giudice Tributario.</w:t>
      </w:r>
    </w:p>
    <w:p w14:paraId="7F62F04C" w14:textId="77777777" w:rsidR="00BF23ED" w:rsidRDefault="00D80285">
      <w:pPr>
        <w:spacing w:line="360" w:lineRule="auto"/>
        <w:jc w:val="center"/>
      </w:pPr>
      <w:r>
        <w:rPr>
          <w:b/>
          <w:bCs/>
        </w:rPr>
        <w:t>NEL MERITO</w:t>
      </w:r>
    </w:p>
    <w:p w14:paraId="11A99085" w14:textId="77777777" w:rsidR="00BF23ED" w:rsidRPr="007E1A47" w:rsidRDefault="00D80285">
      <w:pPr>
        <w:spacing w:line="360" w:lineRule="auto"/>
        <w:ind w:firstLine="708"/>
        <w:jc w:val="both"/>
      </w:pPr>
      <w:r w:rsidRPr="007E1A47">
        <w:rPr>
          <w:b/>
          <w:bCs/>
        </w:rPr>
        <w:t>1. SULL'INSUSSISTENZA DEL PRESUPPOSTO IMPOSITIVO ECCEPITA DALL'OPPONENTE: LA DEBENZA DEL CUP PER I GESTORI DEI SERVIZI A RETE PRESCINDE DALLA CONCESSIONE E DALL'ABUSIVITÀ DELL'OCCUPAZIONE.</w:t>
      </w:r>
    </w:p>
    <w:p w14:paraId="3119EA00" w14:textId="77777777" w:rsidR="00BF23ED" w:rsidRPr="007E1A47" w:rsidRDefault="00D80285">
      <w:pPr>
        <w:spacing w:line="360" w:lineRule="auto"/>
        <w:ind w:firstLine="708"/>
        <w:jc w:val="both"/>
      </w:pPr>
      <w:r w:rsidRPr="007E1A47">
        <w:t>Con il primo motivo l'opponente assume di non essere tenuta al pagamento del canone in quanto non avrebbe richiesto alcuna concessione al Comune di Palestro, né l'occupazione potrebbe qualificarsi come abusiva, sicché difetterebbe in radice il presupposto impositivo.</w:t>
      </w:r>
    </w:p>
    <w:p w14:paraId="4A32D7DE" w14:textId="77777777" w:rsidR="00BF23ED" w:rsidRPr="007E1A47" w:rsidRDefault="00D80285">
      <w:pPr>
        <w:spacing w:line="360" w:lineRule="auto"/>
        <w:ind w:firstLine="708"/>
        <w:jc w:val="both"/>
      </w:pPr>
      <w:r w:rsidRPr="007E1A47">
        <w:t>L'assunto è infondato e muove da un'erronea sovrapposizione tra la disciplina generale delle occupazioni di suolo pubblico e lo speciale e autonomo presupposto previsto dall'art. 1, comma 831, della L. n. 160/2019 per i gestori dei servizi a rete.</w:t>
      </w:r>
    </w:p>
    <w:p w14:paraId="47991B69" w14:textId="4C59FDE0" w:rsidR="00FA44F9" w:rsidRDefault="00FA44F9" w:rsidP="00FA44F9">
      <w:pPr>
        <w:spacing w:line="360" w:lineRule="auto"/>
        <w:ind w:firstLine="708"/>
        <w:jc w:val="both"/>
      </w:pPr>
      <w:r w:rsidRPr="007E1A47">
        <w:rPr>
          <w:b/>
          <w:bCs/>
          <w:u w:val="single"/>
        </w:rPr>
        <w:t xml:space="preserve">Prima di entrare nel merito </w:t>
      </w:r>
      <w:r w:rsidR="001A26E8">
        <w:rPr>
          <w:b/>
          <w:bCs/>
          <w:u w:val="single"/>
        </w:rPr>
        <w:t>d</w:t>
      </w:r>
      <w:r w:rsidRPr="007E1A47">
        <w:rPr>
          <w:b/>
          <w:bCs/>
          <w:u w:val="single"/>
        </w:rPr>
        <w:t>ella controversia, si rende opportuno un</w:t>
      </w:r>
      <w:r>
        <w:rPr>
          <w:b/>
          <w:bCs/>
          <w:u w:val="single"/>
        </w:rPr>
        <w:t xml:space="preserve"> inquadramento sui presupposti normativi della soggettività passiva dei gestori dei servizi a rete.</w:t>
      </w:r>
    </w:p>
    <w:p w14:paraId="57BD5E8A" w14:textId="77777777" w:rsidR="00FA44F9" w:rsidRDefault="00FA44F9" w:rsidP="00FA44F9">
      <w:pPr>
        <w:snapToGrid w:val="0"/>
        <w:spacing w:line="360" w:lineRule="auto"/>
        <w:ind w:firstLine="708"/>
        <w:jc w:val="both"/>
      </w:pPr>
      <w:r>
        <w:t xml:space="preserve">Ai sensi dell’art. 1, comma 831, della Legge n. 160/2019, il Canone Unico Patrimoniale è dovuto in favore dei Comuni e delle Province da parte delle </w:t>
      </w:r>
      <w:r>
        <w:rPr>
          <w:b/>
        </w:rPr>
        <w:t>aziende che erogano servizi di pubblica utilità</w:t>
      </w:r>
      <w:r>
        <w:t xml:space="preserve"> e che, </w:t>
      </w:r>
      <w:r w:rsidRPr="004F2061">
        <w:rPr>
          <w:b/>
        </w:rPr>
        <w:t>a qualunque titolo, anche</w:t>
      </w:r>
      <w:r>
        <w:rPr>
          <w:b/>
        </w:rPr>
        <w:t xml:space="preserve"> gratuito</w:t>
      </w:r>
      <w:r>
        <w:t>, occupano o conducono le infrastrutture destinate all’erogazione di servizi quali energia elettrica, gas, acqua, calore, servizi di telecomunicazione, radiotelevisivi e altri servizi a rete.</w:t>
      </w:r>
    </w:p>
    <w:p w14:paraId="16E0B458" w14:textId="77777777" w:rsidR="00FA44F9" w:rsidRDefault="00FA44F9" w:rsidP="00FA44F9">
      <w:pPr>
        <w:snapToGrid w:val="0"/>
        <w:spacing w:line="360" w:lineRule="auto"/>
        <w:ind w:firstLine="567"/>
        <w:jc w:val="both"/>
      </w:pPr>
      <w:r>
        <w:t xml:space="preserve">Il Legislatore ha </w:t>
      </w:r>
      <w:r>
        <w:rPr>
          <w:b/>
        </w:rPr>
        <w:t>espressamente previsto</w:t>
      </w:r>
      <w:r>
        <w:t xml:space="preserve"> il pagamento del canone anche per i servizi idrici, la cui rete, per espressa previsione normativa (art. 143 </w:t>
      </w:r>
      <w:proofErr w:type="spellStart"/>
      <w:r>
        <w:t>D.Lgs.</w:t>
      </w:r>
      <w:proofErr w:type="spellEnd"/>
      <w:r>
        <w:t xml:space="preserve"> n. 152/2006), è sempre di proprietà pubblica e viene concessa in uso gratuito al gestore del servizio. </w:t>
      </w:r>
    </w:p>
    <w:p w14:paraId="45735023" w14:textId="2C249401" w:rsidR="00FA44F9" w:rsidRPr="004F2061" w:rsidRDefault="00FA44F9" w:rsidP="00FA44F9">
      <w:pPr>
        <w:spacing w:line="360" w:lineRule="auto"/>
        <w:ind w:firstLine="708"/>
        <w:jc w:val="both"/>
      </w:pPr>
      <w:r w:rsidRPr="004F2061">
        <w:t>La stessa formulazione della norma (</w:t>
      </w:r>
      <w:r w:rsidRPr="004F2061">
        <w:rPr>
          <w:i/>
          <w:iCs/>
        </w:rPr>
        <w:t xml:space="preserve">“Per le occupazioni permanenti del territorio comunale, con cavi e condutture, da chiunque effettuata per la fornitura di </w:t>
      </w:r>
      <w:r w:rsidRPr="004F2061">
        <w:rPr>
          <w:i/>
          <w:iCs/>
        </w:rPr>
        <w:lastRenderedPageBreak/>
        <w:t>servizi di pubblica utilità, quali la distribuzione ed erogazione di energia elettrica, gas, acqua, calore, di servizi di telecomunicazione e radiotelevisivi e di altri servizi a rete,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w:t>
      </w:r>
      <w:r w:rsidRPr="004F2061">
        <w:t xml:space="preserve">) — che prevede la soggettività per l’occupazione </w:t>
      </w:r>
      <w:r w:rsidRPr="004F2061">
        <w:rPr>
          <w:b/>
          <w:u w:val="single"/>
        </w:rPr>
        <w:t>da chiunque effettuata</w:t>
      </w:r>
      <w:r w:rsidRPr="004F2061">
        <w:t xml:space="preserve"> — dimostra inequivocabilmente che la gratuità del titolo di utilizzo della rete non incide sulla debenza del canone</w:t>
      </w:r>
      <w:r w:rsidR="000F105F">
        <w:t xml:space="preserve"> tributario</w:t>
      </w:r>
      <w:r w:rsidRPr="004F2061">
        <w:t>.</w:t>
      </w:r>
    </w:p>
    <w:p w14:paraId="38D9AED7" w14:textId="77777777" w:rsidR="00FA44F9" w:rsidRPr="00FA44F9" w:rsidRDefault="00D80285">
      <w:pPr>
        <w:spacing w:line="360" w:lineRule="auto"/>
        <w:ind w:firstLine="708"/>
        <w:jc w:val="both"/>
      </w:pPr>
      <w:r w:rsidRPr="00FA44F9">
        <w:t xml:space="preserve">Ne consegue che il presupposto impositivo, per i gestori di reti, è costituito dalla mera occupazione materiale del suolo e del sottosuolo pubblici con cavi e condutture funzionali all'erogazione del servizio — occupazione da </w:t>
      </w:r>
      <w:r w:rsidRPr="00FA44F9">
        <w:rPr>
          <w:b/>
          <w:bCs/>
        </w:rPr>
        <w:t>chiunque effettuata</w:t>
      </w:r>
      <w:r w:rsidR="00C64016" w:rsidRPr="00FA44F9">
        <w:t xml:space="preserve"> </w:t>
      </w:r>
      <w:r w:rsidRPr="00FA44F9">
        <w:t xml:space="preserve">— e prescinde del tutto sia dall'esistenza di un formale atto di concessione, sia dalla qualificazione dell'occupazione come abusiva secondo la procedura del Regolamento comunale invocata dall'opponente. </w:t>
      </w:r>
    </w:p>
    <w:p w14:paraId="54A6E9E5" w14:textId="7E4EA39B" w:rsidR="00FA44F9" w:rsidRPr="00FA44F9" w:rsidRDefault="00FA44F9">
      <w:pPr>
        <w:spacing w:line="360" w:lineRule="auto"/>
        <w:ind w:firstLine="708"/>
        <w:jc w:val="both"/>
      </w:pPr>
      <w:r w:rsidRPr="00FA44F9">
        <w:t>Sicché l'argomento, speso dall'opponente, della natura demaniale delle infrastrutture e del difetto di un titolo concessorio non vale a escludere il presupposto, ma anzi ne integra la fattispecie tipica espressamente contemplata dal comma 831.</w:t>
      </w:r>
    </w:p>
    <w:p w14:paraId="5960B3AB" w14:textId="11753A38" w:rsidR="00BF23ED" w:rsidRDefault="00D80285">
      <w:pPr>
        <w:spacing w:line="360" w:lineRule="auto"/>
        <w:ind w:firstLine="708"/>
        <w:jc w:val="both"/>
      </w:pPr>
      <w:r w:rsidRPr="00FA44F9">
        <w:t xml:space="preserve">Il motivo </w:t>
      </w:r>
      <w:r w:rsidR="000F105F">
        <w:t xml:space="preserve">merita di essere </w:t>
      </w:r>
      <w:r w:rsidRPr="00FA44F9">
        <w:t>respinto.</w:t>
      </w:r>
    </w:p>
    <w:p w14:paraId="6DD98501" w14:textId="00D8F06A" w:rsidR="00BF23ED" w:rsidRDefault="00D80285">
      <w:pPr>
        <w:spacing w:line="360" w:lineRule="auto"/>
        <w:ind w:firstLine="708"/>
        <w:jc w:val="both"/>
        <w:rPr>
          <w:b/>
          <w:bCs/>
        </w:rPr>
      </w:pPr>
      <w:r>
        <w:rPr>
          <w:b/>
          <w:bCs/>
        </w:rPr>
        <w:t xml:space="preserve">2. SULL'INSUSSISTENZA DELLA PRETESA ESENZIONE EX ART. 1, COMMA 833, LETTERA a), L. N. 160/2019 (E ART. 52, COMMA 1, LETT. o), DEL REGOLAMENTO: LA SOCIETÀ </w:t>
      </w:r>
      <w:r w:rsidRPr="000F105F">
        <w:rPr>
          <w:b/>
          <w:bCs/>
          <w:i/>
          <w:iCs/>
        </w:rPr>
        <w:t>IN HOUSE</w:t>
      </w:r>
      <w:r>
        <w:rPr>
          <w:b/>
          <w:bCs/>
        </w:rPr>
        <w:t xml:space="preserve"> NON È EQUIPARABILE ALL'ENTE PUBBLICO</w:t>
      </w:r>
      <w:r w:rsidR="000F105F">
        <w:rPr>
          <w:b/>
          <w:bCs/>
        </w:rPr>
        <w:t xml:space="preserve"> COMUNALE</w:t>
      </w:r>
      <w:r>
        <w:rPr>
          <w:b/>
          <w:bCs/>
        </w:rPr>
        <w:t>.</w:t>
      </w:r>
    </w:p>
    <w:p w14:paraId="4CD0680E" w14:textId="1176521E" w:rsidR="00BF23ED" w:rsidRDefault="00D80285">
      <w:pPr>
        <w:spacing w:line="360" w:lineRule="auto"/>
        <w:ind w:firstLine="708"/>
        <w:jc w:val="both"/>
      </w:pPr>
      <w:r>
        <w:t xml:space="preserve">L'opponente sostiene di rientrare nell'esenzione di cui all'art. 1, comma 833, lett. a), L. n. 160/2019 — riservata a </w:t>
      </w:r>
      <w:r w:rsidR="00513BDD">
        <w:t>“</w:t>
      </w:r>
      <w:r>
        <w:t>Stato, regioni, province, città metropolitane, comuni e loro consorzi</w:t>
      </w:r>
      <w:r w:rsidR="00513BDD">
        <w:t>”</w:t>
      </w:r>
      <w:r>
        <w:t xml:space="preserve"> — in quanto società </w:t>
      </w:r>
      <w:r w:rsidRPr="000F105F">
        <w:rPr>
          <w:i/>
          <w:iCs/>
        </w:rPr>
        <w:t xml:space="preserve">in house </w:t>
      </w:r>
      <w:proofErr w:type="spellStart"/>
      <w:r w:rsidRPr="000F105F">
        <w:rPr>
          <w:i/>
          <w:iCs/>
        </w:rPr>
        <w:t>providing</w:t>
      </w:r>
      <w:proofErr w:type="spellEnd"/>
      <w:r>
        <w:t xml:space="preserve"> interamente partecipata da enti locali, da considerarsi </w:t>
      </w:r>
      <w:r w:rsidRPr="000F105F">
        <w:rPr>
          <w:i/>
          <w:iCs/>
        </w:rPr>
        <w:t>longa manus</w:t>
      </w:r>
      <w:r>
        <w:t xml:space="preserve"> degli enti controllanti e, dunque, essa stessa pubblica amministrazione in senso sostanziale; a tal fine richiama la pronuncia della Corte d'Appello di Milano resa nel giudizio R.G.A. 1796/2025.</w:t>
      </w:r>
    </w:p>
    <w:p w14:paraId="18874B95" w14:textId="77777777" w:rsidR="000F105F" w:rsidRDefault="00D80285">
      <w:pPr>
        <w:spacing w:line="360" w:lineRule="auto"/>
        <w:ind w:firstLine="708"/>
        <w:jc w:val="both"/>
      </w:pPr>
      <w:r>
        <w:t>L'argomento è giuridicamente infondato per una ragione risolutiva</w:t>
      </w:r>
      <w:r w:rsidRPr="000F105F">
        <w:rPr>
          <w:b/>
          <w:bCs/>
        </w:rPr>
        <w:t xml:space="preserve">: Pavia Acque </w:t>
      </w:r>
      <w:proofErr w:type="spellStart"/>
      <w:r w:rsidRPr="000F105F">
        <w:rPr>
          <w:b/>
          <w:bCs/>
        </w:rPr>
        <w:t>S.c.a</w:t>
      </w:r>
      <w:proofErr w:type="spellEnd"/>
      <w:r w:rsidRPr="000F105F">
        <w:rPr>
          <w:b/>
          <w:bCs/>
        </w:rPr>
        <w:t xml:space="preserve"> r.l. è un soggetto giuridico autonomo</w:t>
      </w:r>
      <w:r>
        <w:t>, dotato di propria personalità giuridica di diritto privato, distinto dagli enti pubblici controllanti.</w:t>
      </w:r>
    </w:p>
    <w:p w14:paraId="7234C21E" w14:textId="196B4CB7" w:rsidR="00BF23ED" w:rsidRDefault="00D80285">
      <w:pPr>
        <w:spacing w:line="360" w:lineRule="auto"/>
        <w:ind w:firstLine="708"/>
        <w:jc w:val="both"/>
      </w:pPr>
      <w:r>
        <w:t xml:space="preserve">Il modello </w:t>
      </w:r>
      <w:proofErr w:type="spellStart"/>
      <w:r>
        <w:t>dell'</w:t>
      </w:r>
      <w:r w:rsidRPr="000F105F">
        <w:rPr>
          <w:i/>
          <w:iCs/>
        </w:rPr>
        <w:t>in</w:t>
      </w:r>
      <w:proofErr w:type="spellEnd"/>
      <w:r w:rsidRPr="000F105F">
        <w:rPr>
          <w:i/>
          <w:iCs/>
        </w:rPr>
        <w:t xml:space="preserve"> house </w:t>
      </w:r>
      <w:proofErr w:type="spellStart"/>
      <w:r w:rsidRPr="000F105F">
        <w:rPr>
          <w:i/>
          <w:iCs/>
        </w:rPr>
        <w:t>providing</w:t>
      </w:r>
      <w:proofErr w:type="spellEnd"/>
      <w:r>
        <w:t xml:space="preserve"> attiene al regime dell'affidamento e ai rapporti tra società ed ente affidante, non alla soggettività tributaria della società medesima.</w:t>
      </w:r>
    </w:p>
    <w:p w14:paraId="1B4382AA" w14:textId="37110DE0" w:rsidR="00513BDD" w:rsidRPr="00D52F3D" w:rsidRDefault="00D80285">
      <w:pPr>
        <w:spacing w:line="360" w:lineRule="auto"/>
        <w:ind w:firstLine="708"/>
        <w:jc w:val="both"/>
      </w:pPr>
      <w:r>
        <w:lastRenderedPageBreak/>
        <w:t xml:space="preserve">Su questo punto la </w:t>
      </w:r>
      <w:r w:rsidRPr="000F105F">
        <w:rPr>
          <w:b/>
          <w:bCs/>
        </w:rPr>
        <w:t xml:space="preserve">Corte di Cassazione è </w:t>
      </w:r>
      <w:r w:rsidR="000F105F" w:rsidRPr="000F105F">
        <w:rPr>
          <w:b/>
          <w:bCs/>
        </w:rPr>
        <w:t>granitica</w:t>
      </w:r>
      <w:r w:rsidRPr="000F105F">
        <w:rPr>
          <w:b/>
          <w:bCs/>
        </w:rPr>
        <w:t xml:space="preserve">: </w:t>
      </w:r>
      <w:r w:rsidRPr="000F105F">
        <w:rPr>
          <w:b/>
          <w:bCs/>
          <w:i/>
          <w:iCs/>
        </w:rPr>
        <w:t>“Il controllo pubblico dominante non incide sull'alterità soggettiva della società rispetto all'amministrazione pubblica, in quanto la società in house rappresenta pur sempre un centro di imputazione di rapporti e posizioni giuridiche soggettive diverso dall'ente partecipante”</w:t>
      </w:r>
      <w:r w:rsidRPr="000F105F">
        <w:rPr>
          <w:b/>
          <w:bCs/>
        </w:rPr>
        <w:t xml:space="preserve"> (Cass. n. 3636/2025; Cass. n. 16866/2025</w:t>
      </w:r>
      <w:r w:rsidR="00513BDD" w:rsidRPr="00176E29">
        <w:rPr>
          <w:b/>
          <w:bCs/>
        </w:rPr>
        <w:t xml:space="preserve">; </w:t>
      </w:r>
      <w:proofErr w:type="spellStart"/>
      <w:r w:rsidR="00513BDD" w:rsidRPr="00176E29">
        <w:rPr>
          <w:b/>
        </w:rPr>
        <w:t>conf.</w:t>
      </w:r>
      <w:proofErr w:type="spellEnd"/>
      <w:r w:rsidR="00513BDD" w:rsidRPr="00176E29">
        <w:rPr>
          <w:b/>
        </w:rPr>
        <w:t xml:space="preserve"> Corte d’Appello Venezia n. 3441/2025</w:t>
      </w:r>
      <w:r w:rsidR="007E1A47">
        <w:rPr>
          <w:b/>
        </w:rPr>
        <w:t xml:space="preserve">, </w:t>
      </w:r>
      <w:r w:rsidR="007E1A47">
        <w:rPr>
          <w:b/>
          <w:bCs/>
        </w:rPr>
        <w:t>Doc. 10</w:t>
      </w:r>
      <w:r w:rsidR="007E1A47" w:rsidRPr="00D52F3D">
        <w:t>)</w:t>
      </w:r>
      <w:r w:rsidRPr="00D52F3D">
        <w:t>.</w:t>
      </w:r>
    </w:p>
    <w:p w14:paraId="6D07DB5A" w14:textId="0BB43435" w:rsidR="00BF23ED" w:rsidRDefault="00D80285">
      <w:pPr>
        <w:spacing w:line="360" w:lineRule="auto"/>
        <w:ind w:firstLine="708"/>
        <w:jc w:val="both"/>
      </w:pPr>
      <w:r>
        <w:t xml:space="preserve"> L'esenzione non può, pertanto, essere estesa al soggetto gestore del servizio, nemmeno laddove si tratti di affidamento </w:t>
      </w:r>
      <w:r w:rsidRPr="000F105F">
        <w:rPr>
          <w:i/>
          <w:iCs/>
        </w:rPr>
        <w:t>in house</w:t>
      </w:r>
      <w:r>
        <w:t>.</w:t>
      </w:r>
    </w:p>
    <w:p w14:paraId="1538F24B" w14:textId="6BE94276" w:rsidR="0070261C" w:rsidRDefault="0070261C" w:rsidP="0070261C">
      <w:pPr>
        <w:snapToGrid w:val="0"/>
        <w:spacing w:line="360" w:lineRule="auto"/>
        <w:ind w:firstLine="708"/>
        <w:jc w:val="both"/>
      </w:pPr>
      <w:r>
        <w:t xml:space="preserve">In senso conforme si è di recente pronunciata la </w:t>
      </w:r>
      <w:r>
        <w:rPr>
          <w:b/>
        </w:rPr>
        <w:t xml:space="preserve">Corte d’Appello di Venezia, </w:t>
      </w:r>
      <w:proofErr w:type="spellStart"/>
      <w:r>
        <w:rPr>
          <w:b/>
        </w:rPr>
        <w:t>sent</w:t>
      </w:r>
      <w:proofErr w:type="spellEnd"/>
      <w:r>
        <w:rPr>
          <w:b/>
        </w:rPr>
        <w:t>. sez. II n. 84 del 9 marzo 2026</w:t>
      </w:r>
      <w:r w:rsidR="007E1A47">
        <w:rPr>
          <w:b/>
        </w:rPr>
        <w:t xml:space="preserve"> (</w:t>
      </w:r>
      <w:r w:rsidR="007E1A47">
        <w:rPr>
          <w:b/>
          <w:bCs/>
        </w:rPr>
        <w:t>Doc. 10)</w:t>
      </w:r>
      <w:r>
        <w:t xml:space="preserve">, </w:t>
      </w:r>
      <w:r w:rsidRPr="004F2061">
        <w:rPr>
          <w:b/>
        </w:rPr>
        <w:t>su un caso identico a quello oggetto di giudizio</w:t>
      </w:r>
      <w:r w:rsidR="008634A1">
        <w:rPr>
          <w:b/>
        </w:rPr>
        <w:t xml:space="preserve">, </w:t>
      </w:r>
      <w:r w:rsidRPr="008634A1">
        <w:rPr>
          <w:bCs/>
        </w:rPr>
        <w:t xml:space="preserve">gestore idrico </w:t>
      </w:r>
      <w:r w:rsidRPr="008634A1">
        <w:rPr>
          <w:bCs/>
          <w:i/>
        </w:rPr>
        <w:t>in-house</w:t>
      </w:r>
      <w:r w:rsidR="007E1A47" w:rsidRPr="008634A1">
        <w:rPr>
          <w:bCs/>
          <w:i/>
        </w:rPr>
        <w:t xml:space="preserve">, </w:t>
      </w:r>
      <w:r w:rsidRPr="008634A1">
        <w:rPr>
          <w:bCs/>
        </w:rPr>
        <w:t>la</w:t>
      </w:r>
      <w:r>
        <w:t xml:space="preserve"> quale ha statuito: “</w:t>
      </w:r>
      <w:r>
        <w:rPr>
          <w:i/>
        </w:rPr>
        <w:t>Trattandosi di esenzione, l’ipotesi è di stretta interpretazione e non può essere estesa al soggetto gestore del servizio, nemmeno laddove si tratti di affidamento in house, che, come chiarito dalla giurisprudenza di legittimità, non incide sull’alterità soggettiva della società rispetto all’amministrazione pubblica, in quanto la società in house rappresenta pur sempre un centro di imputazione di rapporti e posizioni giuridiche soggettive diverso dall’ente partecipante, e dunque non si configura l’occupazione diretta “da parte del comune” quale soggetto ex lege esente</w:t>
      </w:r>
      <w:r>
        <w:t>”.</w:t>
      </w:r>
    </w:p>
    <w:p w14:paraId="44B3ECEE" w14:textId="77777777" w:rsidR="0070261C" w:rsidRDefault="0070261C" w:rsidP="0070261C">
      <w:pPr>
        <w:snapToGrid w:val="0"/>
        <w:spacing w:line="360" w:lineRule="auto"/>
        <w:ind w:firstLine="708"/>
        <w:jc w:val="both"/>
      </w:pPr>
      <w:r>
        <w:t xml:space="preserve">Si ricorda, infine, che </w:t>
      </w:r>
      <w:r w:rsidRPr="002A0492">
        <w:rPr>
          <w:u w:val="single"/>
        </w:rPr>
        <w:t xml:space="preserve">le norme di esenzione, in quanto derogatorie della regola generale dell’onerosità, sono di </w:t>
      </w:r>
      <w:r w:rsidRPr="002A0492">
        <w:rPr>
          <w:b/>
          <w:u w:val="single"/>
        </w:rPr>
        <w:t>stretta interpretazione</w:t>
      </w:r>
      <w:r>
        <w:t xml:space="preserve"> e non possono essere applicate al di fuori delle ipotesi espressamente e tassativamente previste, restando preclusa qualsiasi interpretazione analogica o estensiva (Cass. civ., Sez. I, 05.11.2024, n. 28378; Cass. civ., Sez. I, 25.09.2024, n. 25614).</w:t>
      </w:r>
    </w:p>
    <w:p w14:paraId="2D331DC5" w14:textId="5674EF88" w:rsidR="00BF23ED" w:rsidRDefault="00D80285">
      <w:pPr>
        <w:spacing w:line="360" w:lineRule="auto"/>
        <w:ind w:firstLine="708"/>
        <w:jc w:val="both"/>
      </w:pPr>
      <w:r>
        <w:t xml:space="preserve">Quanto, poi, all'esenzione invocata ex art. 52, comma 1, lett. o), del Regolamento comunale — relativa alle </w:t>
      </w:r>
      <w:r w:rsidR="007B6432" w:rsidRPr="000F105F">
        <w:rPr>
          <w:i/>
          <w:iCs/>
        </w:rPr>
        <w:t>“</w:t>
      </w:r>
      <w:r w:rsidRPr="000F105F">
        <w:rPr>
          <w:i/>
          <w:iCs/>
        </w:rPr>
        <w:t>occupazioni effettuate da imprese che eseguono in appalto lavori per conto della Civica Amministrazione</w:t>
      </w:r>
      <w:r w:rsidR="007B6432" w:rsidRPr="000F105F">
        <w:rPr>
          <w:i/>
          <w:iCs/>
        </w:rPr>
        <w:t>”</w:t>
      </w:r>
      <w:r>
        <w:t xml:space="preserve"> — essa è all'evidenza inconferente: Pavia Acque non è un'impresa appaltatrice di lavori per conto del Comune di Palestro, bensì il gestore del servizio idrico integrato, sicché la fattispecie regolamentare non ricorre.</w:t>
      </w:r>
    </w:p>
    <w:p w14:paraId="1D09E87C" w14:textId="0B651472" w:rsidR="00BF23ED" w:rsidRDefault="00D80285">
      <w:pPr>
        <w:spacing w:line="360" w:lineRule="auto"/>
        <w:ind w:firstLine="708"/>
        <w:jc w:val="both"/>
      </w:pPr>
      <w:r>
        <w:rPr>
          <w:b/>
          <w:bCs/>
        </w:rPr>
        <w:t>3. SULL'INSUSSISTENZA DELLA PRETESA ESENZIONE EX ART. 1, COMMA 833, LETTERA d), L. N. 160/2019 E ART. 52, COMMA 1, LETT. c), DEL REGOLAMENTO.</w:t>
      </w:r>
    </w:p>
    <w:p w14:paraId="61E87E57" w14:textId="77777777" w:rsidR="002D3EC9" w:rsidRDefault="00D80285" w:rsidP="002D3EC9">
      <w:pPr>
        <w:snapToGrid w:val="0"/>
        <w:spacing w:line="360" w:lineRule="auto"/>
        <w:ind w:firstLine="708"/>
        <w:jc w:val="both"/>
      </w:pPr>
      <w:r>
        <w:t xml:space="preserve">L'opponente </w:t>
      </w:r>
      <w:r w:rsidR="002D3EC9">
        <w:t>invoca, anche, l’esenzione di cui all’art. 1, comma 833, lett. d), L. n. 160/2019, che esenta dal canone “</w:t>
      </w:r>
      <w:r w:rsidR="002D3EC9">
        <w:rPr>
          <w:i/>
        </w:rPr>
        <w:t xml:space="preserve">d) le occupazioni con impianti adibiti ai servizi </w:t>
      </w:r>
      <w:r w:rsidR="002D3EC9">
        <w:rPr>
          <w:i/>
        </w:rPr>
        <w:lastRenderedPageBreak/>
        <w:t xml:space="preserve">pubblici nei casi in cui ne sia prevista, all’atto della concessione o successivamente, la </w:t>
      </w:r>
      <w:r w:rsidR="002D3EC9" w:rsidRPr="002A0492">
        <w:rPr>
          <w:b/>
          <w:i/>
          <w:u w:val="single"/>
        </w:rPr>
        <w:t>devoluzione gratuita al comune al termine della concessione medesima</w:t>
      </w:r>
      <w:r w:rsidR="002D3EC9">
        <w:t>”.</w:t>
      </w:r>
    </w:p>
    <w:p w14:paraId="49AA49A5" w14:textId="6E3AF3B5" w:rsidR="002D3EC9" w:rsidRDefault="002D3EC9" w:rsidP="002D3EC9">
      <w:pPr>
        <w:snapToGrid w:val="0"/>
        <w:spacing w:line="360" w:lineRule="auto"/>
        <w:ind w:firstLine="708"/>
        <w:jc w:val="both"/>
      </w:pPr>
      <w:r>
        <w:t>Ebbene, l’affermazione che Pavia Acque non sarebbe tenuta al pagamento del Canone Unico, in virtù della suddetta esenzione, muove da un’interpretazione non corretta della norma.</w:t>
      </w:r>
    </w:p>
    <w:p w14:paraId="758A452B" w14:textId="77777777" w:rsidR="00691DB2" w:rsidRDefault="00691DB2" w:rsidP="00691DB2">
      <w:pPr>
        <w:snapToGrid w:val="0"/>
        <w:spacing w:line="360" w:lineRule="auto"/>
        <w:ind w:firstLine="708"/>
        <w:jc w:val="both"/>
      </w:pPr>
      <w:r>
        <w:t xml:space="preserve">Ed infatti, l’esenzione in parola presuppone necessariamente che il </w:t>
      </w:r>
      <w:r w:rsidRPr="002A0492">
        <w:rPr>
          <w:b/>
          <w:u w:val="single"/>
        </w:rPr>
        <w:t>concessionario abbia realizzato impianti di propria pertinenza e a proprie spese, destinati ad essere devoluti gratuitamente al Comune al termine del rapporto concessorio.</w:t>
      </w:r>
      <w:r>
        <w:t xml:space="preserve"> </w:t>
      </w:r>
    </w:p>
    <w:p w14:paraId="548C739D" w14:textId="6788C830" w:rsidR="00691DB2" w:rsidRDefault="00691DB2" w:rsidP="00691DB2">
      <w:pPr>
        <w:snapToGrid w:val="0"/>
        <w:spacing w:line="360" w:lineRule="auto"/>
        <w:ind w:firstLine="708"/>
        <w:jc w:val="both"/>
      </w:pPr>
      <w:r>
        <w:t xml:space="preserve">La </w:t>
      </w:r>
      <w:r>
        <w:rPr>
          <w:i/>
        </w:rPr>
        <w:t>ratio</w:t>
      </w:r>
      <w:r>
        <w:t xml:space="preserve"> della norma risiede nel fatto che, a fronte del </w:t>
      </w:r>
      <w:r w:rsidRPr="002A0492">
        <w:rPr>
          <w:u w:val="single"/>
        </w:rPr>
        <w:t>sacrificio patrimoniale</w:t>
      </w:r>
      <w:r>
        <w:t xml:space="preserve"> sopportato dal concessionario che rinuncia senza compenso ai propri impianti, viene meno il presupposto essenziale per l’applicazione del canone: il </w:t>
      </w:r>
      <w:r w:rsidRPr="002A0492">
        <w:rPr>
          <w:b/>
          <w:u w:val="single"/>
        </w:rPr>
        <w:t xml:space="preserve">beneficio arrecato all’ente con la devoluzione gratuita di infrastrutture realizzate dalla società di gestione </w:t>
      </w:r>
      <w:r w:rsidR="005C2466">
        <w:rPr>
          <w:b/>
          <w:u w:val="single"/>
        </w:rPr>
        <w:t>a spese proprie</w:t>
      </w:r>
      <w:r w:rsidR="005C2466" w:rsidRPr="002A0492">
        <w:rPr>
          <w:b/>
          <w:u w:val="single"/>
        </w:rPr>
        <w:t xml:space="preserve"> </w:t>
      </w:r>
      <w:r w:rsidRPr="002A0492">
        <w:rPr>
          <w:b/>
          <w:u w:val="single"/>
        </w:rPr>
        <w:t>giustifica l’esonero dal canone durante il rapporto</w:t>
      </w:r>
      <w:r>
        <w:t xml:space="preserve"> (cfr. Cass. sez. </w:t>
      </w:r>
      <w:proofErr w:type="spellStart"/>
      <w:r>
        <w:t>trib</w:t>
      </w:r>
      <w:proofErr w:type="spellEnd"/>
      <w:r>
        <w:t>. n. 15247/2012).</w:t>
      </w:r>
    </w:p>
    <w:p w14:paraId="2B3C2494" w14:textId="77777777" w:rsidR="00691DB2" w:rsidRDefault="00691DB2" w:rsidP="00691DB2">
      <w:pPr>
        <w:snapToGrid w:val="0"/>
        <w:spacing w:line="360" w:lineRule="auto"/>
        <w:ind w:firstLine="708"/>
        <w:jc w:val="both"/>
      </w:pPr>
      <w:r>
        <w:rPr>
          <w:b/>
        </w:rPr>
        <w:t>Nel caso di specie, tale presupposto è radicalmente assente.</w:t>
      </w:r>
    </w:p>
    <w:p w14:paraId="19055E62" w14:textId="77777777" w:rsidR="00691DB2" w:rsidRDefault="00D80285">
      <w:pPr>
        <w:spacing w:line="360" w:lineRule="auto"/>
        <w:ind w:firstLine="708"/>
        <w:jc w:val="both"/>
      </w:pPr>
      <w:r>
        <w:t xml:space="preserve">Le reti idriche e fognarie utilizzate da Pavia Acque non sono di sua proprietà, bensì </w:t>
      </w:r>
      <w:r w:rsidRPr="005C2466">
        <w:rPr>
          <w:b/>
          <w:bCs/>
          <w:u w:val="single"/>
        </w:rPr>
        <w:t xml:space="preserve">sono già di proprietà pubblica degli enti locali ai sensi dell'art. 143 </w:t>
      </w:r>
      <w:proofErr w:type="spellStart"/>
      <w:r w:rsidRPr="005C2466">
        <w:rPr>
          <w:b/>
          <w:bCs/>
          <w:u w:val="single"/>
        </w:rPr>
        <w:t>D.Lgs.</w:t>
      </w:r>
      <w:proofErr w:type="spellEnd"/>
      <w:r w:rsidRPr="005C2466">
        <w:rPr>
          <w:b/>
          <w:bCs/>
          <w:u w:val="single"/>
        </w:rPr>
        <w:t xml:space="preserve"> n. 152/2006,</w:t>
      </w:r>
      <w:r>
        <w:t xml:space="preserve"> e le stesse vengono semplicemente </w:t>
      </w:r>
      <w:r w:rsidRPr="005C2466">
        <w:rPr>
          <w:b/>
          <w:bCs/>
          <w:u w:val="single"/>
        </w:rPr>
        <w:t>concesse in uso gratuito al gestore</w:t>
      </w:r>
      <w:r>
        <w:t xml:space="preserve"> ai sensi dell'art. 153 del medesimo decreto. </w:t>
      </w:r>
    </w:p>
    <w:p w14:paraId="15F455D6" w14:textId="6955BB75" w:rsidR="00BF23ED" w:rsidRPr="00691DB2" w:rsidRDefault="00D80285">
      <w:pPr>
        <w:spacing w:line="360" w:lineRule="auto"/>
        <w:ind w:firstLine="708"/>
        <w:jc w:val="both"/>
        <w:rPr>
          <w:u w:val="single"/>
        </w:rPr>
      </w:pPr>
      <w:r>
        <w:t xml:space="preserve">Al termine dell'affidamento tali beni verranno </w:t>
      </w:r>
      <w:r w:rsidRPr="005C2466">
        <w:rPr>
          <w:b/>
          <w:bCs/>
          <w:u w:val="single"/>
        </w:rPr>
        <w:t>restituiti, non devoluti</w:t>
      </w:r>
      <w:r>
        <w:t xml:space="preserve">: si tratta della </w:t>
      </w:r>
      <w:r w:rsidRPr="00691DB2">
        <w:rPr>
          <w:u w:val="single"/>
        </w:rPr>
        <w:t>restituzione di beni già altrui, e non della cessione di beni propri da parte del gestore al Comune.</w:t>
      </w:r>
    </w:p>
    <w:p w14:paraId="7BA10FFF" w14:textId="61D06498" w:rsidR="00CF565D" w:rsidRPr="008D3806" w:rsidRDefault="00D80285">
      <w:pPr>
        <w:spacing w:line="360" w:lineRule="auto"/>
        <w:ind w:firstLine="708"/>
        <w:jc w:val="both"/>
        <w:rPr>
          <w:b/>
          <w:bCs/>
        </w:rPr>
      </w:pPr>
      <w:r>
        <w:t xml:space="preserve">Lo conferma la stessa Convenzione richiamata dall'opponente, </w:t>
      </w:r>
      <w:r w:rsidR="008D3806">
        <w:t>che obbliga</w:t>
      </w:r>
      <w:r w:rsidR="005C2466">
        <w:t xml:space="preserve"> </w:t>
      </w:r>
      <w:r w:rsidRPr="007A6D8D">
        <w:t xml:space="preserve">espressamente il Gestore a </w:t>
      </w:r>
      <w:r w:rsidRPr="005C2466">
        <w:rPr>
          <w:b/>
          <w:bCs/>
          <w:i/>
          <w:iCs/>
          <w:u w:val="single"/>
        </w:rPr>
        <w:t>“restituire</w:t>
      </w:r>
      <w:r w:rsidR="008D3806" w:rsidRPr="008D3806">
        <w:rPr>
          <w:b/>
          <w:bCs/>
          <w:i/>
          <w:iCs/>
        </w:rPr>
        <w:t>”</w:t>
      </w:r>
      <w:r w:rsidRPr="008D3806">
        <w:rPr>
          <w:b/>
          <w:bCs/>
          <w:i/>
          <w:iCs/>
        </w:rPr>
        <w:t xml:space="preserve"> </w:t>
      </w:r>
      <w:r w:rsidRPr="008D3806">
        <w:rPr>
          <w:b/>
          <w:bCs/>
        </w:rPr>
        <w:t>all'E</w:t>
      </w:r>
      <w:r w:rsidR="008D3806" w:rsidRPr="008D3806">
        <w:rPr>
          <w:b/>
          <w:bCs/>
        </w:rPr>
        <w:t xml:space="preserve">nte di </w:t>
      </w:r>
      <w:r w:rsidRPr="008D3806">
        <w:rPr>
          <w:b/>
          <w:bCs/>
        </w:rPr>
        <w:t>G</w:t>
      </w:r>
      <w:r w:rsidR="008D3806" w:rsidRPr="008D3806">
        <w:rPr>
          <w:b/>
          <w:bCs/>
        </w:rPr>
        <w:t>overno d’</w:t>
      </w:r>
      <w:r w:rsidRPr="008D3806">
        <w:rPr>
          <w:b/>
          <w:bCs/>
        </w:rPr>
        <w:t>A</w:t>
      </w:r>
      <w:r w:rsidR="008D3806" w:rsidRPr="008D3806">
        <w:rPr>
          <w:b/>
          <w:bCs/>
        </w:rPr>
        <w:t>mbito (EGA)</w:t>
      </w:r>
      <w:r w:rsidRPr="008D3806">
        <w:rPr>
          <w:b/>
          <w:bCs/>
        </w:rPr>
        <w:t>,</w:t>
      </w:r>
      <w:r w:rsidR="008D3806" w:rsidRPr="008D3806">
        <w:rPr>
          <w:b/>
          <w:bCs/>
        </w:rPr>
        <w:t xml:space="preserve"> </w:t>
      </w:r>
      <w:r w:rsidRPr="008D3806">
        <w:rPr>
          <w:b/>
          <w:bCs/>
        </w:rPr>
        <w:t xml:space="preserve">alla scadenza dell'affidamento, tutte le opere, gli impianti e le canalizzazioni del Servizio Idrico Integrato. </w:t>
      </w:r>
    </w:p>
    <w:p w14:paraId="598DBAF9" w14:textId="2AE0581D" w:rsidR="00BF23ED" w:rsidRPr="007A6D8D" w:rsidRDefault="00D80285">
      <w:pPr>
        <w:spacing w:line="360" w:lineRule="auto"/>
        <w:ind w:firstLine="708"/>
        <w:jc w:val="both"/>
      </w:pPr>
      <w:r w:rsidRPr="007A6D8D">
        <w:t xml:space="preserve">Il verbo utilizzato è </w:t>
      </w:r>
      <w:r w:rsidR="00691DB2" w:rsidRPr="007A6D8D">
        <w:t>“</w:t>
      </w:r>
      <w:r w:rsidRPr="007A6D8D">
        <w:t>restituire</w:t>
      </w:r>
      <w:r w:rsidR="00691DB2" w:rsidRPr="007A6D8D">
        <w:t>”</w:t>
      </w:r>
      <w:r w:rsidRPr="007A6D8D">
        <w:t xml:space="preserve">, non </w:t>
      </w:r>
      <w:r w:rsidR="00691DB2" w:rsidRPr="007A6D8D">
        <w:t>“</w:t>
      </w:r>
      <w:r w:rsidRPr="007A6D8D">
        <w:t>devolvere</w:t>
      </w:r>
      <w:r w:rsidR="00691DB2" w:rsidRPr="007A6D8D">
        <w:t>”</w:t>
      </w:r>
      <w:r w:rsidRPr="007A6D8D">
        <w:t>: distinzione lessicale che riflette esattamente la differenza giuridica tra la riconsegna di beni altrui e la cessione di beni propri.</w:t>
      </w:r>
    </w:p>
    <w:p w14:paraId="43EB870B" w14:textId="77777777" w:rsidR="00D71B91" w:rsidRPr="007A6D8D" w:rsidRDefault="00D80285">
      <w:pPr>
        <w:spacing w:line="360" w:lineRule="auto"/>
        <w:ind w:firstLine="708"/>
        <w:jc w:val="both"/>
        <w:rPr>
          <w:u w:val="single"/>
        </w:rPr>
      </w:pPr>
      <w:r w:rsidRPr="007A6D8D">
        <w:rPr>
          <w:u w:val="single"/>
        </w:rPr>
        <w:t xml:space="preserve">La giurisprudenza è univoca. </w:t>
      </w:r>
    </w:p>
    <w:p w14:paraId="2D4AC032" w14:textId="49DAA6D4" w:rsidR="00BF23ED" w:rsidRPr="007A6D8D" w:rsidRDefault="00D80285" w:rsidP="008C6E4B">
      <w:pPr>
        <w:spacing w:line="360" w:lineRule="auto"/>
        <w:ind w:firstLine="708"/>
        <w:jc w:val="both"/>
      </w:pPr>
      <w:r w:rsidRPr="007A6D8D">
        <w:t xml:space="preserve">La Corte di Giustizia Tributaria di secondo grado dell'Emilia-Romagna, con sentenza n. 526/2024 </w:t>
      </w:r>
      <w:r w:rsidRPr="007A6D8D">
        <w:rPr>
          <w:b/>
          <w:bCs/>
        </w:rPr>
        <w:t>(Doc. 11)</w:t>
      </w:r>
      <w:r w:rsidRPr="007A6D8D">
        <w:t xml:space="preserve">, pronunciata su fattispecie analoga, ha statuito che </w:t>
      </w:r>
      <w:r w:rsidRPr="007A6D8D">
        <w:rPr>
          <w:i/>
          <w:iCs/>
        </w:rPr>
        <w:t xml:space="preserve">“la devoluzione gratuita va intesa in senso letterale: gratuito vuol dire gratuito; al </w:t>
      </w:r>
      <w:r w:rsidRPr="007A6D8D">
        <w:rPr>
          <w:i/>
          <w:iCs/>
        </w:rPr>
        <w:lastRenderedPageBreak/>
        <w:t>comune vuol dire al comune, non ad altri soggetti”</w:t>
      </w:r>
      <w:r w:rsidRPr="007A6D8D">
        <w:t xml:space="preserve">, ribadendo la natura tassativa delle ipotesi di esenzione. Nello stesso senso il Tribunale di Rovigo, con pronuncia del 22 novembre 2024 </w:t>
      </w:r>
      <w:r w:rsidRPr="007A6D8D">
        <w:rPr>
          <w:b/>
          <w:bCs/>
        </w:rPr>
        <w:t>(Doc. 12)</w:t>
      </w:r>
      <w:r w:rsidRPr="007A6D8D">
        <w:t xml:space="preserve">, ha affermato che </w:t>
      </w:r>
      <w:r w:rsidRPr="007A6D8D">
        <w:rPr>
          <w:i/>
          <w:iCs/>
        </w:rPr>
        <w:t>“non è gratuita la devoluzione di un impianto che già era di proprietà dell'ente, trattandosi di mera restituzione”</w:t>
      </w:r>
      <w:r w:rsidRPr="007A6D8D">
        <w:t>.</w:t>
      </w:r>
    </w:p>
    <w:p w14:paraId="4698F8A3" w14:textId="3B6ED771" w:rsidR="005C2466" w:rsidRDefault="008D3806" w:rsidP="008D3806">
      <w:pPr>
        <w:shd w:val="clear" w:color="auto" w:fill="FDFDFC"/>
        <w:spacing w:line="360" w:lineRule="auto"/>
        <w:jc w:val="both"/>
        <w:rPr>
          <w:rFonts w:eastAsia="Times New Roman"/>
          <w:color w:val="0B0B0B"/>
        </w:rPr>
      </w:pPr>
      <w:r>
        <w:rPr>
          <w:rFonts w:eastAsia="Times New Roman"/>
          <w:b/>
          <w:bCs/>
          <w:color w:val="0B0B0B"/>
        </w:rPr>
        <w:tab/>
      </w:r>
      <w:r w:rsidR="008C6E4B" w:rsidRPr="008C6E4B">
        <w:rPr>
          <w:rFonts w:eastAsia="Times New Roman"/>
          <w:color w:val="0B0B0B"/>
        </w:rPr>
        <w:t xml:space="preserve">Pavia Acque sostiene </w:t>
      </w:r>
      <w:r w:rsidR="005C2466">
        <w:rPr>
          <w:rFonts w:eastAsia="Times New Roman"/>
          <w:color w:val="0B0B0B"/>
        </w:rPr>
        <w:t xml:space="preserve">anche </w:t>
      </w:r>
      <w:r w:rsidR="008C6E4B" w:rsidRPr="008C6E4B">
        <w:rPr>
          <w:rFonts w:eastAsia="Times New Roman"/>
          <w:color w:val="0B0B0B"/>
        </w:rPr>
        <w:t>che, ove per assurdo fosse tenuta al pagamento del CUP a ciascun Comune della Provincia di Pavia, tale pagamento diverrebbe parte dei costi di gestione inevitabilmente ribaltati sulle tariffe dei cittadini utenti.</w:t>
      </w:r>
    </w:p>
    <w:p w14:paraId="49BD04A1" w14:textId="77777777" w:rsidR="005C2466" w:rsidRDefault="008C6E4B" w:rsidP="005C2466">
      <w:pPr>
        <w:shd w:val="clear" w:color="auto" w:fill="FDFDFC"/>
        <w:spacing w:line="360" w:lineRule="auto"/>
        <w:ind w:firstLine="567"/>
        <w:jc w:val="both"/>
        <w:rPr>
          <w:rFonts w:eastAsia="Times New Roman"/>
          <w:color w:val="0B0B0B"/>
        </w:rPr>
      </w:pPr>
      <w:r w:rsidRPr="008C6E4B">
        <w:rPr>
          <w:rFonts w:eastAsia="Times New Roman"/>
          <w:color w:val="0B0B0B"/>
        </w:rPr>
        <w:t>Tale argomento è del tutto irrilevante sul piano giuridico: si tratta di una considerazione di politica economica, non di un argomento normativo o giurisprudenziale che incida sulla sussistenza del presupposto impositivo o sull'applicabilità delle esenzioni.</w:t>
      </w:r>
    </w:p>
    <w:p w14:paraId="44E2C77A" w14:textId="73676050" w:rsidR="008C6E4B" w:rsidRPr="008C6E4B" w:rsidRDefault="008C6E4B" w:rsidP="005C2466">
      <w:pPr>
        <w:shd w:val="clear" w:color="auto" w:fill="FDFDFC"/>
        <w:spacing w:line="360" w:lineRule="auto"/>
        <w:ind w:firstLine="567"/>
        <w:jc w:val="both"/>
        <w:rPr>
          <w:rFonts w:eastAsia="Times New Roman"/>
          <w:color w:val="0B0B0B"/>
        </w:rPr>
      </w:pPr>
      <w:r w:rsidRPr="008C6E4B">
        <w:rPr>
          <w:rFonts w:eastAsia="Times New Roman"/>
          <w:color w:val="0B0B0B"/>
        </w:rPr>
        <w:t>È principio generale che i costi operativi del gestore, inclusi quelli tributari, vengano recuperati attraverso la tariffa regolata da ARERA: ma questo è un rapporto tra Pavia Acque e la sua utenza, che non incide in alcun modo sul rapporto tributario tra Pavia Acque e il Comune.</w:t>
      </w:r>
    </w:p>
    <w:p w14:paraId="40CCB3AB" w14:textId="5BE44D31" w:rsidR="004347F4" w:rsidRDefault="008D3806" w:rsidP="008C6E4B">
      <w:pPr>
        <w:shd w:val="clear" w:color="auto" w:fill="FDFDFC"/>
        <w:spacing w:line="360" w:lineRule="auto"/>
        <w:jc w:val="both"/>
        <w:rPr>
          <w:rFonts w:eastAsia="Times New Roman"/>
          <w:color w:val="0B0B0B"/>
        </w:rPr>
      </w:pPr>
      <w:r>
        <w:rPr>
          <w:rFonts w:eastAsia="Times New Roman"/>
          <w:b/>
          <w:bCs/>
          <w:color w:val="0B0B0B"/>
        </w:rPr>
        <w:tab/>
      </w:r>
      <w:r w:rsidR="008C6E4B" w:rsidRPr="008C6E4B">
        <w:rPr>
          <w:rFonts w:eastAsia="Times New Roman"/>
          <w:color w:val="0B0B0B"/>
        </w:rPr>
        <w:t xml:space="preserve">Come visto, Pavia Acque richiama, a </w:t>
      </w:r>
      <w:r w:rsidR="008C6E4B" w:rsidRPr="004347F4">
        <w:rPr>
          <w:rFonts w:eastAsia="Times New Roman"/>
          <w:color w:val="0B0B0B"/>
        </w:rPr>
        <w:t xml:space="preserve">sostegno della propria tesi, </w:t>
      </w:r>
      <w:r w:rsidR="004347F4" w:rsidRPr="004347F4">
        <w:rPr>
          <w:rFonts w:eastAsia="Times New Roman"/>
          <w:color w:val="0B0B0B"/>
        </w:rPr>
        <w:t>le previsioni della Convenzione per la gestione del Servizio Idrico Integrato — da essa stessa prodotta in giudizio — con cui le reti le sono state concesse in uso gratuito, deducendone l'esonero da ogni onere a carico del gestore.</w:t>
      </w:r>
    </w:p>
    <w:p w14:paraId="7A1A6EC0" w14:textId="02B0D8D5" w:rsidR="005C2466" w:rsidRDefault="004347F4" w:rsidP="004347F4">
      <w:pPr>
        <w:shd w:val="clear" w:color="auto" w:fill="FDFDFC"/>
        <w:spacing w:line="360" w:lineRule="auto"/>
        <w:jc w:val="both"/>
        <w:rPr>
          <w:rFonts w:eastAsia="Times New Roman"/>
          <w:color w:val="0B0B0B"/>
        </w:rPr>
      </w:pPr>
      <w:r>
        <w:rPr>
          <w:rFonts w:eastAsia="Times New Roman"/>
          <w:color w:val="0B0B0B"/>
        </w:rPr>
        <w:tab/>
      </w:r>
      <w:r w:rsidR="008C6E4B" w:rsidRPr="008C6E4B">
        <w:rPr>
          <w:rFonts w:eastAsia="Times New Roman"/>
          <w:color w:val="0B0B0B"/>
        </w:rPr>
        <w:t>Tale clausola è inidonea a derogare a una norma imperativa di legge.</w:t>
      </w:r>
      <w:r w:rsidR="008C6E4B" w:rsidRPr="008C6E4B">
        <w:rPr>
          <w:rFonts w:eastAsia="Times New Roman"/>
          <w:color w:val="0B0B0B"/>
        </w:rPr>
        <w:br/>
      </w:r>
      <w:r>
        <w:rPr>
          <w:rFonts w:eastAsia="Times New Roman"/>
          <w:color w:val="0B0B0B"/>
        </w:rPr>
        <w:tab/>
      </w:r>
      <w:r w:rsidR="005C2466">
        <w:rPr>
          <w:rFonts w:eastAsia="Times New Roman"/>
          <w:color w:val="0B0B0B"/>
        </w:rPr>
        <w:t xml:space="preserve">In primo luogo </w:t>
      </w:r>
      <w:proofErr w:type="spellStart"/>
      <w:r w:rsidR="005C2466">
        <w:rPr>
          <w:rFonts w:eastAsia="Times New Roman"/>
          <w:color w:val="0B0B0B"/>
        </w:rPr>
        <w:t>perchè</w:t>
      </w:r>
      <w:proofErr w:type="spellEnd"/>
      <w:r w:rsidR="005C2466">
        <w:rPr>
          <w:rFonts w:eastAsia="Times New Roman"/>
          <w:color w:val="0B0B0B"/>
        </w:rPr>
        <w:t xml:space="preserve"> si riferisce al canone concessorio e non al Canone Unico Patrimoniale che è cosa diversa. </w:t>
      </w:r>
    </w:p>
    <w:p w14:paraId="496EE5F4" w14:textId="77777777" w:rsidR="005C2466" w:rsidRDefault="005C2466" w:rsidP="005C2466">
      <w:pPr>
        <w:shd w:val="clear" w:color="auto" w:fill="FDFDFC"/>
        <w:spacing w:line="360" w:lineRule="auto"/>
        <w:ind w:firstLine="708"/>
        <w:jc w:val="both"/>
        <w:rPr>
          <w:rFonts w:eastAsia="Times New Roman"/>
          <w:color w:val="0B0B0B"/>
        </w:rPr>
      </w:pPr>
      <w:r>
        <w:rPr>
          <w:rFonts w:eastAsia="Times New Roman"/>
          <w:color w:val="0B0B0B"/>
        </w:rPr>
        <w:t>In ogni caso, ne</w:t>
      </w:r>
      <w:r w:rsidR="008C6E4B" w:rsidRPr="008C6E4B">
        <w:rPr>
          <w:rFonts w:eastAsia="Times New Roman"/>
          <w:color w:val="0B0B0B"/>
        </w:rPr>
        <w:t xml:space="preserve">ssuna convenzione di diritto privato – ancorché tra soggetti pubblici – può esonerare un soggetto passivo da un obbligo </w:t>
      </w:r>
      <w:r>
        <w:rPr>
          <w:rFonts w:eastAsia="Times New Roman"/>
          <w:color w:val="0B0B0B"/>
        </w:rPr>
        <w:t xml:space="preserve">tributario </w:t>
      </w:r>
      <w:r w:rsidR="008C6E4B" w:rsidRPr="008C6E4B">
        <w:rPr>
          <w:rFonts w:eastAsia="Times New Roman"/>
          <w:color w:val="0B0B0B"/>
        </w:rPr>
        <w:t>imposto dalla legge</w:t>
      </w:r>
      <w:r>
        <w:rPr>
          <w:rFonts w:eastAsia="Times New Roman"/>
          <w:color w:val="0B0B0B"/>
        </w:rPr>
        <w:t xml:space="preserve"> atteso il </w:t>
      </w:r>
      <w:r w:rsidR="008C6E4B" w:rsidRPr="008C6E4B">
        <w:rPr>
          <w:rFonts w:eastAsia="Times New Roman"/>
          <w:color w:val="0B0B0B"/>
        </w:rPr>
        <w:t>principio di riserva di legge in materia di entrate pubbliche.</w:t>
      </w:r>
      <w:r w:rsidR="008C6E4B" w:rsidRPr="008C6E4B">
        <w:rPr>
          <w:rFonts w:eastAsia="Times New Roman"/>
          <w:color w:val="0B0B0B"/>
        </w:rPr>
        <w:br/>
      </w:r>
      <w:r w:rsidR="004347F4">
        <w:rPr>
          <w:rFonts w:eastAsia="Times New Roman"/>
          <w:color w:val="0B0B0B"/>
        </w:rPr>
        <w:tab/>
      </w:r>
      <w:r>
        <w:rPr>
          <w:rFonts w:eastAsia="Times New Roman"/>
          <w:color w:val="0B0B0B"/>
        </w:rPr>
        <w:t>Come detto, q</w:t>
      </w:r>
      <w:r w:rsidR="008C6E4B" w:rsidRPr="008C6E4B">
        <w:rPr>
          <w:rFonts w:eastAsia="Times New Roman"/>
          <w:color w:val="0B0B0B"/>
        </w:rPr>
        <w:t xml:space="preserve">ualunque tipo di agevolazione in materia fiscale deve trovare previsione nella Legge </w:t>
      </w:r>
      <w:r>
        <w:rPr>
          <w:rFonts w:eastAsia="Times New Roman"/>
          <w:color w:val="0B0B0B"/>
        </w:rPr>
        <w:t>e/o</w:t>
      </w:r>
      <w:r w:rsidR="008C6E4B" w:rsidRPr="008C6E4B">
        <w:rPr>
          <w:rFonts w:eastAsia="Times New Roman"/>
          <w:color w:val="0B0B0B"/>
        </w:rPr>
        <w:t xml:space="preserve"> nei singoli Regolamenti degli Enti locali; non è possibile accordare specifiche esenzioni ad alcuni soggetti, </w:t>
      </w:r>
      <w:r>
        <w:rPr>
          <w:rFonts w:eastAsia="Times New Roman"/>
          <w:color w:val="0B0B0B"/>
        </w:rPr>
        <w:t xml:space="preserve">siano essi </w:t>
      </w:r>
      <w:r w:rsidR="008C6E4B" w:rsidRPr="008C6E4B">
        <w:rPr>
          <w:rFonts w:eastAsia="Times New Roman"/>
          <w:color w:val="0B0B0B"/>
        </w:rPr>
        <w:t xml:space="preserve">fisici o giuridici, contenute in atti </w:t>
      </w:r>
      <w:r>
        <w:rPr>
          <w:rFonts w:eastAsia="Times New Roman"/>
          <w:color w:val="0B0B0B"/>
        </w:rPr>
        <w:t>negoziali</w:t>
      </w:r>
      <w:r w:rsidR="008C6E4B" w:rsidRPr="008C6E4B">
        <w:rPr>
          <w:rFonts w:eastAsia="Times New Roman"/>
          <w:color w:val="0B0B0B"/>
        </w:rPr>
        <w:t>.</w:t>
      </w:r>
    </w:p>
    <w:p w14:paraId="6B4F4F4E" w14:textId="33F46F3A" w:rsidR="008C6E4B" w:rsidRPr="004347F4" w:rsidRDefault="008C6E4B" w:rsidP="005C2466">
      <w:pPr>
        <w:shd w:val="clear" w:color="auto" w:fill="FDFDFC"/>
        <w:spacing w:line="360" w:lineRule="auto"/>
        <w:ind w:firstLine="708"/>
        <w:jc w:val="both"/>
        <w:rPr>
          <w:rFonts w:eastAsia="Times New Roman"/>
          <w:color w:val="0B0B0B"/>
        </w:rPr>
      </w:pPr>
      <w:r w:rsidRPr="008C6E4B">
        <w:rPr>
          <w:rFonts w:eastAsia="Times New Roman"/>
          <w:color w:val="0B0B0B"/>
        </w:rPr>
        <w:t xml:space="preserve">Il principio è, peraltro, ribadito dalla </w:t>
      </w:r>
      <w:proofErr w:type="gramStart"/>
      <w:r w:rsidRPr="008C6E4B">
        <w:rPr>
          <w:rFonts w:eastAsia="Times New Roman"/>
          <w:color w:val="0B0B0B"/>
        </w:rPr>
        <w:t>Corte dei Conti</w:t>
      </w:r>
      <w:proofErr w:type="gramEnd"/>
      <w:r w:rsidRPr="008C6E4B">
        <w:rPr>
          <w:rFonts w:eastAsia="Times New Roman"/>
          <w:color w:val="0B0B0B"/>
        </w:rPr>
        <w:t>, Sezione regionale di controllo per la Lombardia, con deliberazione n. 216/2024/PAR (</w:t>
      </w:r>
      <w:r w:rsidRPr="0037082C">
        <w:rPr>
          <w:rFonts w:eastAsia="Times New Roman"/>
          <w:b/>
          <w:bCs/>
          <w:color w:val="0B0B0B"/>
        </w:rPr>
        <w:t>Doc. 13),</w:t>
      </w:r>
      <w:r w:rsidRPr="008C6E4B">
        <w:rPr>
          <w:rFonts w:eastAsia="Times New Roman"/>
          <w:color w:val="0B0B0B"/>
        </w:rPr>
        <w:t xml:space="preserve"> che esclude la possibilità di accordare esenzioni dal Canone Unico non espressamente previste dalla legge, ovvero agevolazioni </w:t>
      </w:r>
      <w:r w:rsidRPr="005C2466">
        <w:rPr>
          <w:rFonts w:eastAsia="Times New Roman"/>
          <w:i/>
          <w:iCs/>
          <w:color w:val="0B0B0B"/>
        </w:rPr>
        <w:t>ad personam</w:t>
      </w:r>
      <w:r w:rsidRPr="008C6E4B">
        <w:rPr>
          <w:rFonts w:eastAsia="Times New Roman"/>
          <w:color w:val="0B0B0B"/>
        </w:rPr>
        <w:t xml:space="preserve"> in favore di singoli soggetti giuridici.</w:t>
      </w:r>
    </w:p>
    <w:p w14:paraId="4E89335A" w14:textId="77777777" w:rsidR="008C6E4B" w:rsidRDefault="008C6E4B">
      <w:pPr>
        <w:spacing w:line="360" w:lineRule="auto"/>
        <w:ind w:firstLine="708"/>
        <w:jc w:val="both"/>
        <w:rPr>
          <w:b/>
          <w:bCs/>
        </w:rPr>
      </w:pPr>
    </w:p>
    <w:p w14:paraId="09E293A2" w14:textId="5AA85CAB" w:rsidR="00BF23ED" w:rsidRDefault="00D80285">
      <w:pPr>
        <w:spacing w:line="360" w:lineRule="auto"/>
        <w:ind w:firstLine="708"/>
        <w:jc w:val="both"/>
      </w:pPr>
      <w:r>
        <w:rPr>
          <w:b/>
          <w:bCs/>
        </w:rPr>
        <w:lastRenderedPageBreak/>
        <w:t>4. NEL MERITO – SULLA LEGITTIMITÀ DEL</w:t>
      </w:r>
      <w:r w:rsidR="005C2466">
        <w:rPr>
          <w:b/>
          <w:bCs/>
        </w:rPr>
        <w:t xml:space="preserve"> RICORSO AL </w:t>
      </w:r>
      <w:r>
        <w:rPr>
          <w:b/>
          <w:bCs/>
        </w:rPr>
        <w:t>METODO PRESUNTIVO</w:t>
      </w:r>
      <w:r w:rsidR="00E83A41" w:rsidRPr="00E83A41">
        <w:rPr>
          <w:b/>
          <w:bCs/>
        </w:rPr>
        <w:t xml:space="preserve">, SUL PRETESO DIFETTO DI MOTIVAZIONE SULLA </w:t>
      </w:r>
      <w:r w:rsidRPr="00E83A41">
        <w:rPr>
          <w:b/>
          <w:bCs/>
        </w:rPr>
        <w:t xml:space="preserve">TARIFFA </w:t>
      </w:r>
      <w:r w:rsidR="00E83A41" w:rsidRPr="00E83A41">
        <w:rPr>
          <w:b/>
          <w:bCs/>
        </w:rPr>
        <w:t xml:space="preserve">APPLICATA </w:t>
      </w:r>
      <w:r w:rsidRPr="00E83A41">
        <w:rPr>
          <w:b/>
          <w:bCs/>
        </w:rPr>
        <w:t xml:space="preserve">E </w:t>
      </w:r>
      <w:r w:rsidR="00E83A41" w:rsidRPr="00E83A41">
        <w:rPr>
          <w:b/>
          <w:bCs/>
        </w:rPr>
        <w:t>SULL’</w:t>
      </w:r>
      <w:r w:rsidRPr="00E83A41">
        <w:rPr>
          <w:b/>
          <w:bCs/>
        </w:rPr>
        <w:t>ASSENZA DI DUPLICAZIONE.</w:t>
      </w:r>
    </w:p>
    <w:p w14:paraId="5DF8A31F" w14:textId="77777777" w:rsidR="00E83A41" w:rsidRDefault="00D80285">
      <w:pPr>
        <w:spacing w:line="360" w:lineRule="auto"/>
        <w:ind w:firstLine="708"/>
        <w:jc w:val="both"/>
      </w:pPr>
      <w:r>
        <w:t xml:space="preserve">In via di estremo subordine, l'opponente </w:t>
      </w:r>
      <w:r w:rsidR="00E83A41">
        <w:t>lamenta</w:t>
      </w:r>
      <w:r>
        <w:t xml:space="preserve"> la determinazione induttiva del numero delle utenze, il difetto di motivazione dell'atto, la tariffa applicata e la pretesa duplicazione del canone. </w:t>
      </w:r>
    </w:p>
    <w:p w14:paraId="54465BEE" w14:textId="7B509888" w:rsidR="00BF23ED" w:rsidRDefault="00D80285">
      <w:pPr>
        <w:spacing w:line="360" w:lineRule="auto"/>
        <w:ind w:firstLine="708"/>
        <w:jc w:val="both"/>
      </w:pPr>
      <w:r>
        <w:t>Le censure sono infondate.</w:t>
      </w:r>
    </w:p>
    <w:p w14:paraId="2A41AE80" w14:textId="703D18AB" w:rsidR="00BF23ED" w:rsidRDefault="00D80285">
      <w:pPr>
        <w:spacing w:line="360" w:lineRule="auto"/>
        <w:ind w:firstLine="708"/>
        <w:jc w:val="both"/>
      </w:pPr>
      <w:r>
        <w:t xml:space="preserve">Quanto al metodo, la determinazione presuntiva del numero delle utenze è pienamente legittima: </w:t>
      </w:r>
      <w:r w:rsidRPr="00E83A41">
        <w:rPr>
          <w:u w:val="single"/>
        </w:rPr>
        <w:t>essa è conseguenza diretta e necessaria del sistematico rifiuto del gestore di trasmettere la dichiarazione delle utenze attive, nonostante le formali e reiterate richieste del 10 luglio 2025 e del 4 settembre 2025</w:t>
      </w:r>
      <w:r w:rsidRPr="0037082C">
        <w:t>.</w:t>
      </w:r>
      <w:r>
        <w:t xml:space="preserve"> In tale situazione, il ricorso alla stima — operata sulla base della popolazione residente e dei dati statistici delle relazioni annuali di ARERA — costituisce l'unico strumento a disposizione dell'ente e trova fondamento nel comma 792 della L. n. 160/2019.</w:t>
      </w:r>
    </w:p>
    <w:p w14:paraId="03C59C38" w14:textId="77777777" w:rsidR="00E83A41" w:rsidRDefault="00D80285">
      <w:pPr>
        <w:spacing w:line="360" w:lineRule="auto"/>
        <w:ind w:firstLine="708"/>
        <w:jc w:val="both"/>
      </w:pPr>
      <w:r>
        <w:t>Né sussiste alcun difetto di motivazione: l'atto indica specificamente i presupposti (l'occupazione delle reti idriche e fognarie ai sensi del comma 831), il criterio di quantificazione (popolazione residente e dati ARERA) e le ragioni giuridiche della pretesa, in conformità all'art. 7 dello Statuto del contribuente. I</w:t>
      </w:r>
    </w:p>
    <w:p w14:paraId="34D033B3" w14:textId="2696D712" w:rsidR="00BF23ED" w:rsidRDefault="00D80285">
      <w:pPr>
        <w:spacing w:line="360" w:lineRule="auto"/>
        <w:ind w:firstLine="708"/>
        <w:jc w:val="both"/>
      </w:pPr>
      <w:r>
        <w:t xml:space="preserve">l preteso vizio si risolve, in realtà, in una contestazione di merito del </w:t>
      </w:r>
      <w:r w:rsidRPr="00E83A41">
        <w:rPr>
          <w:i/>
          <w:iCs/>
        </w:rPr>
        <w:t>quantum</w:t>
      </w:r>
      <w:r>
        <w:t>, rispetto alla quale opera l'inversione dell'onere probatorio: spetta a Pavia Acque, che detiene i dati, documentare il numero esatto delle utenze servite per ciascun anno.</w:t>
      </w:r>
    </w:p>
    <w:p w14:paraId="325C33A5" w14:textId="77777777" w:rsidR="00BF23ED" w:rsidRDefault="00D80285">
      <w:pPr>
        <w:spacing w:line="360" w:lineRule="auto"/>
        <w:ind w:firstLine="708"/>
        <w:jc w:val="both"/>
      </w:pPr>
      <w:r>
        <w:t xml:space="preserve">Quanto alla tariffa, l'importo unitario applicato dal Comune corrisponde alla misura forfetaria stabilita dall'art. 1, comma 831, della L. n. 160/2019 per le occupazioni con cavi e condutture nel territorio comunale, soggetta a rivalutazione annuale in base all'indice ISTAT: misura che, in quanto fissata dalla legge, non può essere </w:t>
      </w:r>
      <w:r w:rsidRPr="00E83A41">
        <w:rPr>
          <w:i/>
          <w:iCs/>
        </w:rPr>
        <w:t xml:space="preserve">derogata in </w:t>
      </w:r>
      <w:proofErr w:type="spellStart"/>
      <w:r w:rsidRPr="00E83A41">
        <w:rPr>
          <w:i/>
          <w:iCs/>
        </w:rPr>
        <w:t>minus</w:t>
      </w:r>
      <w:proofErr w:type="spellEnd"/>
      <w:r>
        <w:t xml:space="preserve"> dal Regolamento comunale, le cui previsioni vanno comunque interpretate in conformità — e nei limiti — della fonte primaria.</w:t>
      </w:r>
    </w:p>
    <w:p w14:paraId="62422945" w14:textId="77777777" w:rsidR="00C46100" w:rsidRDefault="00D80285">
      <w:pPr>
        <w:spacing w:line="360" w:lineRule="auto"/>
        <w:ind w:firstLine="708"/>
        <w:jc w:val="both"/>
      </w:pPr>
      <w:r>
        <w:t xml:space="preserve">Quanto, infine, alla pretesa duplicazione del canone per i servizi di acquedotto e di fognatura, la censura è destituita di fondamento: l'occupazione del suolo pubblico con le condotte fognarie è distinta da quella con le condotte idriche, sicché il computo separato delle relative utenze non integra alcuna duplicazione. </w:t>
      </w:r>
    </w:p>
    <w:p w14:paraId="7B62FAE3" w14:textId="2FC71AE5" w:rsidR="00C46100" w:rsidRDefault="00C46100">
      <w:pPr>
        <w:spacing w:line="360" w:lineRule="auto"/>
        <w:ind w:firstLine="708"/>
        <w:jc w:val="both"/>
      </w:pPr>
      <w:r>
        <w:t xml:space="preserve">La distinzione tra i due servizi era, peraltro, già stata rappresentata a Pavia Acque sin dalla fase di contraddittorio, con il riscontro del 4 settembre 2025, nel quale </w:t>
      </w:r>
      <w:r>
        <w:lastRenderedPageBreak/>
        <w:t>si chiariva che l'occupazione del suolo con le condotte fognarie è autonoma rispetto a quella con le condotte idriche, sì da escludere ogni duplicazione.</w:t>
      </w:r>
    </w:p>
    <w:p w14:paraId="1635FDB6" w14:textId="1F36262B" w:rsidR="00BF23ED" w:rsidRDefault="00D80285">
      <w:pPr>
        <w:spacing w:line="360" w:lineRule="auto"/>
        <w:ind w:firstLine="708"/>
        <w:jc w:val="both"/>
      </w:pPr>
      <w:r>
        <w:t xml:space="preserve">In tal senso si è espressa la Corte di Cassazione, Sez. V, con sentenza n. 2180 del 30 gennaio 2020 </w:t>
      </w:r>
      <w:r>
        <w:rPr>
          <w:b/>
          <w:bCs/>
        </w:rPr>
        <w:t>(Doc. 14)</w:t>
      </w:r>
      <w:r>
        <w:t xml:space="preserve">, secondo la quale </w:t>
      </w:r>
      <w:r>
        <w:rPr>
          <w:i/>
          <w:iCs/>
        </w:rPr>
        <w:t>“Occorre infatti tenere distinte ai fini in questione la natura unitaria della gestione del servizio, dall'occupazione dello spazio pubblico degli impianti relativo alle condotte fognarie, che si differenzia da quella delle condotte idriche sicché non si può parlare di una duplicazione di tassazione”</w:t>
      </w:r>
      <w:r>
        <w:t>.</w:t>
      </w:r>
    </w:p>
    <w:p w14:paraId="3052EE82" w14:textId="77777777" w:rsidR="00BF23ED" w:rsidRDefault="00D80285">
      <w:pPr>
        <w:spacing w:line="360" w:lineRule="auto"/>
        <w:ind w:firstLine="708"/>
        <w:jc w:val="both"/>
      </w:pPr>
      <w:r>
        <w:rPr>
          <w:b/>
          <w:bCs/>
        </w:rPr>
        <w:t>5. SULLA LEGITTIMITÀ DELL'IRROGAZIONE DELLE SANZIONI.</w:t>
      </w:r>
    </w:p>
    <w:p w14:paraId="7894BE53" w14:textId="77777777" w:rsidR="00BF23ED" w:rsidRDefault="00D80285">
      <w:pPr>
        <w:spacing w:line="360" w:lineRule="auto"/>
        <w:ind w:firstLine="708"/>
        <w:jc w:val="both"/>
      </w:pPr>
      <w:r>
        <w:t>Da ultimo, l'opponente assume l'illegittimità delle sanzioni per la mancata previa contestazione dell'abusività dell'occupazione e per l'asserita assenza di colpa. Anche tale motivo è infondato.</w:t>
      </w:r>
    </w:p>
    <w:p w14:paraId="5B2864B9" w14:textId="77777777" w:rsidR="00E83A41" w:rsidRDefault="00D80285">
      <w:pPr>
        <w:spacing w:line="360" w:lineRule="auto"/>
        <w:ind w:firstLine="708"/>
        <w:jc w:val="both"/>
      </w:pPr>
      <w:r>
        <w:t>La sanzione irrogata non attiene all'abusività dell'occupazione</w:t>
      </w:r>
      <w:r w:rsidR="00E83A41">
        <w:t xml:space="preserve"> come visto in precedenza</w:t>
      </w:r>
      <w:r>
        <w:t xml:space="preserve">, bensì all'omesso versamento del canone, ed è prevista — nella misura del 30% del canone non versato — dall'art. 57 del Regolamento comunale, in coerenza con la disciplina dell'accertamento esecutivo di cui al comma 792 della L. n. 160/2019. </w:t>
      </w:r>
    </w:p>
    <w:p w14:paraId="7D5672D4" w14:textId="5B515B4C" w:rsidR="00BF23ED" w:rsidRDefault="00D80285">
      <w:pPr>
        <w:spacing w:line="360" w:lineRule="auto"/>
        <w:ind w:firstLine="708"/>
        <w:jc w:val="both"/>
      </w:pPr>
      <w:r>
        <w:t>La procedura di contestazione dell'abusività, invocata dall'opponente, è dunque del tutto estranea alla fattispecie sanzionatoria applicata.</w:t>
      </w:r>
    </w:p>
    <w:p w14:paraId="788038CE" w14:textId="77777777" w:rsidR="00BF23ED" w:rsidRDefault="00D80285">
      <w:pPr>
        <w:spacing w:line="360" w:lineRule="auto"/>
        <w:ind w:firstLine="708"/>
        <w:jc w:val="both"/>
      </w:pPr>
      <w:r>
        <w:t>Quanto all'elemento soggettivo, la condotta del gestore — che ha sistematicamente e consapevolmente rifiutato di trasmettere le dichiarazioni delle utenze, pur formalmente e ripetutamente richieste, e ha del pari omesso ogni versamento per quattro annualità — esclude in radice la configurabilità della buona fede o dell'errore incolpevole.</w:t>
      </w:r>
    </w:p>
    <w:p w14:paraId="6A103889" w14:textId="77777777" w:rsidR="00BF23ED" w:rsidRDefault="00D80285">
      <w:pPr>
        <w:spacing w:line="360" w:lineRule="auto"/>
        <w:jc w:val="center"/>
      </w:pPr>
      <w:r>
        <w:rPr>
          <w:b/>
          <w:bCs/>
        </w:rPr>
        <w:t>CONCLUSIONI</w:t>
      </w:r>
    </w:p>
    <w:p w14:paraId="163B9FC4" w14:textId="77777777" w:rsidR="00CF565D" w:rsidRDefault="00CF565D" w:rsidP="00E83A41">
      <w:pPr>
        <w:snapToGrid w:val="0"/>
        <w:spacing w:line="360" w:lineRule="auto"/>
        <w:ind w:firstLine="567"/>
        <w:jc w:val="both"/>
      </w:pPr>
      <w:r>
        <w:t>Voglia l’Ill.mo Tribunale:</w:t>
      </w:r>
    </w:p>
    <w:p w14:paraId="086CCE90" w14:textId="2D0F138B" w:rsidR="00CF565D" w:rsidRDefault="00CF565D" w:rsidP="00E83A41">
      <w:pPr>
        <w:pStyle w:val="Paragrafoelenco"/>
        <w:numPr>
          <w:ilvl w:val="0"/>
          <w:numId w:val="7"/>
        </w:numPr>
        <w:snapToGrid w:val="0"/>
        <w:spacing w:line="360" w:lineRule="auto"/>
        <w:jc w:val="both"/>
      </w:pPr>
      <w:r w:rsidRPr="00E83A41">
        <w:rPr>
          <w:b/>
          <w:bCs/>
        </w:rPr>
        <w:t>In via pregiudiziale e preliminare:</w:t>
      </w:r>
      <w:r w:rsidRPr="000D4DE5">
        <w:t xml:space="preserve"> dichiarare il difetto di giurisdizione del Giudice Ordinario a conoscere della presente controversia, per essere la stessa devoluta alla giurisdizione esclusiva della Corte di Giustizia Tributaria competente per territorio, per le ragioni esposte in narrativa.</w:t>
      </w:r>
    </w:p>
    <w:p w14:paraId="1BD36786" w14:textId="352F3EFF" w:rsidR="00BF23ED" w:rsidRDefault="00E83A41" w:rsidP="00E83A41">
      <w:pPr>
        <w:pStyle w:val="Paragrafoelenco"/>
        <w:numPr>
          <w:ilvl w:val="0"/>
          <w:numId w:val="2"/>
        </w:numPr>
        <w:snapToGrid w:val="0"/>
        <w:spacing w:line="360" w:lineRule="auto"/>
        <w:jc w:val="both"/>
      </w:pPr>
      <w:r>
        <w:t xml:space="preserve"> </w:t>
      </w:r>
      <w:r w:rsidRPr="00E83A41">
        <w:rPr>
          <w:b/>
          <w:bCs/>
        </w:rPr>
        <w:t xml:space="preserve">Nel merito: </w:t>
      </w:r>
      <w:r w:rsidR="00D80285">
        <w:t xml:space="preserve">rigettare integralmente l'opposizione proposta da Pavia Acque </w:t>
      </w:r>
      <w:proofErr w:type="spellStart"/>
      <w:r w:rsidR="00D80285">
        <w:t>S.c.a</w:t>
      </w:r>
      <w:proofErr w:type="spellEnd"/>
      <w:r w:rsidR="00D80285">
        <w:t xml:space="preserve"> r.l.</w:t>
      </w:r>
      <w:r>
        <w:t xml:space="preserve"> e </w:t>
      </w:r>
      <w:r w:rsidR="00D80285">
        <w:t>confermare la piena legittimità dell'avviso di accertamento esecutivo n. 1 del 2 marzo 2026, emesso dal Comune di Palestro a titolo di Canone Unico Patrimoniale per gli anni 2021-2024;</w:t>
      </w:r>
    </w:p>
    <w:p w14:paraId="183732A2" w14:textId="77777777" w:rsidR="00BF23ED" w:rsidRDefault="00D80285">
      <w:pPr>
        <w:pStyle w:val="Paragrafoelenco"/>
        <w:numPr>
          <w:ilvl w:val="0"/>
          <w:numId w:val="2"/>
        </w:numPr>
        <w:spacing w:line="360" w:lineRule="auto"/>
        <w:jc w:val="both"/>
      </w:pPr>
      <w:r>
        <w:t>condannare la parte attrice-opponente al pagamento delle spese del presente giudizio.</w:t>
      </w:r>
    </w:p>
    <w:p w14:paraId="189E381C" w14:textId="77777777" w:rsidR="00BF23ED" w:rsidRDefault="00D80285">
      <w:pPr>
        <w:spacing w:line="360" w:lineRule="auto"/>
        <w:jc w:val="center"/>
      </w:pPr>
      <w:r>
        <w:rPr>
          <w:b/>
          <w:bCs/>
        </w:rPr>
        <w:lastRenderedPageBreak/>
        <w:t>Attestazione di conformità degli atti depositati</w:t>
      </w:r>
    </w:p>
    <w:p w14:paraId="08DB5A0D" w14:textId="77777777" w:rsidR="00BF23ED" w:rsidRDefault="00D80285">
      <w:pPr>
        <w:spacing w:line="360" w:lineRule="auto"/>
        <w:ind w:firstLine="708"/>
        <w:jc w:val="both"/>
      </w:pPr>
      <w:r>
        <w:t>Io sottoscritta Avv. Maria Voccia De Felice (c.f. VCCMRA66M64G813U), in qualità di difensore nominato nel presente procedimento, attesto, ai sensi dell'art. 22, co. 2, d.lgs. 82/2005, la conformità con gli originali delle copie per immagine dei seguenti documenti depositati:</w:t>
      </w:r>
    </w:p>
    <w:p w14:paraId="7375DCB0" w14:textId="77777777" w:rsidR="001056D3" w:rsidRDefault="001056D3">
      <w:pPr>
        <w:spacing w:line="360" w:lineRule="auto"/>
        <w:ind w:firstLine="708"/>
        <w:jc w:val="both"/>
      </w:pPr>
    </w:p>
    <w:p w14:paraId="3D6494E2" w14:textId="0BA04F84" w:rsidR="006D3F00" w:rsidRPr="006D3F00" w:rsidRDefault="006D3F00" w:rsidP="006D3F00">
      <w:pPr>
        <w:spacing w:line="360" w:lineRule="auto"/>
        <w:ind w:firstLine="708"/>
      </w:pPr>
      <w:r w:rsidRPr="006D3F00">
        <w:t>A</w:t>
      </w:r>
      <w:r>
        <w:t xml:space="preserve"> - </w:t>
      </w:r>
      <w:r w:rsidRPr="006D3F00">
        <w:t>Delibera di Costituzione in Giudizio</w:t>
      </w:r>
      <w:r w:rsidRPr="006D3F00">
        <w:br/>
      </w:r>
      <w:r>
        <w:tab/>
      </w:r>
      <w:r w:rsidRPr="006D3F00">
        <w:t>B</w:t>
      </w:r>
      <w:r w:rsidR="008634A1">
        <w:t xml:space="preserve"> - </w:t>
      </w:r>
      <w:r w:rsidRPr="006D3F00">
        <w:t>Sentenza Cassazione Sezioni Unite n. 12225 del 1.5.2026</w:t>
      </w:r>
    </w:p>
    <w:p w14:paraId="156ACDA5" w14:textId="77777777" w:rsidR="006D3F00" w:rsidRPr="006D3F00" w:rsidRDefault="006D3F00" w:rsidP="006D3F00">
      <w:pPr>
        <w:numPr>
          <w:ilvl w:val="0"/>
          <w:numId w:val="6"/>
        </w:numPr>
        <w:spacing w:line="360" w:lineRule="auto"/>
        <w:jc w:val="both"/>
      </w:pPr>
      <w:r w:rsidRPr="006D3F00">
        <w:t>Atto di citazione in opposizione (notificato al Comune di Palestro)</w:t>
      </w:r>
    </w:p>
    <w:p w14:paraId="3D5FE9CA" w14:textId="77777777" w:rsidR="006D3F00" w:rsidRPr="006D3F00" w:rsidRDefault="006D3F00" w:rsidP="006D3F00">
      <w:pPr>
        <w:numPr>
          <w:ilvl w:val="0"/>
          <w:numId w:val="6"/>
        </w:numPr>
        <w:spacing w:line="360" w:lineRule="auto"/>
        <w:jc w:val="both"/>
      </w:pPr>
      <w:r w:rsidRPr="006D3F00">
        <w:t>Avviso di accertamento esecutivo n. 1 del 2 marzo 2026</w:t>
      </w:r>
    </w:p>
    <w:p w14:paraId="2398C2BA" w14:textId="77777777" w:rsidR="006D3F00" w:rsidRPr="006D3F00" w:rsidRDefault="006D3F00" w:rsidP="006D3F00">
      <w:pPr>
        <w:numPr>
          <w:ilvl w:val="0"/>
          <w:numId w:val="6"/>
        </w:numPr>
        <w:spacing w:line="360" w:lineRule="auto"/>
        <w:jc w:val="both"/>
      </w:pPr>
      <w:r w:rsidRPr="006D3F00">
        <w:t>Regolamento CUP del Comune di Palestro (approvato con Delibera di Consiglio Comunale n. 6 del 29 marzo 2021)</w:t>
      </w:r>
    </w:p>
    <w:p w14:paraId="367312F7" w14:textId="183C4BC2" w:rsidR="006D3F00" w:rsidRPr="006D3F00" w:rsidRDefault="006D3F00" w:rsidP="006D3F00">
      <w:pPr>
        <w:numPr>
          <w:ilvl w:val="0"/>
          <w:numId w:val="6"/>
        </w:numPr>
        <w:spacing w:line="360" w:lineRule="auto"/>
        <w:jc w:val="both"/>
      </w:pPr>
      <w:r w:rsidRPr="006D3F00">
        <w:t xml:space="preserve">Determina n. </w:t>
      </w:r>
      <w:r>
        <w:t>122</w:t>
      </w:r>
      <w:r w:rsidRPr="006D3F00">
        <w:t xml:space="preserve"> del 02/07/2025 di affidamento </w:t>
      </w:r>
      <w:r>
        <w:t xml:space="preserve">del servizio di supporto </w:t>
      </w:r>
      <w:r w:rsidRPr="006D3F00">
        <w:t>ad Archivia Solution S.p.A.</w:t>
      </w:r>
    </w:p>
    <w:p w14:paraId="77AB6CD0" w14:textId="77777777" w:rsidR="006D3F00" w:rsidRPr="006D3F00" w:rsidRDefault="006D3F00" w:rsidP="006D3F00">
      <w:pPr>
        <w:numPr>
          <w:ilvl w:val="0"/>
          <w:numId w:val="6"/>
        </w:numPr>
        <w:spacing w:line="360" w:lineRule="auto"/>
        <w:jc w:val="both"/>
      </w:pPr>
      <w:r w:rsidRPr="006D3F00">
        <w:t>Lettera Archivia Solution del 10 luglio 2025 (richiesta dichiarazione utenze)</w:t>
      </w:r>
    </w:p>
    <w:p w14:paraId="067A54A9" w14:textId="77777777" w:rsidR="006D3F00" w:rsidRPr="006D3F00" w:rsidRDefault="006D3F00" w:rsidP="006D3F00">
      <w:pPr>
        <w:numPr>
          <w:ilvl w:val="0"/>
          <w:numId w:val="6"/>
        </w:numPr>
        <w:spacing w:line="360" w:lineRule="auto"/>
        <w:jc w:val="both"/>
      </w:pPr>
      <w:r w:rsidRPr="006D3F00">
        <w:t xml:space="preserve">Riscontro Pavia Acque </w:t>
      </w:r>
      <w:proofErr w:type="spellStart"/>
      <w:r w:rsidRPr="006D3F00">
        <w:t>S.c.a</w:t>
      </w:r>
      <w:proofErr w:type="spellEnd"/>
      <w:r w:rsidRPr="006D3F00">
        <w:t xml:space="preserve"> r.l. del 15 luglio 2025</w:t>
      </w:r>
    </w:p>
    <w:p w14:paraId="1E0E9CDB" w14:textId="77777777" w:rsidR="006D3F00" w:rsidRPr="006D3F00" w:rsidRDefault="006D3F00" w:rsidP="006D3F00">
      <w:pPr>
        <w:numPr>
          <w:ilvl w:val="0"/>
          <w:numId w:val="6"/>
        </w:numPr>
        <w:spacing w:line="360" w:lineRule="auto"/>
        <w:jc w:val="both"/>
      </w:pPr>
      <w:r w:rsidRPr="006D3F00">
        <w:t>Sollecito Archivia Solution del 4 settembre 2025</w:t>
      </w:r>
    </w:p>
    <w:p w14:paraId="31A43FA6" w14:textId="77777777" w:rsidR="006D3F00" w:rsidRPr="006D3F00" w:rsidRDefault="006D3F00" w:rsidP="006D3F00">
      <w:pPr>
        <w:numPr>
          <w:ilvl w:val="0"/>
          <w:numId w:val="6"/>
        </w:numPr>
        <w:spacing w:line="360" w:lineRule="auto"/>
        <w:jc w:val="both"/>
      </w:pPr>
      <w:r w:rsidRPr="006D3F00">
        <w:t>Istanza di riesame in autotutela di Pavia Acque del 16 marzo 2026</w:t>
      </w:r>
    </w:p>
    <w:p w14:paraId="052A7EBA" w14:textId="77777777" w:rsidR="006D3F00" w:rsidRPr="006D3F00" w:rsidRDefault="006D3F00" w:rsidP="006D3F00">
      <w:pPr>
        <w:numPr>
          <w:ilvl w:val="0"/>
          <w:numId w:val="6"/>
        </w:numPr>
        <w:spacing w:line="360" w:lineRule="auto"/>
        <w:jc w:val="both"/>
      </w:pPr>
      <w:r w:rsidRPr="006D3F00">
        <w:t>Provvedimento di rigetto dell'istanza di autotutela del 1° aprile 2026</w:t>
      </w:r>
    </w:p>
    <w:p w14:paraId="4A4C5A9F" w14:textId="2B2403E5" w:rsidR="006D3F00" w:rsidRPr="006D3F00" w:rsidRDefault="006D3F00" w:rsidP="006D3F00">
      <w:pPr>
        <w:numPr>
          <w:ilvl w:val="0"/>
          <w:numId w:val="6"/>
        </w:numPr>
        <w:spacing w:line="360" w:lineRule="auto"/>
        <w:jc w:val="both"/>
      </w:pPr>
      <w:r w:rsidRPr="006D3F00">
        <w:t>Sentenza Corte d'Appello di Venezia n. 3441/2025 e sentenza sez. II n. 84 del 9 marzo 2026</w:t>
      </w:r>
    </w:p>
    <w:p w14:paraId="6E3D5050" w14:textId="77777777" w:rsidR="006D3F00" w:rsidRPr="006D3F00" w:rsidRDefault="006D3F00" w:rsidP="006D3F00">
      <w:pPr>
        <w:numPr>
          <w:ilvl w:val="0"/>
          <w:numId w:val="6"/>
        </w:numPr>
        <w:spacing w:line="360" w:lineRule="auto"/>
        <w:jc w:val="both"/>
      </w:pPr>
      <w:r w:rsidRPr="006D3F00">
        <w:t>Sentenza Corte di Giustizia Tributaria di secondo grado dell'Emilia-Romagna n. 526/2024</w:t>
      </w:r>
    </w:p>
    <w:p w14:paraId="413F0300" w14:textId="77777777" w:rsidR="006D3F00" w:rsidRPr="006D3F00" w:rsidRDefault="006D3F00" w:rsidP="006D3F00">
      <w:pPr>
        <w:numPr>
          <w:ilvl w:val="0"/>
          <w:numId w:val="6"/>
        </w:numPr>
        <w:spacing w:line="360" w:lineRule="auto"/>
        <w:jc w:val="both"/>
      </w:pPr>
      <w:r w:rsidRPr="006D3F00">
        <w:t>Sentenza Tribunale di Rovigo del 22 novembre 2024</w:t>
      </w:r>
    </w:p>
    <w:p w14:paraId="2962ED18" w14:textId="77777777" w:rsidR="006D3F00" w:rsidRPr="006D3F00" w:rsidRDefault="006D3F00" w:rsidP="006D3F00">
      <w:pPr>
        <w:numPr>
          <w:ilvl w:val="0"/>
          <w:numId w:val="6"/>
        </w:numPr>
        <w:spacing w:line="360" w:lineRule="auto"/>
        <w:jc w:val="both"/>
      </w:pPr>
      <w:r w:rsidRPr="006D3F00">
        <w:t xml:space="preserve">Deliberazione </w:t>
      </w:r>
      <w:proofErr w:type="gramStart"/>
      <w:r w:rsidRPr="006D3F00">
        <w:t>Corte dei Conti</w:t>
      </w:r>
      <w:proofErr w:type="gramEnd"/>
      <w:r w:rsidRPr="006D3F00">
        <w:t>, Sezione regionale di controllo per la Lombardia, n. 216/2024/PAR</w:t>
      </w:r>
    </w:p>
    <w:p w14:paraId="532E803E" w14:textId="77777777" w:rsidR="006D3F00" w:rsidRPr="006D3F00" w:rsidRDefault="006D3F00" w:rsidP="006D3F00">
      <w:pPr>
        <w:numPr>
          <w:ilvl w:val="0"/>
          <w:numId w:val="6"/>
        </w:numPr>
        <w:spacing w:line="360" w:lineRule="auto"/>
        <w:jc w:val="both"/>
      </w:pPr>
      <w:r w:rsidRPr="006D3F00">
        <w:t>Cassazione, Sez. V, ordinanza n. 2180 del 30 gennaio 2020</w:t>
      </w:r>
    </w:p>
    <w:p w14:paraId="04025046" w14:textId="77777777" w:rsidR="006D3F00" w:rsidRDefault="006D3F00">
      <w:pPr>
        <w:spacing w:line="360" w:lineRule="auto"/>
        <w:ind w:firstLine="708"/>
        <w:jc w:val="both"/>
      </w:pPr>
    </w:p>
    <w:p w14:paraId="256CFDF1" w14:textId="6C9322E4" w:rsidR="00BF23ED" w:rsidRDefault="00D80285" w:rsidP="006D3F00">
      <w:pPr>
        <w:spacing w:line="360" w:lineRule="auto"/>
        <w:ind w:firstLine="708"/>
        <w:jc w:val="both"/>
      </w:pPr>
      <w:r>
        <w:t>Con riserva di ulteriori produzioni documentali e di replicare alle eventuali istanze istruttorie di controparte.</w:t>
      </w:r>
    </w:p>
    <w:p w14:paraId="6156C1AB" w14:textId="126D090F" w:rsidR="00BF23ED" w:rsidRDefault="00D80285">
      <w:pPr>
        <w:spacing w:line="360" w:lineRule="auto"/>
        <w:jc w:val="both"/>
      </w:pPr>
      <w:r>
        <w:t xml:space="preserve">Salerno – Palestro, lì </w:t>
      </w:r>
      <w:r w:rsidR="00E83A41">
        <w:t>03.07.2026</w:t>
      </w:r>
    </w:p>
    <w:p w14:paraId="5850A306" w14:textId="77777777" w:rsidR="00BF23ED" w:rsidRDefault="00D80285">
      <w:pPr>
        <w:spacing w:line="360" w:lineRule="auto"/>
        <w:jc w:val="right"/>
      </w:pPr>
      <w:r>
        <w:rPr>
          <w:b/>
          <w:bCs/>
        </w:rPr>
        <w:t>Avv. Maria Voccia De Felice</w:t>
      </w:r>
    </w:p>
    <w:sectPr w:rsidR="00BF23ED">
      <w:pgSz w:w="11906" w:h="16838"/>
      <w:pgMar w:top="1418" w:right="1418" w:bottom="1418" w:left="141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3D4E7E"/>
    <w:multiLevelType w:val="hybridMultilevel"/>
    <w:tmpl w:val="16B68414"/>
    <w:lvl w:ilvl="0" w:tplc="827E970E">
      <w:start w:val="1"/>
      <w:numFmt w:val="decimal"/>
      <w:lvlText w:val="%1."/>
      <w:lvlJc w:val="left"/>
      <w:pPr>
        <w:ind w:left="425" w:hanging="425"/>
      </w:pPr>
    </w:lvl>
    <w:lvl w:ilvl="1" w:tplc="78F863C0">
      <w:numFmt w:val="decimal"/>
      <w:lvlText w:val=""/>
      <w:lvlJc w:val="left"/>
    </w:lvl>
    <w:lvl w:ilvl="2" w:tplc="49A82BD8">
      <w:numFmt w:val="decimal"/>
      <w:lvlText w:val=""/>
      <w:lvlJc w:val="left"/>
    </w:lvl>
    <w:lvl w:ilvl="3" w:tplc="416E903E">
      <w:numFmt w:val="decimal"/>
      <w:lvlText w:val=""/>
      <w:lvlJc w:val="left"/>
    </w:lvl>
    <w:lvl w:ilvl="4" w:tplc="FF1A120A">
      <w:numFmt w:val="decimal"/>
      <w:lvlText w:val=""/>
      <w:lvlJc w:val="left"/>
    </w:lvl>
    <w:lvl w:ilvl="5" w:tplc="85D0DEC0">
      <w:numFmt w:val="decimal"/>
      <w:lvlText w:val=""/>
      <w:lvlJc w:val="left"/>
    </w:lvl>
    <w:lvl w:ilvl="6" w:tplc="FD60D93A">
      <w:numFmt w:val="decimal"/>
      <w:lvlText w:val=""/>
      <w:lvlJc w:val="left"/>
    </w:lvl>
    <w:lvl w:ilvl="7" w:tplc="11BA7DF4">
      <w:numFmt w:val="decimal"/>
      <w:lvlText w:val=""/>
      <w:lvlJc w:val="left"/>
    </w:lvl>
    <w:lvl w:ilvl="8" w:tplc="9B8266D4">
      <w:numFmt w:val="decimal"/>
      <w:lvlText w:val=""/>
      <w:lvlJc w:val="left"/>
    </w:lvl>
  </w:abstractNum>
  <w:abstractNum w:abstractNumId="1" w15:restartNumberingAfterBreak="0">
    <w:nsid w:val="1EF01F33"/>
    <w:multiLevelType w:val="hybridMultilevel"/>
    <w:tmpl w:val="33080504"/>
    <w:lvl w:ilvl="0" w:tplc="0C128314">
      <w:start w:val="1"/>
      <w:numFmt w:val="upperLetter"/>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43A01FD7"/>
    <w:multiLevelType w:val="multilevel"/>
    <w:tmpl w:val="8B328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2386C52"/>
    <w:multiLevelType w:val="hybridMultilevel"/>
    <w:tmpl w:val="BA944DA2"/>
    <w:lvl w:ilvl="0" w:tplc="91AAB5B2">
      <w:start w:val="1"/>
      <w:numFmt w:val="decimal"/>
      <w:lvlText w:val="%1)"/>
      <w:lvlJc w:val="left"/>
      <w:pPr>
        <w:ind w:left="425" w:hanging="425"/>
      </w:pPr>
    </w:lvl>
    <w:lvl w:ilvl="1" w:tplc="FAC26FF8">
      <w:numFmt w:val="decimal"/>
      <w:lvlText w:val=""/>
      <w:lvlJc w:val="left"/>
    </w:lvl>
    <w:lvl w:ilvl="2" w:tplc="0848EDA4">
      <w:numFmt w:val="decimal"/>
      <w:lvlText w:val=""/>
      <w:lvlJc w:val="left"/>
    </w:lvl>
    <w:lvl w:ilvl="3" w:tplc="634E3466">
      <w:numFmt w:val="decimal"/>
      <w:lvlText w:val=""/>
      <w:lvlJc w:val="left"/>
    </w:lvl>
    <w:lvl w:ilvl="4" w:tplc="92B80BA4">
      <w:numFmt w:val="decimal"/>
      <w:lvlText w:val=""/>
      <w:lvlJc w:val="left"/>
    </w:lvl>
    <w:lvl w:ilvl="5" w:tplc="E3C0E288">
      <w:numFmt w:val="decimal"/>
      <w:lvlText w:val=""/>
      <w:lvlJc w:val="left"/>
    </w:lvl>
    <w:lvl w:ilvl="6" w:tplc="09DED4A4">
      <w:numFmt w:val="decimal"/>
      <w:lvlText w:val=""/>
      <w:lvlJc w:val="left"/>
    </w:lvl>
    <w:lvl w:ilvl="7" w:tplc="38045A20">
      <w:numFmt w:val="decimal"/>
      <w:lvlText w:val=""/>
      <w:lvlJc w:val="left"/>
    </w:lvl>
    <w:lvl w:ilvl="8" w:tplc="199A81D4">
      <w:numFmt w:val="decimal"/>
      <w:lvlText w:val=""/>
      <w:lvlJc w:val="left"/>
    </w:lvl>
  </w:abstractNum>
  <w:abstractNum w:abstractNumId="4" w15:restartNumberingAfterBreak="0">
    <w:nsid w:val="64A73459"/>
    <w:multiLevelType w:val="hybridMultilevel"/>
    <w:tmpl w:val="D09A43D2"/>
    <w:lvl w:ilvl="0" w:tplc="213EC93C">
      <w:start w:val="1"/>
      <w:numFmt w:val="upperLetter"/>
      <w:lvlText w:val="%1-"/>
      <w:lvlJc w:val="left"/>
      <w:pPr>
        <w:ind w:left="425" w:hanging="425"/>
      </w:pPr>
    </w:lvl>
    <w:lvl w:ilvl="1" w:tplc="B4AE2B8E">
      <w:numFmt w:val="decimal"/>
      <w:lvlText w:val=""/>
      <w:lvlJc w:val="left"/>
    </w:lvl>
    <w:lvl w:ilvl="2" w:tplc="548CEE54">
      <w:numFmt w:val="decimal"/>
      <w:lvlText w:val=""/>
      <w:lvlJc w:val="left"/>
    </w:lvl>
    <w:lvl w:ilvl="3" w:tplc="CF101950">
      <w:numFmt w:val="decimal"/>
      <w:lvlText w:val=""/>
      <w:lvlJc w:val="left"/>
    </w:lvl>
    <w:lvl w:ilvl="4" w:tplc="8918CD42">
      <w:numFmt w:val="decimal"/>
      <w:lvlText w:val=""/>
      <w:lvlJc w:val="left"/>
    </w:lvl>
    <w:lvl w:ilvl="5" w:tplc="02363562">
      <w:numFmt w:val="decimal"/>
      <w:lvlText w:val=""/>
      <w:lvlJc w:val="left"/>
    </w:lvl>
    <w:lvl w:ilvl="6" w:tplc="6DD4F964">
      <w:numFmt w:val="decimal"/>
      <w:lvlText w:val=""/>
      <w:lvlJc w:val="left"/>
    </w:lvl>
    <w:lvl w:ilvl="7" w:tplc="0AA4749C">
      <w:numFmt w:val="decimal"/>
      <w:lvlText w:val=""/>
      <w:lvlJc w:val="left"/>
    </w:lvl>
    <w:lvl w:ilvl="8" w:tplc="EA84714C">
      <w:numFmt w:val="decimal"/>
      <w:lvlText w:val=""/>
      <w:lvlJc w:val="left"/>
    </w:lvl>
  </w:abstractNum>
  <w:abstractNum w:abstractNumId="5" w15:restartNumberingAfterBreak="0">
    <w:nsid w:val="67DC3200"/>
    <w:multiLevelType w:val="multilevel"/>
    <w:tmpl w:val="C1989D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FAA7901"/>
    <w:multiLevelType w:val="hybridMultilevel"/>
    <w:tmpl w:val="C2608254"/>
    <w:lvl w:ilvl="0" w:tplc="6366CF7A">
      <w:start w:val="1"/>
      <w:numFmt w:val="bullet"/>
      <w:lvlText w:val="●"/>
      <w:lvlJc w:val="left"/>
      <w:pPr>
        <w:ind w:left="720" w:hanging="360"/>
      </w:pPr>
    </w:lvl>
    <w:lvl w:ilvl="1" w:tplc="28F47E42">
      <w:start w:val="1"/>
      <w:numFmt w:val="bullet"/>
      <w:lvlText w:val="○"/>
      <w:lvlJc w:val="left"/>
      <w:pPr>
        <w:ind w:left="1440" w:hanging="360"/>
      </w:pPr>
    </w:lvl>
    <w:lvl w:ilvl="2" w:tplc="4E986FF2">
      <w:start w:val="1"/>
      <w:numFmt w:val="bullet"/>
      <w:lvlText w:val="■"/>
      <w:lvlJc w:val="left"/>
      <w:pPr>
        <w:ind w:left="2160" w:hanging="360"/>
      </w:pPr>
    </w:lvl>
    <w:lvl w:ilvl="3" w:tplc="39804998">
      <w:start w:val="1"/>
      <w:numFmt w:val="bullet"/>
      <w:lvlText w:val="●"/>
      <w:lvlJc w:val="left"/>
      <w:pPr>
        <w:ind w:left="2880" w:hanging="360"/>
      </w:pPr>
    </w:lvl>
    <w:lvl w:ilvl="4" w:tplc="A7B2EC56">
      <w:start w:val="1"/>
      <w:numFmt w:val="bullet"/>
      <w:lvlText w:val="○"/>
      <w:lvlJc w:val="left"/>
      <w:pPr>
        <w:ind w:left="3600" w:hanging="360"/>
      </w:pPr>
    </w:lvl>
    <w:lvl w:ilvl="5" w:tplc="31501C9A">
      <w:start w:val="1"/>
      <w:numFmt w:val="bullet"/>
      <w:lvlText w:val="■"/>
      <w:lvlJc w:val="left"/>
      <w:pPr>
        <w:ind w:left="4320" w:hanging="360"/>
      </w:pPr>
    </w:lvl>
    <w:lvl w:ilvl="6" w:tplc="83F27E80">
      <w:start w:val="1"/>
      <w:numFmt w:val="bullet"/>
      <w:lvlText w:val="●"/>
      <w:lvlJc w:val="left"/>
      <w:pPr>
        <w:ind w:left="5040" w:hanging="360"/>
      </w:pPr>
    </w:lvl>
    <w:lvl w:ilvl="7" w:tplc="75B8AF90">
      <w:start w:val="1"/>
      <w:numFmt w:val="bullet"/>
      <w:lvlText w:val="●"/>
      <w:lvlJc w:val="left"/>
      <w:pPr>
        <w:ind w:left="5760" w:hanging="360"/>
      </w:pPr>
    </w:lvl>
    <w:lvl w:ilvl="8" w:tplc="AAA879D6">
      <w:start w:val="1"/>
      <w:numFmt w:val="bullet"/>
      <w:lvlText w:val="●"/>
      <w:lvlJc w:val="left"/>
      <w:pPr>
        <w:ind w:left="6480" w:hanging="360"/>
      </w:pPr>
    </w:lvl>
  </w:abstractNum>
  <w:num w:numId="1" w16cid:durableId="773357137">
    <w:abstractNumId w:val="6"/>
    <w:lvlOverride w:ilvl="0">
      <w:startOverride w:val="1"/>
    </w:lvlOverride>
  </w:num>
  <w:num w:numId="2" w16cid:durableId="2141193305">
    <w:abstractNumId w:val="0"/>
    <w:lvlOverride w:ilvl="0">
      <w:startOverride w:val="1"/>
    </w:lvlOverride>
  </w:num>
  <w:num w:numId="3" w16cid:durableId="1588614911">
    <w:abstractNumId w:val="4"/>
    <w:lvlOverride w:ilvl="0">
      <w:startOverride w:val="1"/>
    </w:lvlOverride>
  </w:num>
  <w:num w:numId="4" w16cid:durableId="413014070">
    <w:abstractNumId w:val="3"/>
    <w:lvlOverride w:ilvl="0">
      <w:startOverride w:val="1"/>
    </w:lvlOverride>
  </w:num>
  <w:num w:numId="5" w16cid:durableId="880704499">
    <w:abstractNumId w:val="5"/>
  </w:num>
  <w:num w:numId="6" w16cid:durableId="88430650">
    <w:abstractNumId w:val="2"/>
  </w:num>
  <w:num w:numId="7" w16cid:durableId="2132163027">
    <w:abstractNumId w:val="1"/>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4"/>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23ED"/>
    <w:rsid w:val="000F105F"/>
    <w:rsid w:val="001056D3"/>
    <w:rsid w:val="001511C0"/>
    <w:rsid w:val="00176E29"/>
    <w:rsid w:val="001A26E8"/>
    <w:rsid w:val="002078C1"/>
    <w:rsid w:val="00226EF7"/>
    <w:rsid w:val="00235E46"/>
    <w:rsid w:val="002811C5"/>
    <w:rsid w:val="002D3EC9"/>
    <w:rsid w:val="00303128"/>
    <w:rsid w:val="0037082C"/>
    <w:rsid w:val="00392F48"/>
    <w:rsid w:val="00412DD1"/>
    <w:rsid w:val="00413651"/>
    <w:rsid w:val="00415882"/>
    <w:rsid w:val="004347F4"/>
    <w:rsid w:val="00455299"/>
    <w:rsid w:val="00456336"/>
    <w:rsid w:val="00513BDD"/>
    <w:rsid w:val="005C2466"/>
    <w:rsid w:val="005E38CC"/>
    <w:rsid w:val="00691DB2"/>
    <w:rsid w:val="006D3F00"/>
    <w:rsid w:val="0070261C"/>
    <w:rsid w:val="007708AD"/>
    <w:rsid w:val="007A6D8D"/>
    <w:rsid w:val="007B6432"/>
    <w:rsid w:val="007E1A47"/>
    <w:rsid w:val="00830EEE"/>
    <w:rsid w:val="008634A1"/>
    <w:rsid w:val="008C6E4B"/>
    <w:rsid w:val="008D3806"/>
    <w:rsid w:val="00AA035C"/>
    <w:rsid w:val="00BF23ED"/>
    <w:rsid w:val="00C46100"/>
    <w:rsid w:val="00C64016"/>
    <w:rsid w:val="00CF565D"/>
    <w:rsid w:val="00D52F3D"/>
    <w:rsid w:val="00D71B91"/>
    <w:rsid w:val="00D80285"/>
    <w:rsid w:val="00E019E6"/>
    <w:rsid w:val="00E83A41"/>
    <w:rsid w:val="00F12FE2"/>
    <w:rsid w:val="00FA44F9"/>
    <w:rsid w:val="00FF5CBD"/>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C3FA04"/>
  <w15:docId w15:val="{CE0B979F-1510-464D-86DE-A8E132706B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customStyle="1" w:styleId="font-claude-response-body">
    <w:name w:val="font-claude-response-body"/>
    <w:basedOn w:val="Normale"/>
    <w:rsid w:val="008C6E4B"/>
    <w:pPr>
      <w:spacing w:before="100" w:beforeAutospacing="1" w:after="100" w:afterAutospacing="1"/>
    </w:pPr>
    <w:rPr>
      <w:rFonts w:ascii="Times New Roman" w:eastAsia="Times New Roman" w:hAnsi="Times New Roman" w:cs="Times New Roman"/>
    </w:rPr>
  </w:style>
  <w:style w:type="character" w:styleId="Enfasigrassetto">
    <w:name w:val="Strong"/>
    <w:basedOn w:val="Carpredefinitoparagrafo"/>
    <w:uiPriority w:val="22"/>
    <w:qFormat/>
    <w:rsid w:val="008C6E4B"/>
    <w:rPr>
      <w:b/>
      <w:bCs/>
    </w:rPr>
  </w:style>
  <w:style w:type="paragraph" w:customStyle="1" w:styleId="is-empty">
    <w:name w:val="is-empty"/>
    <w:basedOn w:val="Normale"/>
    <w:rsid w:val="008C6E4B"/>
    <w:pPr>
      <w:spacing w:before="100" w:beforeAutospacing="1" w:after="100" w:afterAutospacing="1"/>
    </w:pPr>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FB5C19-9E03-3445-9238-592DD847D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11</Pages>
  <Words>3724</Words>
  <Characters>21232</Characters>
  <Application>Microsoft Office Word</Application>
  <DocSecurity>0</DocSecurity>
  <Lines>176</Lines>
  <Paragraphs>49</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24907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ROSA VICIDOMINI</cp:lastModifiedBy>
  <cp:revision>2</cp:revision>
  <dcterms:created xsi:type="dcterms:W3CDTF">2026-07-02T20:28:00Z</dcterms:created>
  <dcterms:modified xsi:type="dcterms:W3CDTF">2026-07-02T20:28:00Z</dcterms:modified>
</cp:coreProperties>
</file>