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CD00B" w14:textId="77777777" w:rsidR="00CB75AF" w:rsidRDefault="00B560D5">
      <w:r>
        <w:t>Titolo: Le indicazioni di ARERA sull’applicazione del CUP ai gestori del SII – Servizio Idrico Integrato</w:t>
      </w:r>
    </w:p>
    <w:p w14:paraId="201630BB" w14:textId="77777777" w:rsidR="00CB75AF" w:rsidRDefault="00B560D5">
      <w:r>
        <w:t xml:space="preserve"> </w:t>
      </w:r>
    </w:p>
    <w:p w14:paraId="0E583DA5" w14:textId="77777777" w:rsidR="00CB75AF" w:rsidRDefault="00B560D5">
      <w:r>
        <w:t>Di Alessandro Merciari</w:t>
      </w:r>
    </w:p>
    <w:p w14:paraId="6A418FE5" w14:textId="77777777" w:rsidR="00CB75AF" w:rsidRDefault="00B560D5">
      <w:r>
        <w:t xml:space="preserve"> </w:t>
      </w:r>
    </w:p>
    <w:p w14:paraId="703A43CB" w14:textId="77777777" w:rsidR="00CB75AF" w:rsidRDefault="00B560D5" w:rsidP="004920A0">
      <w:pPr>
        <w:jc w:val="both"/>
      </w:pPr>
      <w:r>
        <w:t>Le recenti circolari di alcune Autorità regionali per i servizi idrici, nonché le posizioni assunte da diversi gestori del Servizio Idrico Integrato (SII) in ordine alla pretesa esenzione dal Canone Unico Patrimoniale (CUP) per le occupazioni di suolo pubblico con cavi e condutture, hanno reso necessario un approfondimento sistematico su due profili strettamente connessi:</w:t>
      </w:r>
    </w:p>
    <w:p w14:paraId="0647A967" w14:textId="77777777" w:rsidR="00CB75AF" w:rsidRDefault="00B560D5" w:rsidP="004920A0">
      <w:pPr>
        <w:jc w:val="both"/>
      </w:pPr>
      <w:r>
        <w:t xml:space="preserve"> </w:t>
      </w:r>
    </w:p>
    <w:p w14:paraId="063A8234" w14:textId="77777777" w:rsidR="00CB75AF" w:rsidRDefault="00B560D5" w:rsidP="004920A0">
      <w:pPr>
        <w:jc w:val="both"/>
      </w:pPr>
      <w:r>
        <w:t>1. la soggettività passiva dei gestori del SII al CUP di cui all’art. 1, comma 831, della legge 27 dicembre 2019, n. 160;</w:t>
      </w:r>
    </w:p>
    <w:p w14:paraId="6ADCE90D" w14:textId="77777777" w:rsidR="004920A0" w:rsidRDefault="004920A0" w:rsidP="004920A0">
      <w:pPr>
        <w:jc w:val="both"/>
      </w:pPr>
    </w:p>
    <w:p w14:paraId="0DA1B7B2" w14:textId="77777777" w:rsidR="00CB75AF" w:rsidRDefault="00B560D5" w:rsidP="004920A0">
      <w:pPr>
        <w:jc w:val="both"/>
      </w:pPr>
      <w:r>
        <w:t>2. la natura di costo operativo del CUP ai fini della regolazione tariffaria, con conseguente inclusione nel Piano Economico Finanziario (PEF) e riflessi sull’impianto tariffario a carico dell’utenza finale.</w:t>
      </w:r>
    </w:p>
    <w:p w14:paraId="1010E0FD" w14:textId="77777777" w:rsidR="00CB75AF" w:rsidRDefault="00B560D5" w:rsidP="004920A0">
      <w:pPr>
        <w:jc w:val="both"/>
      </w:pPr>
      <w:r>
        <w:t xml:space="preserve"> </w:t>
      </w:r>
    </w:p>
    <w:p w14:paraId="7293FBA9" w14:textId="77777777" w:rsidR="00CB75AF" w:rsidRDefault="00B560D5" w:rsidP="004920A0">
      <w:pPr>
        <w:jc w:val="both"/>
      </w:pPr>
      <w:r>
        <w:t>Tale analisi non può che muovere dai provvedimenti di ARERA (Autorità di Regolazione per Energia Reti e Ambiente), autorità indipendente che disciplina il settore idrico e, in particolare, definisce il Metodo Tariffario Idrico (MTI) per la determinazione delle tariffe del SII, assicurando coerenza tra costi efficienti, investimenti e corrispettivi richiesti agli utenti.</w:t>
      </w:r>
    </w:p>
    <w:p w14:paraId="322A739D" w14:textId="77777777" w:rsidR="00CB75AF" w:rsidRDefault="00B560D5" w:rsidP="004920A0">
      <w:pPr>
        <w:jc w:val="both"/>
      </w:pPr>
      <w:r>
        <w:t xml:space="preserve"> </w:t>
      </w:r>
    </w:p>
    <w:p w14:paraId="7CD88B02" w14:textId="26276C7A" w:rsidR="00CB75AF" w:rsidRDefault="00B560D5" w:rsidP="004920A0">
      <w:pPr>
        <w:jc w:val="both"/>
      </w:pPr>
      <w:r>
        <w:t>In questa prospettiva rivestono particolare rilievo</w:t>
      </w:r>
      <w:r w:rsidR="004920A0">
        <w:t xml:space="preserve"> </w:t>
      </w:r>
      <w:r>
        <w:t xml:space="preserve">il “METODO TARIFFARIO IDRICO 2024-2029 </w:t>
      </w:r>
      <w:r w:rsidR="004920A0">
        <w:t xml:space="preserve">e </w:t>
      </w:r>
      <w:r>
        <w:t>il precedente “METODO TARIFFARIO IDRICO 2020-2023</w:t>
      </w:r>
      <w:r>
        <w:t>.</w:t>
      </w:r>
    </w:p>
    <w:p w14:paraId="1A59CABC" w14:textId="77777777" w:rsidR="00CB75AF" w:rsidRDefault="00B560D5" w:rsidP="004920A0">
      <w:pPr>
        <w:jc w:val="both"/>
      </w:pPr>
      <w:r>
        <w:t xml:space="preserve"> </w:t>
      </w:r>
    </w:p>
    <w:p w14:paraId="01C33D48" w14:textId="77777777" w:rsidR="00CB75AF" w:rsidRDefault="00B560D5" w:rsidP="004920A0">
      <w:pPr>
        <w:jc w:val="both"/>
      </w:pPr>
      <w:r>
        <w:t>L’esame combinato di tali testi consente di chiarire, da un lato, che il CUP rientra espressamente tra gli oneri tributari locali riconosciuti in tariffa come costi operativi e, dall’altro lato, che gli investimenti dei gestori sulla rete – oggetto dell’occupazione CUP – sono integralmente recuperati in bolletta, escludendo così il presupposto della “gratuità” richiesto dalla disciplina agevolativa invocata per sostenere l’esenzione.</w:t>
      </w:r>
    </w:p>
    <w:p w14:paraId="3A12A25D" w14:textId="77777777" w:rsidR="00CB75AF" w:rsidRDefault="00B560D5" w:rsidP="004920A0">
      <w:pPr>
        <w:jc w:val="both"/>
      </w:pPr>
      <w:r>
        <w:t xml:space="preserve"> </w:t>
      </w:r>
    </w:p>
    <w:p w14:paraId="41B3A994" w14:textId="5B095CAB" w:rsidR="00CB75AF" w:rsidRDefault="00B560D5" w:rsidP="00C14092">
      <w:pPr>
        <w:jc w:val="both"/>
      </w:pPr>
      <w:r>
        <w:rPr>
          <w:b/>
          <w:bCs/>
          <w:color w:val="000000"/>
        </w:rPr>
        <w:t>Il quadro regolatorio ARERA: MTI-3 e MTI-4</w:t>
      </w:r>
    </w:p>
    <w:p w14:paraId="247D6F3B" w14:textId="77777777" w:rsidR="00CB75AF" w:rsidRDefault="00B560D5" w:rsidP="004920A0">
      <w:pPr>
        <w:jc w:val="both"/>
      </w:pPr>
      <w:r>
        <w:t xml:space="preserve"> </w:t>
      </w:r>
    </w:p>
    <w:p w14:paraId="53907A3A" w14:textId="2281ABD7" w:rsidR="00CB75AF" w:rsidRDefault="00B560D5" w:rsidP="00C14092">
      <w:pPr>
        <w:jc w:val="both"/>
      </w:pPr>
      <w:r>
        <w:t>ARERA, nell’esercizio delle proprie competenze sul SII, stabilisce</w:t>
      </w:r>
      <w:r w:rsidR="00C14092">
        <w:t xml:space="preserve"> </w:t>
      </w:r>
      <w:r>
        <w:t>i criteri di determinazione del vincolo ai ricavi del gestore (VRG)</w:t>
      </w:r>
      <w:r w:rsidR="00C14092">
        <w:t xml:space="preserve">, </w:t>
      </w:r>
      <w:r>
        <w:t>le modalità di riconoscimento dei costi di investimento (Capex) e dei costi operativi (Opex)</w:t>
      </w:r>
      <w:r w:rsidR="00C14092">
        <w:t xml:space="preserve">, </w:t>
      </w:r>
      <w:r>
        <w:t>le regole di copertura dei costi ambientali e della risorsa, nonché dei meccanismi di conguaglio e qualità.</w:t>
      </w:r>
    </w:p>
    <w:p w14:paraId="68ADD8C9" w14:textId="77777777" w:rsidR="00CB75AF" w:rsidRDefault="00B560D5" w:rsidP="004920A0">
      <w:pPr>
        <w:jc w:val="both"/>
      </w:pPr>
      <w:r>
        <w:t xml:space="preserve"> </w:t>
      </w:r>
    </w:p>
    <w:p w14:paraId="70628F6D" w14:textId="77777777" w:rsidR="00CB75AF" w:rsidRDefault="00B560D5" w:rsidP="004920A0">
      <w:pPr>
        <w:jc w:val="both"/>
      </w:pPr>
      <w:r>
        <w:t>Sia nel periodo regolatorio 2020‑2023 (MTI‑3) sia nel periodo 2024‑2029 (MTI‑4), il VRG è scomposto nelle stesse grandi macro‑componenti: costi delle immobilizzazioni (Capex), Fondo Nuovi Investimenti (FoNI), costi operativi (Opex), costi ambientali e della risorsa (ERC) e componenti a conguaglio (Rc_TOT).</w:t>
      </w:r>
    </w:p>
    <w:p w14:paraId="102544D5" w14:textId="77777777" w:rsidR="00CB75AF" w:rsidRDefault="00B560D5" w:rsidP="004920A0">
      <w:pPr>
        <w:jc w:val="both"/>
      </w:pPr>
      <w:r>
        <w:t xml:space="preserve"> </w:t>
      </w:r>
    </w:p>
    <w:p w14:paraId="2E7B4E6A" w14:textId="3C0A1A1F" w:rsidR="00CB75AF" w:rsidRDefault="00B560D5" w:rsidP="00C14092">
      <w:pPr>
        <w:jc w:val="both"/>
      </w:pPr>
      <w:r>
        <w:t>Ai fini del presente contributo interessano in particolare</w:t>
      </w:r>
      <w:r w:rsidR="00C14092">
        <w:t xml:space="preserve"> </w:t>
      </w:r>
      <w:r>
        <w:t>le disposizioni sui costi delle immobilizzazioni, che disciplinano il recupero in tariffa degli investimenti effettuati sulle reti (condotte di acquedotto, opere di fognatura, impianti di depurazione)</w:t>
      </w:r>
      <w:r w:rsidR="00C14092">
        <w:t xml:space="preserve"> e </w:t>
      </w:r>
      <w:r>
        <w:t>le disposizioni sulle “altre componenti di costo operativo”, che includono, in modo espresso, il Canone Unico Patrimoniale tra gli oneri tributari locali riconosciuti ai gestori SII.</w:t>
      </w:r>
    </w:p>
    <w:p w14:paraId="4B7BF7A2" w14:textId="77777777" w:rsidR="00CB75AF" w:rsidRDefault="00B560D5" w:rsidP="004920A0">
      <w:pPr>
        <w:jc w:val="both"/>
      </w:pPr>
      <w:r>
        <w:t xml:space="preserve"> </w:t>
      </w:r>
    </w:p>
    <w:p w14:paraId="3182FF1E" w14:textId="2E6CCF47" w:rsidR="00CB75AF" w:rsidRDefault="00B560D5" w:rsidP="00C14092">
      <w:pPr>
        <w:jc w:val="both"/>
      </w:pPr>
      <w:r>
        <w:rPr>
          <w:b/>
          <w:bCs/>
          <w:color w:val="000000"/>
        </w:rPr>
        <w:t>Il recupero tariffario degli investimenti sulle reti idriche</w:t>
      </w:r>
    </w:p>
    <w:p w14:paraId="64602030" w14:textId="265AE119" w:rsidR="00CB75AF" w:rsidRDefault="00B560D5" w:rsidP="004920A0">
      <w:pPr>
        <w:jc w:val="both"/>
      </w:pPr>
      <w:r>
        <w:t xml:space="preserve"> </w:t>
      </w:r>
    </w:p>
    <w:p w14:paraId="34922976" w14:textId="2D5222A9" w:rsidR="00CB75AF" w:rsidRDefault="00B560D5" w:rsidP="00C14092">
      <w:pPr>
        <w:jc w:val="both"/>
      </w:pPr>
      <w:r>
        <w:t>Nel MTI‑4, l’Articolo 8 (“Determinazione dei costi delle immobilizzazioni riconosciuti in tariffa”) definisce la struttura della componente Capex, comprensiva di</w:t>
      </w:r>
      <w:r w:rsidR="00C14092">
        <w:t xml:space="preserve"> </w:t>
      </w:r>
      <w:r>
        <w:t>ammortamenti sulle immobilizzazioni di proprietà del gestore (AMMᵃ)</w:t>
      </w:r>
      <w:r w:rsidR="00C14092">
        <w:t xml:space="preserve">, </w:t>
      </w:r>
      <w:r>
        <w:t>oneri finanziari (OFᵃ)</w:t>
      </w:r>
      <w:r w:rsidR="00C14092">
        <w:t xml:space="preserve">, </w:t>
      </w:r>
      <w:r>
        <w:t>oneri fiscali (OFiscᵃ)</w:t>
      </w:r>
      <w:r w:rsidR="00C14092">
        <w:t xml:space="preserve"> e l’</w:t>
      </w:r>
      <w:r>
        <w:t>eventuale eccedenza di valorizzazione per infrastrutture di terzi (ΔCUIT_Capexᵃ).</w:t>
      </w:r>
    </w:p>
    <w:p w14:paraId="664D6670" w14:textId="77777777" w:rsidR="00CB75AF" w:rsidRDefault="00B560D5" w:rsidP="004920A0">
      <w:pPr>
        <w:jc w:val="both"/>
      </w:pPr>
      <w:r>
        <w:t xml:space="preserve"> </w:t>
      </w:r>
    </w:p>
    <w:p w14:paraId="425FB6F8" w14:textId="77777777" w:rsidR="00CB75AF" w:rsidRDefault="00B560D5" w:rsidP="004920A0">
      <w:pPr>
        <w:jc w:val="both"/>
      </w:pPr>
      <w:r>
        <w:t>L’Articolo 11 disciplina, in dettaglio, la vita utile regolatoria (VU_c,t) e, dunque, le quote di ammortamento riconosciute in tariffa per le diverse categorie di immobilizzazioni.</w:t>
      </w:r>
    </w:p>
    <w:p w14:paraId="6CFB3197" w14:textId="77777777" w:rsidR="00CB75AF" w:rsidRDefault="00B560D5" w:rsidP="004920A0">
      <w:pPr>
        <w:jc w:val="both"/>
      </w:pPr>
      <w:r>
        <w:t xml:space="preserve"> </w:t>
      </w:r>
    </w:p>
    <w:p w14:paraId="18FB49B4" w14:textId="3A94D5C8" w:rsidR="00CB75AF" w:rsidRDefault="00B560D5" w:rsidP="00C14092">
      <w:pPr>
        <w:jc w:val="both"/>
      </w:pPr>
      <w:r>
        <w:t>Per quanto concerne le infrastrutture di rete</w:t>
      </w:r>
      <w:r w:rsidR="00C14092">
        <w:t xml:space="preserve"> </w:t>
      </w:r>
      <w:r>
        <w:t xml:space="preserve">per il servizio acquedotto, la tabella di cui al comma 11.4 del MTI‑4 prevede, tra l’altro:  “Condotte di acquedotto” con vita utile VU_c,t pari a 40 anni; “Altre opere idrauliche fisse di acquedotto” con VU_c,t pari a 40 anni;  </w:t>
      </w:r>
      <w:r>
        <w:t xml:space="preserve">per il servizio fognatura:  “Condotte fognarie” con VU_c,t pari a 50 anni; “Sifoni e scaricatori di piena e altre opere idrauliche fisse di fognatura” con VU_c,t pari a 40 anni.  </w:t>
      </w:r>
    </w:p>
    <w:p w14:paraId="7B473CCD" w14:textId="77777777" w:rsidR="00CB75AF" w:rsidRDefault="00B560D5" w:rsidP="004920A0">
      <w:pPr>
        <w:jc w:val="both"/>
      </w:pPr>
      <w:r>
        <w:t xml:space="preserve"> </w:t>
      </w:r>
    </w:p>
    <w:p w14:paraId="76F49070" w14:textId="77777777" w:rsidR="00CB75AF" w:rsidRDefault="00B560D5" w:rsidP="004920A0">
      <w:pPr>
        <w:jc w:val="both"/>
      </w:pPr>
      <w:r>
        <w:t>Su tali vite utili regolatorie viene calcolata la quota annua di ammortamento da riconoscere nel VRG, secondo la formula generale dell’Articolo 11, comma 11.1, che impone il recupero progressivo del costo storico – al netto di eventuali contributi a fondo perduto – lungo l’intero orizzonte di vita dell’opera.</w:t>
      </w:r>
    </w:p>
    <w:p w14:paraId="1F55FE38" w14:textId="77777777" w:rsidR="00CB75AF" w:rsidRDefault="00B560D5" w:rsidP="004920A0">
      <w:pPr>
        <w:jc w:val="both"/>
      </w:pPr>
      <w:r>
        <w:t xml:space="preserve"> </w:t>
      </w:r>
    </w:p>
    <w:p w14:paraId="4106629D" w14:textId="7ADA3AAF" w:rsidR="00CB75AF" w:rsidRDefault="00CB75AF" w:rsidP="004920A0">
      <w:pPr>
        <w:pStyle w:val="Titolo3"/>
        <w:jc w:val="both"/>
      </w:pPr>
    </w:p>
    <w:p w14:paraId="2D020AAF" w14:textId="77777777" w:rsidR="00CB75AF" w:rsidRDefault="00B560D5" w:rsidP="004920A0">
      <w:pPr>
        <w:jc w:val="both"/>
      </w:pPr>
      <w:r>
        <w:t xml:space="preserve"> </w:t>
      </w:r>
    </w:p>
    <w:p w14:paraId="0CF6DBA4" w14:textId="5E7DE92C" w:rsidR="00CB75AF" w:rsidRDefault="00B560D5" w:rsidP="00C14092">
      <w:pPr>
        <w:jc w:val="both"/>
      </w:pPr>
      <w:r>
        <w:lastRenderedPageBreak/>
        <w:t>Già il MTI‑3, all’Articolo 10, contemplava analoghi criteri</w:t>
      </w:r>
      <w:r w:rsidR="00C14092">
        <w:t xml:space="preserve"> </w:t>
      </w:r>
      <w:r>
        <w:t>con vite utili regolatorie pre‑2020 (comma 10.2) e, a partire dal 2020, una tabella per attività analoga a quella oggi riprodotta nel MTI‑4 (comma 10.4);</w:t>
      </w:r>
      <w:r w:rsidR="00C14092">
        <w:t xml:space="preserve"> </w:t>
      </w:r>
      <w:r>
        <w:t>per le “Condotte di acquedotto” e le “Opere idrauliche fisse di acquedotto” veniva prevista una VU_c,t pari a 40 anni;</w:t>
      </w:r>
      <w:r w:rsidR="00C14092">
        <w:t xml:space="preserve"> </w:t>
      </w:r>
      <w:r>
        <w:t>per le “Sifoni e scaricatori di piena e altre opere idrauliche fisse di fognatura” una VU_c,t pari a 40 anni.</w:t>
      </w:r>
    </w:p>
    <w:p w14:paraId="7554E8C8" w14:textId="77777777" w:rsidR="00CB75AF" w:rsidRDefault="00B560D5" w:rsidP="004920A0">
      <w:pPr>
        <w:jc w:val="both"/>
      </w:pPr>
      <w:r>
        <w:t xml:space="preserve"> </w:t>
      </w:r>
    </w:p>
    <w:p w14:paraId="5573486D" w14:textId="77777777" w:rsidR="00CB75AF" w:rsidRDefault="00B560D5" w:rsidP="004920A0">
      <w:pPr>
        <w:jc w:val="both"/>
      </w:pPr>
      <w:r>
        <w:t>Ne discende la piena continuità regolatoria: gli investimenti sulle reti idriche e fognarie sono, da anni, riconosciuti in tariffa tramite ammortamento su orizzonti pluriennali (40‑50 anni a seconda delle categorie) sino al completo recupero del costo di realizzazione a carico dell’utenza.</w:t>
      </w:r>
    </w:p>
    <w:p w14:paraId="41005DF8" w14:textId="77777777" w:rsidR="00C14092" w:rsidRDefault="00C14092" w:rsidP="00C14092">
      <w:pPr>
        <w:jc w:val="both"/>
      </w:pPr>
    </w:p>
    <w:p w14:paraId="3620AC91" w14:textId="07FAF11B" w:rsidR="00CB75AF" w:rsidRDefault="00B560D5" w:rsidP="00C14092">
      <w:pPr>
        <w:jc w:val="both"/>
      </w:pPr>
      <w:r>
        <w:rPr>
          <w:b/>
          <w:bCs/>
          <w:color w:val="000000"/>
        </w:rPr>
        <w:t>Effetto economico: integrale recupero degli investimenti in tariffa</w:t>
      </w:r>
    </w:p>
    <w:p w14:paraId="1E890461" w14:textId="77777777" w:rsidR="00CB75AF" w:rsidRDefault="00B560D5" w:rsidP="004920A0">
      <w:pPr>
        <w:jc w:val="both"/>
      </w:pPr>
      <w:r>
        <w:t xml:space="preserve"> </w:t>
      </w:r>
    </w:p>
    <w:p w14:paraId="3762D85D" w14:textId="00ED25FF" w:rsidR="00CB75AF" w:rsidRDefault="00B560D5" w:rsidP="00C14092">
      <w:pPr>
        <w:jc w:val="both"/>
      </w:pPr>
      <w:r>
        <w:t>In termini economico‑finanziari, le conseguenze sono chiare</w:t>
      </w:r>
      <w:r w:rsidR="00C14092">
        <w:t xml:space="preserve">, </w:t>
      </w:r>
      <w:r>
        <w:t>gli investimenti effettuati dai gestori sulle reti pubbliche (condotte, collettori, opere fisse) – anche se insistono su suolo pubblico comunale e costituiscono il presupposto dell’imposizione CUP – sono integralmente ristorati mediante le componenti Capex del VRG;</w:t>
      </w:r>
      <w:r w:rsidR="00C14092">
        <w:t xml:space="preserve"> </w:t>
      </w:r>
      <w:r>
        <w:t xml:space="preserve">il recupero avviene attraverso:  ammortamenti regolatori calcolati sulla vita utile (AMMᵃ); oneri finanziari e fiscali correlati al capitale investito (OFᵃ, OFiscᵃ);  </w:t>
      </w:r>
      <w:r w:rsidR="00C14092">
        <w:t xml:space="preserve"> </w:t>
      </w:r>
      <w:r>
        <w:t xml:space="preserve">tali componenti confluiscono nel PEF e, quindi, nel piano tariffario, secondo le definizioni di:  “Piano economico finanziario (PEF)” e “Piano tariffario” riportate all’Articolo 1 del MTI‑4, che chiariscono come i costi di gestione e investimento, nonché i proventi tariffari, siano proiettati sull’intero periodo di affidamento, garantendo l’equilibrio economico‑finanziario della gestione.  </w:t>
      </w:r>
    </w:p>
    <w:p w14:paraId="66134C1D" w14:textId="77777777" w:rsidR="00CB75AF" w:rsidRDefault="00B560D5" w:rsidP="004920A0">
      <w:pPr>
        <w:jc w:val="both"/>
      </w:pPr>
      <w:r>
        <w:t xml:space="preserve"> </w:t>
      </w:r>
    </w:p>
    <w:p w14:paraId="0D5BD6B2" w14:textId="77777777" w:rsidR="00CB75AF" w:rsidRDefault="00B560D5" w:rsidP="004920A0">
      <w:pPr>
        <w:jc w:val="both"/>
      </w:pPr>
      <w:r>
        <w:t>In altre parole, le opere realizzate dal gestore sulla rete non rimangono a suo carico definitivo, ma sono interamente recuperate in bolletta dall’utenza finale, secondo i tempi e le modalità fissate dalle deliberazioni ARERA.</w:t>
      </w:r>
    </w:p>
    <w:p w14:paraId="17481C32" w14:textId="77777777" w:rsidR="00CB75AF" w:rsidRDefault="00B560D5" w:rsidP="004920A0">
      <w:pPr>
        <w:jc w:val="both"/>
      </w:pPr>
      <w:r>
        <w:t xml:space="preserve"> </w:t>
      </w:r>
    </w:p>
    <w:p w14:paraId="540DCD08" w14:textId="59CE3E10" w:rsidR="00CB75AF" w:rsidRDefault="00B560D5" w:rsidP="00C14092">
      <w:pPr>
        <w:jc w:val="both"/>
      </w:pPr>
      <w:r>
        <w:rPr>
          <w:b/>
          <w:bCs/>
          <w:color w:val="000000"/>
        </w:rPr>
        <w:t>Il CUP come onere tributario operativo nel metodo tariffario</w:t>
      </w:r>
    </w:p>
    <w:p w14:paraId="307F867F" w14:textId="77777777" w:rsidR="00CB75AF" w:rsidRDefault="00B560D5" w:rsidP="004920A0">
      <w:pPr>
        <w:jc w:val="both"/>
      </w:pPr>
      <w:r>
        <w:t xml:space="preserve"> </w:t>
      </w:r>
    </w:p>
    <w:p w14:paraId="3A90325C" w14:textId="77777777" w:rsidR="00CB75AF" w:rsidRDefault="00B560D5" w:rsidP="004920A0">
      <w:pPr>
        <w:jc w:val="both"/>
      </w:pPr>
      <w:r>
        <w:t>L’Articolo 24 del MTI‑4, rubricato “Altre componenti di costo operativo”, definisce la componente CO_altriᵃ come somma di quattro voci:</w:t>
      </w:r>
    </w:p>
    <w:p w14:paraId="48E8C252" w14:textId="77777777" w:rsidR="00CB75AF" w:rsidRDefault="00B560D5" w:rsidP="004920A0">
      <w:pPr>
        <w:jc w:val="both"/>
      </w:pPr>
      <w:r>
        <w:t xml:space="preserve"> </w:t>
      </w:r>
    </w:p>
    <w:p w14:paraId="2473A7E5" w14:textId="5B9DDAAA" w:rsidR="00CB75AF" w:rsidRDefault="00B560D5" w:rsidP="00C14092">
      <w:pPr>
        <w:pStyle w:val="Paragrafoelenco"/>
        <w:numPr>
          <w:ilvl w:val="0"/>
          <w:numId w:val="2"/>
        </w:numPr>
        <w:jc w:val="both"/>
      </w:pPr>
      <w:r>
        <w:t>CO_ATOᵃ: spese di funzionamento dell’Ente di governo dell’ambito;</w:t>
      </w:r>
    </w:p>
    <w:p w14:paraId="03FCC972" w14:textId="605C08A8" w:rsidR="00CB75AF" w:rsidRDefault="00B560D5" w:rsidP="00C14092">
      <w:pPr>
        <w:pStyle w:val="Paragrafoelenco"/>
        <w:numPr>
          <w:ilvl w:val="0"/>
          <w:numId w:val="2"/>
        </w:numPr>
        <w:jc w:val="both"/>
      </w:pPr>
      <w:r>
        <w:t>CO_ARERAᵃ: contributo dovuto all’Autorità;</w:t>
      </w:r>
    </w:p>
    <w:p w14:paraId="13C8D84F" w14:textId="4A25CE1C" w:rsidR="00CB75AF" w:rsidRDefault="00B560D5" w:rsidP="00C14092">
      <w:pPr>
        <w:pStyle w:val="Paragrafoelenco"/>
        <w:numPr>
          <w:ilvl w:val="0"/>
          <w:numId w:val="2"/>
        </w:numPr>
        <w:jc w:val="both"/>
      </w:pPr>
      <w:r>
        <w:t>CO_morᵃ: costo di morosità;</w:t>
      </w:r>
    </w:p>
    <w:p w14:paraId="1B1F0387" w14:textId="73934FD3" w:rsidR="00CB75AF" w:rsidRDefault="00B560D5" w:rsidP="00C14092">
      <w:pPr>
        <w:pStyle w:val="Paragrafoelenco"/>
        <w:numPr>
          <w:ilvl w:val="0"/>
          <w:numId w:val="2"/>
        </w:numPr>
        <w:jc w:val="both"/>
      </w:pPr>
      <w:r>
        <w:t>CO_resᵃ: oneri locali.</w:t>
      </w:r>
    </w:p>
    <w:p w14:paraId="0FD707B2" w14:textId="77777777" w:rsidR="00CB75AF" w:rsidRDefault="00B560D5" w:rsidP="004920A0">
      <w:pPr>
        <w:jc w:val="both"/>
      </w:pPr>
      <w:r>
        <w:t xml:space="preserve"> </w:t>
      </w:r>
    </w:p>
    <w:p w14:paraId="49F45514" w14:textId="4D4ED0A1" w:rsidR="00CB75AF" w:rsidRDefault="00B560D5" w:rsidP="004920A0">
      <w:pPr>
        <w:jc w:val="both"/>
      </w:pPr>
      <w:r>
        <w:t>Con riferimento a CO_resᵃ, il testo stabilisce che essa include</w:t>
      </w:r>
      <w:r w:rsidR="00C14092">
        <w:t xml:space="preserve">: </w:t>
      </w:r>
      <w:r>
        <w:t xml:space="preserve"> </w:t>
      </w:r>
      <w:r w:rsidRPr="00C14092">
        <w:rPr>
          <w:i/>
          <w:iCs/>
        </w:rPr>
        <w:t xml:space="preserve">“gli oneri locali, quali (per la quota non ricompresa tra i costi ambientali e della risorsa): canoni di derivazione/sottensione idrica, contributi per consorzi di bonifica, contributi a comunità montane, canoni per restituzione acque, oneri per la gestione di aree di salvaguardia, </w:t>
      </w:r>
      <w:r w:rsidRPr="00C14092">
        <w:rPr>
          <w:b/>
          <w:bCs/>
          <w:i/>
          <w:iCs/>
        </w:rPr>
        <w:t>nonché altri oneri tributari locali quali Canone unico patrimoniale (ex TOSAP e COSAP), IMU, TARI</w:t>
      </w:r>
      <w:r w:rsidRPr="00C14092">
        <w:rPr>
          <w:i/>
          <w:iCs/>
        </w:rPr>
        <w:t>; una componente negativa pari ai contributi in conto esercizio percepiti nell’anno (a − 2), come risultante dal bilancio.”</w:t>
      </w:r>
      <w:r>
        <w:t xml:space="preserve"> </w:t>
      </w:r>
    </w:p>
    <w:p w14:paraId="3D70B8FB" w14:textId="77777777" w:rsidR="00CB75AF" w:rsidRDefault="00B560D5" w:rsidP="004920A0">
      <w:pPr>
        <w:jc w:val="both"/>
      </w:pPr>
      <w:r>
        <w:t xml:space="preserve"> </w:t>
      </w:r>
    </w:p>
    <w:p w14:paraId="2832A4C7" w14:textId="738640BA" w:rsidR="00CB75AF" w:rsidRDefault="00B560D5" w:rsidP="00C14092">
      <w:pPr>
        <w:jc w:val="both"/>
      </w:pPr>
      <w:r>
        <w:t>La formulazione non lascia adito a dubbi</w:t>
      </w:r>
      <w:r w:rsidR="00C14092">
        <w:t xml:space="preserve">, </w:t>
      </w:r>
      <w:r>
        <w:t>il Canone Unico Patrimoniale è espressamente qualificato da ARERA come “onere tributario locale” a carico del gestore del SII;</w:t>
      </w:r>
      <w:r w:rsidR="00C14092">
        <w:t xml:space="preserve"> </w:t>
      </w:r>
      <w:r>
        <w:t>il CUP rientra tra i costi operativi riconosciuti nel VRG, attraverso la componente CO_resᵃ</w:t>
      </w:r>
      <w:r w:rsidR="00C14092">
        <w:t xml:space="preserve"> e </w:t>
      </w:r>
      <w:r>
        <w:t>la regolazione considera il CUP quale costo imputabile al gestore – in quanto soggetto passivo dell’imposizione – e ne prevede il recupero integrale in tariffa come costo operativo aggiornabile.</w:t>
      </w:r>
    </w:p>
    <w:p w14:paraId="39EFA22C" w14:textId="77777777" w:rsidR="00C14092" w:rsidRDefault="00B560D5" w:rsidP="004920A0">
      <w:pPr>
        <w:jc w:val="both"/>
      </w:pPr>
      <w:r>
        <w:t xml:space="preserve"> </w:t>
      </w:r>
    </w:p>
    <w:p w14:paraId="6ABE867E" w14:textId="0DE16B47" w:rsidR="00CB75AF" w:rsidRDefault="00B560D5" w:rsidP="004920A0">
      <w:pPr>
        <w:jc w:val="both"/>
      </w:pPr>
      <w:r>
        <w:t>Già nel MTI‑3, all’Articolo 23 (“Altre componenti di costo operativo”), la voce CO_resᵃ includeva, tra gli oneri locali</w:t>
      </w:r>
      <w:r w:rsidR="00C14092">
        <w:t xml:space="preserve">: </w:t>
      </w:r>
      <w:r>
        <w:t xml:space="preserve"> “altri oneri tributari locali quali TOSAP, COSAP, IMU, TARI, TASI; una componente negativa pari ai contributi in conto esercizio percepiti nell’anno (a − 2), come risultante dal bilancio.” </w:t>
      </w:r>
    </w:p>
    <w:p w14:paraId="2A3A7B5F" w14:textId="77777777" w:rsidR="00CB75AF" w:rsidRDefault="00B560D5" w:rsidP="004920A0">
      <w:pPr>
        <w:jc w:val="both"/>
      </w:pPr>
      <w:r>
        <w:t xml:space="preserve"> </w:t>
      </w:r>
    </w:p>
    <w:p w14:paraId="778A1553" w14:textId="114125D7" w:rsidR="00CB75AF" w:rsidRDefault="00B560D5" w:rsidP="00C14092">
      <w:pPr>
        <w:jc w:val="both"/>
      </w:pPr>
      <w:r>
        <w:t>Con l’entrata in vigore del CUP, ARERA ha coerentemente aggiornato la terminologia, sostituendo TOSAP e COSAP con “Canone unico patrimoniale (ex TOSAP e COSAP)”, senza modificare la logica sostanziale</w:t>
      </w:r>
      <w:r w:rsidR="00C14092">
        <w:t xml:space="preserve"> secondo cui </w:t>
      </w:r>
      <w:r>
        <w:t>i prelievi patrimoniali connessi all’occupazione del suolo pubblico per servizi a rete – dapprima TOSAP/COSAP, oggi CUP – sono trattati come costi operativi riconosciuti ai gestori</w:t>
      </w:r>
      <w:r w:rsidR="00C14092">
        <w:t xml:space="preserve"> e </w:t>
      </w:r>
      <w:r>
        <w:t>tali costi vengono considerati nel procedimento tariffario e, quindi, ribaltati sulla generalità degli utenti del SII, nel rispetto dei vincoli di price‑cap e dei limiti di crescita del moltiplicatore tariffario.</w:t>
      </w:r>
    </w:p>
    <w:p w14:paraId="0760F82F" w14:textId="77777777" w:rsidR="00CB75AF" w:rsidRDefault="00B560D5" w:rsidP="004920A0">
      <w:pPr>
        <w:jc w:val="both"/>
      </w:pPr>
      <w:r>
        <w:t xml:space="preserve"> </w:t>
      </w:r>
    </w:p>
    <w:p w14:paraId="65A0BB36" w14:textId="7C0E65B7" w:rsidR="00CB75AF" w:rsidRDefault="00B560D5" w:rsidP="00B560D5">
      <w:pPr>
        <w:jc w:val="both"/>
      </w:pPr>
      <w:r>
        <w:t xml:space="preserve">Ne discende che, per l’intero arco temporale di operatività del CUP (dal 2021 al 2026 e oltre), i relativi oneri sono coperti dalla regolazione ARERA, sia </w:t>
      </w:r>
      <w:r>
        <w:t xml:space="preserve">sul piano strutturale (inserimento tra gli oneri tributari locali riconosciuti) che </w:t>
      </w:r>
      <w:r>
        <w:t>sul piano temporale (copertura continuativa attraverso MTI‑3 e MTI‑4).</w:t>
      </w:r>
    </w:p>
    <w:p w14:paraId="623AE10E" w14:textId="77777777" w:rsidR="00CB75AF" w:rsidRDefault="00B560D5" w:rsidP="004920A0">
      <w:pPr>
        <w:jc w:val="both"/>
      </w:pPr>
      <w:r>
        <w:t xml:space="preserve"> </w:t>
      </w:r>
    </w:p>
    <w:p w14:paraId="57808782" w14:textId="622AD6A8" w:rsidR="00CB75AF" w:rsidRDefault="00B560D5" w:rsidP="00B560D5">
      <w:pPr>
        <w:jc w:val="both"/>
      </w:pPr>
      <w:r>
        <w:rPr>
          <w:b/>
          <w:bCs/>
          <w:color w:val="000000"/>
        </w:rPr>
        <w:t>Conseguenze sull’asserita “devoluzione gratuita” ai fini dell’esenzione CUP</w:t>
      </w:r>
    </w:p>
    <w:p w14:paraId="78DB5C2B" w14:textId="77777777" w:rsidR="00CB75AF" w:rsidRDefault="00B560D5" w:rsidP="004920A0">
      <w:pPr>
        <w:jc w:val="both"/>
      </w:pPr>
      <w:r>
        <w:t xml:space="preserve"> </w:t>
      </w:r>
    </w:p>
    <w:p w14:paraId="126BC493" w14:textId="77777777" w:rsidR="00CB75AF" w:rsidRDefault="00B560D5" w:rsidP="004920A0">
      <w:pPr>
        <w:jc w:val="both"/>
      </w:pPr>
      <w:r>
        <w:lastRenderedPageBreak/>
        <w:t>La disciplina agevolativa invocata dai gestori e da talune Autorità regionali per sostenere la non debenza del CUP ruota attorno al concetto di “devoluzione gratuita” al Comune, quale presupposto per la concessione dell’esenzione.</w:t>
      </w:r>
    </w:p>
    <w:p w14:paraId="4B61050E" w14:textId="77777777" w:rsidR="00CB75AF" w:rsidRDefault="00B560D5" w:rsidP="004920A0">
      <w:pPr>
        <w:jc w:val="both"/>
      </w:pPr>
      <w:r>
        <w:t xml:space="preserve"> </w:t>
      </w:r>
    </w:p>
    <w:p w14:paraId="640BD921" w14:textId="77777777" w:rsidR="00CB75AF" w:rsidRDefault="00B560D5" w:rsidP="004920A0">
      <w:pPr>
        <w:jc w:val="both"/>
      </w:pPr>
      <w:r>
        <w:t>L’analisi combinata dei metodi tariffari ARERA e della struttura dei corrispettivi del SII consente di evidenziare due profili critici che escludono la sussistenza dei requisiti richiesti per l’esenzione:</w:t>
      </w:r>
    </w:p>
    <w:p w14:paraId="3595A82C" w14:textId="77777777" w:rsidR="00CB75AF" w:rsidRDefault="00B560D5" w:rsidP="004920A0">
      <w:pPr>
        <w:jc w:val="both"/>
      </w:pPr>
      <w:r>
        <w:t xml:space="preserve"> </w:t>
      </w:r>
    </w:p>
    <w:p w14:paraId="49616A03" w14:textId="77777777" w:rsidR="00CB75AF" w:rsidRDefault="00B560D5" w:rsidP="004920A0">
      <w:pPr>
        <w:jc w:val="both"/>
      </w:pPr>
      <w:r>
        <w:t>1. assenza della vera e propria devoluzione in senso tecnico‑giuridico;</w:t>
      </w:r>
    </w:p>
    <w:p w14:paraId="392CE09D" w14:textId="77777777" w:rsidR="00CB75AF" w:rsidRDefault="00B560D5" w:rsidP="004920A0">
      <w:pPr>
        <w:jc w:val="both"/>
      </w:pPr>
      <w:r>
        <w:t>2. difetto della gratuità in capo al gestore, atteso che gli investimenti sono integralmente recuperati in tariffa.</w:t>
      </w:r>
    </w:p>
    <w:p w14:paraId="363B261A" w14:textId="7DB2CBF4" w:rsidR="00CB75AF" w:rsidRDefault="00B560D5" w:rsidP="004920A0">
      <w:pPr>
        <w:jc w:val="both"/>
      </w:pPr>
      <w:r>
        <w:t xml:space="preserve"> </w:t>
      </w:r>
    </w:p>
    <w:p w14:paraId="16318C17" w14:textId="77777777" w:rsidR="00CB75AF" w:rsidRDefault="00B560D5" w:rsidP="004920A0">
      <w:pPr>
        <w:jc w:val="both"/>
      </w:pPr>
      <w:r>
        <w:t>Il quadro normativo di settore, come ricordato, configura le infrastrutture idriche (acquedotti, fognature, impianti di depurazione) quali beni di proprietà pubblica, normalmente in capo agli enti locali, mentre il gestore del SII ne cura la realizzazione, la manutenzione e la gestione tecnica ed economica.</w:t>
      </w:r>
    </w:p>
    <w:p w14:paraId="05D808BA" w14:textId="77777777" w:rsidR="00CB75AF" w:rsidRDefault="00B560D5" w:rsidP="004920A0">
      <w:pPr>
        <w:jc w:val="both"/>
      </w:pPr>
      <w:r>
        <w:t xml:space="preserve"> </w:t>
      </w:r>
    </w:p>
    <w:p w14:paraId="4D57E68A" w14:textId="3EB6FB15" w:rsidR="00CB75AF" w:rsidRDefault="00B560D5" w:rsidP="00B560D5">
      <w:pPr>
        <w:jc w:val="both"/>
      </w:pPr>
      <w:r>
        <w:t xml:space="preserve">Gli stessi MTI, nel definire le categorie di immobilizzazioni e il perimetro regolatorio, confermano che </w:t>
      </w:r>
      <w:r>
        <w:t xml:space="preserve">il gestore è titolare del diritto di gestione e utilizzo delle infrastrutture, non necessariamente della proprietà giuridica del bene e che </w:t>
      </w:r>
      <w:r>
        <w:t>una parte rilevante dei cespiti utilizzati può essere di terzi (Articoli 13 MTI‑3 e 14 MTI‑4, in tema di valorizzazione delle immobilizzazioni di terzi e della componente ΔCUITᵃ).</w:t>
      </w:r>
    </w:p>
    <w:p w14:paraId="40341E97" w14:textId="77777777" w:rsidR="00CB75AF" w:rsidRDefault="00B560D5" w:rsidP="004920A0">
      <w:pPr>
        <w:jc w:val="both"/>
      </w:pPr>
      <w:r>
        <w:t xml:space="preserve"> </w:t>
      </w:r>
    </w:p>
    <w:p w14:paraId="0D922D7F" w14:textId="2C1A6ADF" w:rsidR="00CB75AF" w:rsidRDefault="00B560D5" w:rsidP="00B560D5">
      <w:pPr>
        <w:jc w:val="both"/>
      </w:pPr>
      <w:r>
        <w:t xml:space="preserve">Al termine dell’affidamento </w:t>
      </w:r>
      <w:r>
        <w:t xml:space="preserve">il gestore è tenuto a restituire le infrastrutture al soggetto proprietario (ente locale o società patrimoniale) </w:t>
      </w:r>
      <w:r>
        <w:t xml:space="preserve">non </w:t>
      </w:r>
      <w:r>
        <w:t xml:space="preserve"> configurando così</w:t>
      </w:r>
      <w:r>
        <w:t xml:space="preserve"> una devoluzione in senso proprio (trasferimento della proprietà di beni costruiti dal gestore a favore dell’ente), bensì una mera “restituzione” di beni che sono – o divengono – di proprietà pubblica, in coerenza con la disciplina di settore.</w:t>
      </w:r>
    </w:p>
    <w:p w14:paraId="3BE816A3" w14:textId="77777777" w:rsidR="00CB75AF" w:rsidRDefault="00B560D5" w:rsidP="004920A0">
      <w:pPr>
        <w:jc w:val="both"/>
      </w:pPr>
      <w:r>
        <w:t xml:space="preserve"> </w:t>
      </w:r>
    </w:p>
    <w:p w14:paraId="362F04D6" w14:textId="4D22799D" w:rsidR="00CB75AF" w:rsidRDefault="00B560D5" w:rsidP="00B560D5">
      <w:pPr>
        <w:jc w:val="both"/>
      </w:pPr>
      <w:r>
        <w:t xml:space="preserve">In tale contesto, la pretesa di ricondurre l’intera fattispecie del SII nell’ambito di un’agevolazione fondata sulla “devoluzione gratuita” si scontra con la stessa struttura proprietaria delle reti e con la ratio degli articoli dei MTI che regolano </w:t>
      </w:r>
      <w:r>
        <w:t xml:space="preserve">da un lato, i beni di proprietà del gestore (Capex, AMMᵃ) e </w:t>
      </w:r>
      <w:r>
        <w:t>dall’altro, i beni di terzi concessi in uso (ΔCUITᵃ, ammortamenti e oneri di terzi).</w:t>
      </w:r>
    </w:p>
    <w:p w14:paraId="407D8E35" w14:textId="278A00DF" w:rsidR="00CB75AF" w:rsidRDefault="00B560D5" w:rsidP="004920A0">
      <w:pPr>
        <w:jc w:val="both"/>
      </w:pPr>
      <w:r>
        <w:t xml:space="preserve"> </w:t>
      </w:r>
    </w:p>
    <w:p w14:paraId="2BC56FB5" w14:textId="77777777" w:rsidR="00CB75AF" w:rsidRDefault="00B560D5" w:rsidP="004920A0">
      <w:pPr>
        <w:jc w:val="both"/>
      </w:pPr>
      <w:r>
        <w:t>Anche ammettendo, in via meramente teorica, che una parte delle opere sia giuridicamente imputabile al gestore in proprietà per poi essere trasferita all’ente pubblico, difetterebbe comunque la condizione di gratuità.</w:t>
      </w:r>
    </w:p>
    <w:p w14:paraId="505B2E2C" w14:textId="77777777" w:rsidR="00CB75AF" w:rsidRDefault="00B560D5" w:rsidP="004920A0">
      <w:pPr>
        <w:jc w:val="both"/>
      </w:pPr>
      <w:r>
        <w:t xml:space="preserve"> </w:t>
      </w:r>
    </w:p>
    <w:p w14:paraId="234361B6" w14:textId="6DA334B1" w:rsidR="00CB75AF" w:rsidRDefault="00B560D5" w:rsidP="00B560D5">
      <w:pPr>
        <w:jc w:val="both"/>
      </w:pPr>
      <w:r>
        <w:t xml:space="preserve">Come si è visto </w:t>
      </w:r>
      <w:r>
        <w:t xml:space="preserve">gli investimenti realizzati dal gestore sulle reti vengono integralmente recuperati:  attraverso la quota di ammortamento (AMMᵃ) calcolata su VU_c,t; mediante il riconoscimento degli oneri finanziari e fiscali correlati (OFᵃ, OFiscᵃ); </w:t>
      </w:r>
      <w:r>
        <w:t xml:space="preserve">tali componenti affluiscono al VRG, al PEF e, in ultima istanza, alle tariffe applicate all’utenza finale; </w:t>
      </w:r>
      <w:r>
        <w:t>eventuali contributi pubblici in conto capitale vengono contabilizzati come CFP e scorporati dal valore ammortizzabile, ma la parte residua dell’investimento grava comunque sulla tariffa.</w:t>
      </w:r>
    </w:p>
    <w:p w14:paraId="6B084461" w14:textId="77777777" w:rsidR="00CB75AF" w:rsidRDefault="00B560D5" w:rsidP="004920A0">
      <w:pPr>
        <w:jc w:val="both"/>
      </w:pPr>
      <w:r>
        <w:t xml:space="preserve"> </w:t>
      </w:r>
    </w:p>
    <w:p w14:paraId="4F27A878" w14:textId="34182328" w:rsidR="00CB75AF" w:rsidRDefault="00B560D5" w:rsidP="00B560D5">
      <w:pPr>
        <w:jc w:val="both"/>
      </w:pPr>
      <w:r>
        <w:t xml:space="preserve">Ne consegue che </w:t>
      </w:r>
      <w:r>
        <w:t xml:space="preserve">dal punto di vista economico, il gestore non sopporta un sacrificio patrimoniale “definitivo” sugli impianti: i costi di realizzazione sono riversati nel tempo sulla collettività tariffaria, mentre </w:t>
      </w:r>
      <w:r>
        <w:t>dal punto di vista giuridico‑tributario, non può parlarsi di “devoluzione gratuita” delle opere al Comune, posto che il gestore è stato integralmente ristorato degli investimenti attraverso il meccanismo regolatorio.</w:t>
      </w:r>
    </w:p>
    <w:p w14:paraId="3F76D6EA" w14:textId="77777777" w:rsidR="00CB75AF" w:rsidRDefault="00B560D5" w:rsidP="004920A0">
      <w:pPr>
        <w:jc w:val="both"/>
      </w:pPr>
      <w:r>
        <w:t xml:space="preserve"> </w:t>
      </w:r>
    </w:p>
    <w:p w14:paraId="4D1FA83F" w14:textId="77777777" w:rsidR="00CB75AF" w:rsidRDefault="00B560D5" w:rsidP="004920A0">
      <w:pPr>
        <w:jc w:val="both"/>
      </w:pPr>
      <w:r>
        <w:t>La combinazione di questi due elementi – assenza di devoluzione in senso proprio e assenza di gratuità – fa venir meno, alla radice, i presupposti per estendere al SII l’esenzione CUP fondata sulla “devoluzione gratuita al Comune” tipica di altre fattispecie (ad es. infrastrutture realmente costruite a spese del concessionario e trasferite senza ristoro).</w:t>
      </w:r>
    </w:p>
    <w:p w14:paraId="52865F8A" w14:textId="77777777" w:rsidR="00CB75AF" w:rsidRDefault="00B560D5" w:rsidP="004920A0">
      <w:pPr>
        <w:jc w:val="both"/>
      </w:pPr>
      <w:r>
        <w:t xml:space="preserve"> </w:t>
      </w:r>
    </w:p>
    <w:p w14:paraId="7EB5BBE7" w14:textId="33B263A6" w:rsidR="00CB75AF" w:rsidRDefault="00B560D5" w:rsidP="00B560D5">
      <w:pPr>
        <w:jc w:val="both"/>
      </w:pPr>
      <w:r>
        <w:rPr>
          <w:b/>
          <w:bCs/>
          <w:color w:val="000000"/>
        </w:rPr>
        <w:t>La posizione implicita di ARERA sulla debenza del CUP per i gestori SII</w:t>
      </w:r>
    </w:p>
    <w:p w14:paraId="1CF68AA6" w14:textId="77777777" w:rsidR="00CB75AF" w:rsidRDefault="00B560D5" w:rsidP="004920A0">
      <w:pPr>
        <w:jc w:val="both"/>
      </w:pPr>
      <w:r>
        <w:t xml:space="preserve"> </w:t>
      </w:r>
    </w:p>
    <w:p w14:paraId="3981B24C" w14:textId="50C38BF0" w:rsidR="00CB75AF" w:rsidRDefault="00B560D5" w:rsidP="004920A0">
      <w:pPr>
        <w:jc w:val="both"/>
      </w:pPr>
      <w:r>
        <w:t>Pur non esprimendosi in termini diretti sulla debenza o meno del CUP, i MTI‑3 e MTI‑4, letti sistematicamente, configurano un quadro di fatto inequivoco: i</w:t>
      </w:r>
      <w:r>
        <w:t xml:space="preserve">l CUP è un onere tributario locale a carico del gestore e </w:t>
      </w:r>
      <w:r>
        <w:t xml:space="preserve">la sua debenza è presupposta ai fini della determinazione del costo operativo riconosciuto in tariffa.  </w:t>
      </w:r>
    </w:p>
    <w:p w14:paraId="3F646D88" w14:textId="19F27B1A" w:rsidR="00CB75AF" w:rsidRDefault="00B560D5" w:rsidP="004920A0">
      <w:pPr>
        <w:jc w:val="both"/>
      </w:pPr>
      <w:r>
        <w:t>Gli investimenti effettuati dal gestore sulle infrastrutture oggetto di CUP sono integralmente recuperati in tariffa  Le condotte di acquedotto, le opere fisse di fognatura e le altre infrastrutture a rete beneficiano del riconoscimento regolatorio (AMMᵃ, OFᵃ, OFiscᵃ) su orizzonti di vita utili pluridecennali, così che</w:t>
      </w:r>
      <w:r>
        <w:t xml:space="preserve"> non vi è, quindi, alcuna “gratuità” nella eventuale restituzione delle infrastrutture al termine dell’affidamento.  </w:t>
      </w:r>
    </w:p>
    <w:p w14:paraId="0ACAC0FE" w14:textId="77777777" w:rsidR="00CB75AF" w:rsidRDefault="00B560D5" w:rsidP="004920A0">
      <w:pPr>
        <w:jc w:val="both"/>
      </w:pPr>
      <w:r>
        <w:t xml:space="preserve"> </w:t>
      </w:r>
    </w:p>
    <w:p w14:paraId="5D4174BE" w14:textId="01E12E06" w:rsidR="00CB75AF" w:rsidRDefault="00B560D5" w:rsidP="004920A0">
      <w:pPr>
        <w:jc w:val="both"/>
      </w:pPr>
      <w:r>
        <w:t>Tali elementi rendono inconferente, alla luce della regolazione di settore, la tesi che vorrebbe esentare i gestori del SII dal CUP richiamando la disciplina agevolativa per le occupazioni con impianti destinati a servizi pubblici devoluti gratuitamente al Comune.</w:t>
      </w:r>
    </w:p>
    <w:p w14:paraId="0D7E39FE" w14:textId="36AF3F06" w:rsidR="00CB75AF" w:rsidRDefault="00CB75AF" w:rsidP="004920A0">
      <w:pPr>
        <w:jc w:val="both"/>
      </w:pPr>
    </w:p>
    <w:p w14:paraId="4089DB66" w14:textId="543076EB" w:rsidR="00CB75AF" w:rsidRDefault="00B560D5" w:rsidP="00B560D5">
      <w:pPr>
        <w:jc w:val="both"/>
      </w:pPr>
      <w:r>
        <w:t xml:space="preserve">Sul piano operativo, l’inclusione del CUP nel PEF e nell’impianto tariffario comporta che </w:t>
      </w:r>
      <w:r>
        <w:t xml:space="preserve">i gestori devono contabilizzare il CUP tra i costi operativi afferenti al SII (voce CO_resᵃ); </w:t>
      </w:r>
      <w:r>
        <w:t xml:space="preserve">gli Enti di Governo dell’Ambito (EGA), nella predisposizione delle tariffe:  </w:t>
      </w:r>
      <w:r>
        <w:lastRenderedPageBreak/>
        <w:t xml:space="preserve">devono valorizzare il CUP sostenuto nell’anno (a − 2) come costo operativo riconosciuto; devono tenerne conto ai fini dell’aggiornamento delle predisposizioni tariffarie, in coerenza con gli Articoli 17‑20 MTI‑4 (e 16‑20 MTI‑3);  </w:t>
      </w:r>
      <w:r>
        <w:t>ARERA, in sede di verifica e approvazione delle proposte tariffarie: considera</w:t>
      </w:r>
      <w:r>
        <w:t xml:space="preserve"> il CUP ai fini del calcolo del VRG; valuta la coerenza delle dinamiche di tali costi con i vincoli di sostenibilità economico‑finanziaria e sociale (limiti al moltiplicatore tariffario e meccanismi di conguaglio).  </w:t>
      </w:r>
    </w:p>
    <w:p w14:paraId="03B2B51F" w14:textId="77777777" w:rsidR="00CB75AF" w:rsidRDefault="00B560D5" w:rsidP="004920A0">
      <w:pPr>
        <w:jc w:val="both"/>
      </w:pPr>
      <w:r>
        <w:t xml:space="preserve"> </w:t>
      </w:r>
    </w:p>
    <w:p w14:paraId="39561728" w14:textId="1E3E858F" w:rsidR="00CB75AF" w:rsidRDefault="00B560D5" w:rsidP="00B560D5">
      <w:pPr>
        <w:jc w:val="both"/>
      </w:pPr>
      <w:r>
        <w:rPr>
          <w:b/>
          <w:bCs/>
          <w:color w:val="000000"/>
        </w:rPr>
        <w:t>Conclusioni</w:t>
      </w:r>
    </w:p>
    <w:p w14:paraId="36C330AC" w14:textId="77777777" w:rsidR="00CB75AF" w:rsidRDefault="00B560D5" w:rsidP="004920A0">
      <w:pPr>
        <w:jc w:val="both"/>
      </w:pPr>
      <w:r>
        <w:t xml:space="preserve"> </w:t>
      </w:r>
    </w:p>
    <w:p w14:paraId="33434937" w14:textId="2E61ED05" w:rsidR="00CB75AF" w:rsidRDefault="00B560D5" w:rsidP="00B560D5">
      <w:pPr>
        <w:jc w:val="both"/>
      </w:pPr>
      <w:r>
        <w:t>Dall’analisi della regolazione ARERA (MTI‑3 e MTI‑4) emergono conclusioni nette sul rapporto tra CUP e SII. I</w:t>
      </w:r>
      <w:r>
        <w:t xml:space="preserve">l Canone Unico Patrimoniale è esplicitamente configurato quale onere tributario locale a carico del gestore del SII, rientrante tra le componenti di costo operativo riconosciute in tariffa, </w:t>
      </w:r>
      <w:r>
        <w:t xml:space="preserve">gli investimenti realizzati sulle reti pubbliche oggetto di CUP (condotte, collettori, opere idrauliche fisse) sono integralmente recuperati nel tempo attraverso il meccanismo regolatorio di ammortamento e riconoscimento degli oneri finanziari e fiscali sulla base di vite utili pluridecennali e </w:t>
      </w:r>
      <w:r>
        <w:t>non sussistono, quindi, né una “devoluzione” in senso proprio (in quanto prevale la restituzione di beni di proprietà pubblica o comunque integralmente ristorati) né, soprattutto, il requisito della “gratuità” in capo al gestore, richiesti dalla disciplina agevolativa invocata per sostenere l’esenzione dal CUP.</w:t>
      </w:r>
    </w:p>
    <w:p w14:paraId="375C873E" w14:textId="77777777" w:rsidR="00CB75AF" w:rsidRDefault="00B560D5" w:rsidP="004920A0">
      <w:pPr>
        <w:jc w:val="both"/>
      </w:pPr>
      <w:r>
        <w:t xml:space="preserve"> </w:t>
      </w:r>
    </w:p>
    <w:p w14:paraId="73BD1B34" w14:textId="77777777" w:rsidR="00CB75AF" w:rsidRDefault="00B560D5" w:rsidP="004920A0">
      <w:pPr>
        <w:jc w:val="both"/>
      </w:pPr>
      <w:r>
        <w:t>La lettura coordinata del quadro regolatorio ARERA conduce, dunque, a ritenere non sostenibile – né sul piano economico, né su quello giuridico‑regolatorio – la tesi di una generale esenzione dei gestori del SII dal pagamento del CUP per le occupazioni di suolo pubblico con impianti di rete. Il CUP, al contrario, si configura come costo operativo tipico del settore, che deve essere correttamente imputato ai gestori e, nei limiti della regolazione, traslato in tariffa a carico della generalità degli utenti d</w:t>
      </w:r>
      <w:r>
        <w:t>el Servizio Idrico Integrato.</w:t>
      </w:r>
    </w:p>
    <w:p w14:paraId="38C9973F" w14:textId="77777777" w:rsidR="00CB75AF" w:rsidRDefault="00B560D5" w:rsidP="004920A0">
      <w:pPr>
        <w:jc w:val="both"/>
      </w:pPr>
      <w:r>
        <w:t xml:space="preserve"> </w:t>
      </w:r>
    </w:p>
    <w:sectPr w:rsidR="00CB75AF">
      <w:pgSz w:w="11906" w:h="16838"/>
      <w:pgMar w:top="1440" w:right="720" w:bottom="1440" w:left="720" w:header="36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213F3"/>
    <w:multiLevelType w:val="hybridMultilevel"/>
    <w:tmpl w:val="A43870D6"/>
    <w:lvl w:ilvl="0" w:tplc="A0B00E7A">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6054449C"/>
    <w:multiLevelType w:val="hybridMultilevel"/>
    <w:tmpl w:val="50D45D5A"/>
    <w:lvl w:ilvl="0" w:tplc="E3C0CEBA">
      <w:start w:val="1"/>
      <w:numFmt w:val="bullet"/>
      <w:lvlText w:val="●"/>
      <w:lvlJc w:val="left"/>
      <w:pPr>
        <w:ind w:left="720" w:hanging="360"/>
      </w:pPr>
    </w:lvl>
    <w:lvl w:ilvl="1" w:tplc="2B248564">
      <w:start w:val="1"/>
      <w:numFmt w:val="bullet"/>
      <w:lvlText w:val="○"/>
      <w:lvlJc w:val="left"/>
      <w:pPr>
        <w:ind w:left="1440" w:hanging="360"/>
      </w:pPr>
    </w:lvl>
    <w:lvl w:ilvl="2" w:tplc="CB26177E">
      <w:start w:val="1"/>
      <w:numFmt w:val="bullet"/>
      <w:lvlText w:val="■"/>
      <w:lvlJc w:val="left"/>
      <w:pPr>
        <w:ind w:left="2160" w:hanging="360"/>
      </w:pPr>
    </w:lvl>
    <w:lvl w:ilvl="3" w:tplc="81B0D988">
      <w:start w:val="1"/>
      <w:numFmt w:val="bullet"/>
      <w:lvlText w:val="●"/>
      <w:lvlJc w:val="left"/>
      <w:pPr>
        <w:ind w:left="2880" w:hanging="360"/>
      </w:pPr>
    </w:lvl>
    <w:lvl w:ilvl="4" w:tplc="D1C62582">
      <w:start w:val="1"/>
      <w:numFmt w:val="bullet"/>
      <w:lvlText w:val="○"/>
      <w:lvlJc w:val="left"/>
      <w:pPr>
        <w:ind w:left="3600" w:hanging="360"/>
      </w:pPr>
    </w:lvl>
    <w:lvl w:ilvl="5" w:tplc="4DCA8ECC">
      <w:start w:val="1"/>
      <w:numFmt w:val="bullet"/>
      <w:lvlText w:val="■"/>
      <w:lvlJc w:val="left"/>
      <w:pPr>
        <w:ind w:left="4320" w:hanging="360"/>
      </w:pPr>
    </w:lvl>
    <w:lvl w:ilvl="6" w:tplc="92AE8F2C">
      <w:start w:val="1"/>
      <w:numFmt w:val="bullet"/>
      <w:lvlText w:val="●"/>
      <w:lvlJc w:val="left"/>
      <w:pPr>
        <w:ind w:left="5040" w:hanging="360"/>
      </w:pPr>
    </w:lvl>
    <w:lvl w:ilvl="7" w:tplc="EFA06256">
      <w:start w:val="1"/>
      <w:numFmt w:val="bullet"/>
      <w:lvlText w:val="●"/>
      <w:lvlJc w:val="left"/>
      <w:pPr>
        <w:ind w:left="5760" w:hanging="360"/>
      </w:pPr>
    </w:lvl>
    <w:lvl w:ilvl="8" w:tplc="E0EC592A">
      <w:start w:val="1"/>
      <w:numFmt w:val="bullet"/>
      <w:lvlText w:val="●"/>
      <w:lvlJc w:val="left"/>
      <w:pPr>
        <w:ind w:left="6480" w:hanging="360"/>
      </w:pPr>
    </w:lvl>
  </w:abstractNum>
  <w:num w:numId="1" w16cid:durableId="1922711673">
    <w:abstractNumId w:val="1"/>
    <w:lvlOverride w:ilvl="0">
      <w:startOverride w:val="1"/>
    </w:lvlOverride>
  </w:num>
  <w:num w:numId="2" w16cid:durableId="1422141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5AF"/>
    <w:rsid w:val="000F244F"/>
    <w:rsid w:val="004920A0"/>
    <w:rsid w:val="00B560D5"/>
    <w:rsid w:val="00C14092"/>
    <w:rsid w:val="00CB75A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71C79"/>
  <w15:docId w15:val="{1D08E21A-0BAB-47C3-9BAE-31A38AC18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unhideWhenUsed/>
    <w:qFormat/>
    <w:pPr>
      <w:outlineLvl w:val="1"/>
    </w:pPr>
    <w:rPr>
      <w:color w:val="2E74B5"/>
      <w:sz w:val="26"/>
      <w:szCs w:val="26"/>
    </w:rPr>
  </w:style>
  <w:style w:type="paragraph" w:styleId="Titolo3">
    <w:name w:val="heading 3"/>
    <w:uiPriority w:val="9"/>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2396</Words>
  <Characters>13661</Characters>
  <Application>Microsoft Office Word</Application>
  <DocSecurity>0</DocSecurity>
  <Lines>113</Lines>
  <Paragraphs>32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alessandro merciari</cp:lastModifiedBy>
  <cp:revision>3</cp:revision>
  <dcterms:created xsi:type="dcterms:W3CDTF">2026-07-09T09:46:00Z</dcterms:created>
  <dcterms:modified xsi:type="dcterms:W3CDTF">2026-07-09T10:06:00Z</dcterms:modified>
</cp:coreProperties>
</file>