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CFFE" w14:textId="230B36DC" w:rsidR="00861726" w:rsidRPr="00861726" w:rsidRDefault="00861726" w:rsidP="00861726">
      <w:pPr>
        <w:jc w:val="center"/>
        <w:rPr>
          <w:b/>
          <w:bCs/>
          <w:sz w:val="24"/>
          <w:szCs w:val="24"/>
        </w:rPr>
      </w:pPr>
      <w:r w:rsidRPr="00861726">
        <w:rPr>
          <w:b/>
          <w:bCs/>
          <w:sz w:val="24"/>
          <w:szCs w:val="24"/>
        </w:rPr>
        <w:t xml:space="preserve">Corte di </w:t>
      </w:r>
      <w:r w:rsidRPr="00861726">
        <w:rPr>
          <w:b/>
          <w:bCs/>
          <w:sz w:val="24"/>
          <w:szCs w:val="24"/>
        </w:rPr>
        <w:t>Cass</w:t>
      </w:r>
      <w:r w:rsidRPr="00861726">
        <w:rPr>
          <w:b/>
          <w:bCs/>
          <w:sz w:val="24"/>
          <w:szCs w:val="24"/>
        </w:rPr>
        <w:t>azione sentenza n.</w:t>
      </w:r>
      <w:r w:rsidRPr="00861726">
        <w:rPr>
          <w:b/>
          <w:bCs/>
          <w:sz w:val="24"/>
          <w:szCs w:val="24"/>
        </w:rPr>
        <w:t xml:space="preserve"> 2180 del 30.01.2020 </w:t>
      </w:r>
    </w:p>
    <w:p w14:paraId="33DF7F8C" w14:textId="119DC13C" w:rsidR="00060149" w:rsidRDefault="00861726" w:rsidP="00861726">
      <w:pPr>
        <w:jc w:val="center"/>
        <w:rPr>
          <w:b/>
          <w:bCs/>
          <w:sz w:val="24"/>
          <w:szCs w:val="24"/>
        </w:rPr>
      </w:pPr>
      <w:r w:rsidRPr="00861726">
        <w:rPr>
          <w:b/>
          <w:bCs/>
          <w:sz w:val="24"/>
          <w:szCs w:val="24"/>
        </w:rPr>
        <w:t>Servizio idrico integrato - acqua -fogne - due occupazioni sottosuolo pubblico</w:t>
      </w:r>
    </w:p>
    <w:p w14:paraId="5B77E969" w14:textId="77777777" w:rsidR="00861726" w:rsidRDefault="00861726" w:rsidP="00861726">
      <w:pPr>
        <w:jc w:val="center"/>
        <w:rPr>
          <w:b/>
          <w:bCs/>
          <w:sz w:val="24"/>
          <w:szCs w:val="24"/>
        </w:rPr>
      </w:pPr>
    </w:p>
    <w:p w14:paraId="611FFE24" w14:textId="036EC912" w:rsidR="00861726" w:rsidRDefault="00861726" w:rsidP="00861726">
      <w:pPr>
        <w:jc w:val="both"/>
        <w:rPr>
          <w:sz w:val="24"/>
          <w:szCs w:val="24"/>
        </w:rPr>
      </w:pPr>
      <w:r>
        <w:rPr>
          <w:sz w:val="24"/>
          <w:szCs w:val="24"/>
        </w:rPr>
        <w:t>La sezione V della Corte di Cassazione si è espressa sull’applicazione del canone per i servizi di rete a carico della società che eroga nella Provincia di Terni il servizio idrico integrato.</w:t>
      </w:r>
    </w:p>
    <w:p w14:paraId="29B1E694" w14:textId="5D2DE855" w:rsidR="00861726" w:rsidRDefault="00861726" w:rsidP="00861726">
      <w:pPr>
        <w:jc w:val="both"/>
        <w:rPr>
          <w:sz w:val="24"/>
          <w:szCs w:val="24"/>
        </w:rPr>
      </w:pPr>
      <w:r>
        <w:rPr>
          <w:sz w:val="24"/>
          <w:szCs w:val="24"/>
        </w:rPr>
        <w:t>In particolare si è confermato come l’applicazione del canone debba riguardare due distinti servizi, quello di erogazione dell’acqua potabile e quello di fognatura.</w:t>
      </w:r>
    </w:p>
    <w:p w14:paraId="653348B4" w14:textId="47F680D1" w:rsidR="00861726" w:rsidRPr="00861726" w:rsidRDefault="00861726" w:rsidP="0086172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giudici della Suprema Corte scrivono: </w:t>
      </w:r>
      <w:r w:rsidRPr="00861726">
        <w:rPr>
          <w:i/>
          <w:iCs/>
          <w:sz w:val="24"/>
          <w:szCs w:val="24"/>
        </w:rPr>
        <w:t>“</w:t>
      </w:r>
      <w:r w:rsidRPr="00861726">
        <w:rPr>
          <w:i/>
          <w:iCs/>
          <w:sz w:val="24"/>
          <w:szCs w:val="24"/>
        </w:rPr>
        <w:t>La società Umbra Acque s.p.a, quale affidataria del servizio idrico</w:t>
      </w:r>
      <w:r w:rsidRPr="00861726">
        <w:rPr>
          <w:i/>
          <w:iCs/>
          <w:sz w:val="24"/>
          <w:szCs w:val="24"/>
        </w:rPr>
        <w:t xml:space="preserve"> </w:t>
      </w:r>
      <w:r w:rsidRPr="00861726">
        <w:rPr>
          <w:i/>
          <w:iCs/>
          <w:sz w:val="24"/>
          <w:szCs w:val="24"/>
        </w:rPr>
        <w:t>integrato, utilizza il suolo pubblico per un uso specifico percependo per</w:t>
      </w:r>
      <w:r w:rsidRPr="00861726">
        <w:rPr>
          <w:i/>
          <w:iCs/>
          <w:sz w:val="24"/>
          <w:szCs w:val="24"/>
        </w:rPr>
        <w:t xml:space="preserve"> </w:t>
      </w:r>
      <w:r w:rsidRPr="00861726">
        <w:rPr>
          <w:i/>
          <w:iCs/>
          <w:sz w:val="24"/>
          <w:szCs w:val="24"/>
        </w:rPr>
        <w:t>l'attività economica resa un introito diverso per la prestazione idrica e per</w:t>
      </w:r>
      <w:r w:rsidRPr="00861726">
        <w:rPr>
          <w:i/>
          <w:iCs/>
          <w:sz w:val="24"/>
          <w:szCs w:val="24"/>
        </w:rPr>
        <w:t xml:space="preserve"> </w:t>
      </w:r>
      <w:r w:rsidRPr="00861726">
        <w:rPr>
          <w:i/>
          <w:iCs/>
          <w:sz w:val="24"/>
          <w:szCs w:val="24"/>
        </w:rPr>
        <w:t>quella fognaria ed è pertanto legittima la pretesa impositiva avanzata dalla</w:t>
      </w:r>
      <w:r w:rsidRPr="00861726">
        <w:rPr>
          <w:i/>
          <w:iCs/>
          <w:sz w:val="24"/>
          <w:szCs w:val="24"/>
        </w:rPr>
        <w:t xml:space="preserve"> </w:t>
      </w:r>
      <w:r w:rsidRPr="00861726">
        <w:rPr>
          <w:i/>
          <w:iCs/>
          <w:sz w:val="24"/>
          <w:szCs w:val="24"/>
        </w:rPr>
        <w:t>Provincia in relazione alla sottrazione del proprio patrimonio alla generalità dei</w:t>
      </w:r>
      <w:r w:rsidRPr="00861726">
        <w:rPr>
          <w:i/>
          <w:iCs/>
          <w:sz w:val="24"/>
          <w:szCs w:val="24"/>
        </w:rPr>
        <w:t xml:space="preserve"> </w:t>
      </w:r>
      <w:proofErr w:type="gramStart"/>
      <w:r w:rsidRPr="00861726">
        <w:rPr>
          <w:i/>
          <w:iCs/>
          <w:sz w:val="24"/>
          <w:szCs w:val="24"/>
        </w:rPr>
        <w:t>cittadini ,che</w:t>
      </w:r>
      <w:proofErr w:type="gramEnd"/>
      <w:r w:rsidRPr="00861726">
        <w:rPr>
          <w:i/>
          <w:iCs/>
          <w:sz w:val="24"/>
          <w:szCs w:val="24"/>
        </w:rPr>
        <w:t xml:space="preserve"> rappresenta il presupposto per la tassazione.</w:t>
      </w:r>
      <w:r w:rsidRPr="00861726">
        <w:rPr>
          <w:i/>
          <w:iCs/>
          <w:sz w:val="24"/>
          <w:szCs w:val="24"/>
        </w:rPr>
        <w:t>”</w:t>
      </w:r>
    </w:p>
    <w:sectPr w:rsidR="00861726" w:rsidRPr="008617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35"/>
    <w:rsid w:val="00060149"/>
    <w:rsid w:val="00111E1A"/>
    <w:rsid w:val="002C7535"/>
    <w:rsid w:val="007B1496"/>
    <w:rsid w:val="0086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0C52C"/>
  <w15:chartTrackingRefBased/>
  <w15:docId w15:val="{0953191E-16DC-4D56-A303-E490BFD3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7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7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7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7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7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753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753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75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75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75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75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75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75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753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7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753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7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2025-07-24T08:53:00Z</dcterms:created>
  <dcterms:modified xsi:type="dcterms:W3CDTF">2025-07-24T08:57:00Z</dcterms:modified>
</cp:coreProperties>
</file>