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68C22" w14:textId="77777777" w:rsidR="002F1045" w:rsidRPr="000C5422" w:rsidRDefault="002F1045" w:rsidP="002F1045">
      <w:pPr>
        <w:tabs>
          <w:tab w:val="center" w:pos="4819"/>
          <w:tab w:val="right" w:pos="9638"/>
        </w:tabs>
        <w:jc w:val="center"/>
        <w:rPr>
          <w:rFonts w:ascii="Arial" w:eastAsia="Calibri" w:hAnsi="Arial" w:cs="Arial"/>
          <w:b/>
          <w:sz w:val="22"/>
          <w:szCs w:val="22"/>
        </w:rPr>
      </w:pPr>
      <w:r>
        <w:rPr>
          <w:rFonts w:ascii="Arial" w:eastAsia="Calibri" w:hAnsi="Arial" w:cs="Arial"/>
          <w:b/>
          <w:sz w:val="22"/>
          <w:szCs w:val="22"/>
        </w:rPr>
        <w:t>Maria Voccia De Felice</w:t>
      </w:r>
    </w:p>
    <w:p w14:paraId="735AC87E" w14:textId="77777777" w:rsidR="002F1045" w:rsidRPr="000C5422" w:rsidRDefault="002F1045" w:rsidP="002F1045">
      <w:pPr>
        <w:tabs>
          <w:tab w:val="center" w:pos="4819"/>
          <w:tab w:val="left" w:pos="5325"/>
        </w:tabs>
        <w:rPr>
          <w:rFonts w:ascii="Arial" w:eastAsia="Calibri" w:hAnsi="Arial" w:cs="Arial"/>
          <w:b/>
          <w:sz w:val="22"/>
          <w:szCs w:val="22"/>
        </w:rPr>
      </w:pPr>
      <w:r>
        <w:rPr>
          <w:rFonts w:ascii="Arial" w:eastAsia="Calibri" w:hAnsi="Arial" w:cs="Arial"/>
          <w:b/>
          <w:sz w:val="22"/>
          <w:szCs w:val="22"/>
        </w:rPr>
        <w:t xml:space="preserve">                                                                Avvocato</w:t>
      </w:r>
      <w:r>
        <w:rPr>
          <w:rFonts w:ascii="Arial" w:eastAsia="Calibri" w:hAnsi="Arial" w:cs="Arial"/>
          <w:b/>
          <w:sz w:val="22"/>
          <w:szCs w:val="22"/>
        </w:rPr>
        <w:tab/>
      </w:r>
    </w:p>
    <w:p w14:paraId="7CCA894C" w14:textId="77777777" w:rsidR="002F1045" w:rsidRPr="000C5422" w:rsidRDefault="002F1045" w:rsidP="002F1045">
      <w:pPr>
        <w:tabs>
          <w:tab w:val="center" w:pos="4819"/>
          <w:tab w:val="right" w:pos="9638"/>
        </w:tabs>
        <w:rPr>
          <w:rFonts w:ascii="Arial" w:eastAsia="Calibri" w:hAnsi="Arial" w:cs="Arial"/>
          <w:b/>
          <w:sz w:val="22"/>
          <w:szCs w:val="22"/>
        </w:rPr>
      </w:pPr>
      <w:r>
        <w:rPr>
          <w:rFonts w:ascii="Arial" w:eastAsia="Calibri" w:hAnsi="Arial" w:cs="Arial"/>
          <w:b/>
          <w:sz w:val="22"/>
          <w:szCs w:val="22"/>
        </w:rPr>
        <w:t xml:space="preserve">                                                 Patrocinante in Cassazione</w:t>
      </w:r>
    </w:p>
    <w:p w14:paraId="01022EA9" w14:textId="77777777" w:rsidR="002F1045" w:rsidRPr="000C5422" w:rsidRDefault="002F1045" w:rsidP="002F1045">
      <w:pPr>
        <w:tabs>
          <w:tab w:val="center" w:pos="4819"/>
          <w:tab w:val="right" w:pos="9638"/>
        </w:tabs>
        <w:jc w:val="center"/>
        <w:rPr>
          <w:rFonts w:ascii="Arial" w:eastAsia="Calibri" w:hAnsi="Arial" w:cs="Arial"/>
          <w:b/>
          <w:sz w:val="22"/>
          <w:szCs w:val="22"/>
        </w:rPr>
      </w:pPr>
      <w:r>
        <w:rPr>
          <w:rFonts w:ascii="Arial" w:eastAsia="Calibri" w:hAnsi="Arial" w:cs="Arial"/>
          <w:b/>
          <w:sz w:val="22"/>
          <w:szCs w:val="22"/>
        </w:rPr>
        <w:t xml:space="preserve">    Salerno - Via G. Vicinanza n. 42 – 84123</w:t>
      </w:r>
    </w:p>
    <w:p w14:paraId="4BC4BB39" w14:textId="77777777" w:rsidR="002F1045" w:rsidRPr="000C5422" w:rsidRDefault="002F1045" w:rsidP="002F1045">
      <w:pPr>
        <w:tabs>
          <w:tab w:val="center" w:pos="4819"/>
          <w:tab w:val="right" w:pos="9638"/>
        </w:tabs>
        <w:rPr>
          <w:rFonts w:ascii="Arial" w:eastAsia="Calibri" w:hAnsi="Arial" w:cs="Arial"/>
          <w:b/>
          <w:sz w:val="22"/>
          <w:szCs w:val="22"/>
        </w:rPr>
      </w:pPr>
      <w:r>
        <w:rPr>
          <w:rFonts w:ascii="Arial" w:eastAsia="Calibri" w:hAnsi="Arial" w:cs="Arial"/>
          <w:b/>
          <w:sz w:val="22"/>
          <w:szCs w:val="22"/>
        </w:rPr>
        <w:t xml:space="preserve">                                             tel. 089237255 mobile 335 6329269</w:t>
      </w:r>
    </w:p>
    <w:p w14:paraId="554F4B87" w14:textId="77777777" w:rsidR="002F1045" w:rsidRPr="000C5422" w:rsidRDefault="002F1045" w:rsidP="002F1045">
      <w:pPr>
        <w:spacing w:after="200" w:line="360" w:lineRule="auto"/>
        <w:ind w:left="900" w:right="998"/>
        <w:jc w:val="center"/>
        <w:rPr>
          <w:rFonts w:ascii="Calibri" w:eastAsia="Arial Unicode MS" w:hAnsi="Calibri" w:cs="Tahoma"/>
          <w:b/>
          <w:szCs w:val="28"/>
        </w:rPr>
      </w:pPr>
      <w:r>
        <w:rPr>
          <w:rFonts w:ascii="Arial" w:eastAsia="Calibri" w:hAnsi="Arial" w:cs="Arial"/>
          <w:b/>
          <w:sz w:val="22"/>
          <w:szCs w:val="22"/>
        </w:rPr>
        <w:t xml:space="preserve">   mail: </w:t>
      </w:r>
      <w:hyperlink r:id="rId5" w:history="1">
        <w:r>
          <w:rPr>
            <w:rFonts w:ascii="Arial" w:eastAsia="Calibri" w:hAnsi="Arial" w:cs="Arial"/>
            <w:b/>
            <w:color w:val="0000FF"/>
            <w:sz w:val="22"/>
            <w:szCs w:val="22"/>
            <w:u w:val="single"/>
          </w:rPr>
          <w:t>mvoccia@vocciaspa.com</w:t>
        </w:r>
      </w:hyperlink>
      <w:r>
        <w:rPr>
          <w:rFonts w:ascii="Arial" w:eastAsia="Calibri" w:hAnsi="Arial" w:cs="Arial"/>
          <w:b/>
          <w:sz w:val="22"/>
          <w:szCs w:val="22"/>
        </w:rPr>
        <w:t xml:space="preserve"> </w:t>
      </w:r>
      <w:proofErr w:type="spellStart"/>
      <w:r>
        <w:rPr>
          <w:rFonts w:ascii="Arial" w:eastAsia="Calibri" w:hAnsi="Arial" w:cs="Arial"/>
          <w:b/>
          <w:sz w:val="22"/>
          <w:szCs w:val="22"/>
        </w:rPr>
        <w:t>pec</w:t>
      </w:r>
      <w:proofErr w:type="spellEnd"/>
      <w:r>
        <w:rPr>
          <w:rFonts w:ascii="Arial" w:eastAsia="Calibri" w:hAnsi="Arial" w:cs="Arial"/>
          <w:b/>
          <w:sz w:val="22"/>
          <w:szCs w:val="22"/>
        </w:rPr>
        <w:t xml:space="preserve">: </w:t>
      </w:r>
      <w:hyperlink r:id="rId6" w:history="1">
        <w:r>
          <w:rPr>
            <w:rFonts w:ascii="Arial" w:eastAsia="Calibri" w:hAnsi="Arial" w:cs="Arial"/>
            <w:b/>
            <w:color w:val="0000FF"/>
            <w:sz w:val="22"/>
            <w:szCs w:val="22"/>
            <w:u w:val="single"/>
          </w:rPr>
          <w:t>mvocciaordsa@pec.giuffre.it</w:t>
        </w:r>
      </w:hyperlink>
    </w:p>
    <w:p w14:paraId="48838588" w14:textId="77777777" w:rsidR="008C2BB4" w:rsidRPr="00CC60C0" w:rsidRDefault="00000000" w:rsidP="00A43811">
      <w:pPr>
        <w:spacing w:before="120" w:after="120" w:line="276" w:lineRule="auto"/>
        <w:jc w:val="center"/>
        <w:rPr>
          <w:rFonts w:ascii="Arial" w:hAnsi="Arial" w:cs="Arial"/>
        </w:rPr>
      </w:pPr>
      <w:r>
        <w:rPr>
          <w:rFonts w:ascii="Arial" w:hAnsi="Arial" w:cs="Arial"/>
          <w:b/>
          <w:bCs/>
        </w:rPr>
        <w:t>TRIBUNALE CIVILE DI VERONA</w:t>
      </w:r>
    </w:p>
    <w:p w14:paraId="51838F5C" w14:textId="540B0B5A" w:rsidR="003D2882" w:rsidRPr="003D2882" w:rsidRDefault="003D2882" w:rsidP="003D2882">
      <w:pPr>
        <w:spacing w:line="360" w:lineRule="auto"/>
        <w:contextualSpacing/>
        <w:jc w:val="center"/>
        <w:rPr>
          <w:rFonts w:ascii="Arial" w:hAnsi="Arial" w:cs="Arial"/>
          <w:b/>
          <w:bCs/>
        </w:rPr>
      </w:pPr>
      <w:r w:rsidRPr="003D2882">
        <w:rPr>
          <w:rFonts w:ascii="Arial" w:hAnsi="Arial" w:cs="Arial"/>
          <w:b/>
          <w:bCs/>
        </w:rPr>
        <w:t>R.G. 201</w:t>
      </w:r>
      <w:r>
        <w:rPr>
          <w:rFonts w:ascii="Arial" w:hAnsi="Arial" w:cs="Arial"/>
          <w:b/>
          <w:bCs/>
        </w:rPr>
        <w:t>6</w:t>
      </w:r>
      <w:r w:rsidRPr="003D2882">
        <w:rPr>
          <w:rFonts w:ascii="Arial" w:hAnsi="Arial" w:cs="Arial"/>
          <w:b/>
          <w:bCs/>
        </w:rPr>
        <w:t>/2026</w:t>
      </w:r>
    </w:p>
    <w:p w14:paraId="3F1FA4CC" w14:textId="77777777" w:rsidR="003D2882" w:rsidRPr="003D2882" w:rsidRDefault="003D2882" w:rsidP="003D2882">
      <w:pPr>
        <w:spacing w:line="360" w:lineRule="auto"/>
        <w:contextualSpacing/>
        <w:jc w:val="center"/>
        <w:rPr>
          <w:rFonts w:ascii="Arial" w:hAnsi="Arial" w:cs="Arial"/>
          <w:b/>
          <w:bCs/>
        </w:rPr>
      </w:pPr>
      <w:r w:rsidRPr="003D2882">
        <w:rPr>
          <w:rFonts w:ascii="Arial" w:hAnsi="Arial" w:cs="Arial"/>
          <w:b/>
          <w:bCs/>
        </w:rPr>
        <w:t>Ud. del 07.09.2026</w:t>
      </w:r>
    </w:p>
    <w:p w14:paraId="76DD00FD" w14:textId="77777777" w:rsidR="008C2BB4" w:rsidRPr="00CC60C0" w:rsidRDefault="00000000" w:rsidP="00A43811">
      <w:pPr>
        <w:spacing w:before="120" w:after="120" w:line="360" w:lineRule="auto"/>
        <w:jc w:val="center"/>
        <w:rPr>
          <w:rFonts w:ascii="Arial" w:hAnsi="Arial" w:cs="Arial"/>
        </w:rPr>
      </w:pPr>
      <w:r>
        <w:rPr>
          <w:rFonts w:ascii="Arial" w:hAnsi="Arial" w:cs="Arial"/>
          <w:b/>
          <w:bCs/>
        </w:rPr>
        <w:t>Comparsa di costituzione e risposta</w:t>
      </w:r>
    </w:p>
    <w:p w14:paraId="5578D2E8" w14:textId="77777777" w:rsidR="003D2882" w:rsidRPr="003D2882" w:rsidRDefault="002F1045" w:rsidP="003D2882">
      <w:pPr>
        <w:spacing w:line="360" w:lineRule="auto"/>
        <w:contextualSpacing/>
        <w:jc w:val="center"/>
        <w:rPr>
          <w:rFonts w:ascii="Arial" w:hAnsi="Arial" w:cs="Arial"/>
        </w:rPr>
      </w:pPr>
      <w:r>
        <w:rPr>
          <w:rFonts w:ascii="Arial" w:hAnsi="Arial" w:cs="Arial"/>
        </w:rPr>
        <w:tab/>
      </w:r>
    </w:p>
    <w:p w14:paraId="173FF10A" w14:textId="77777777" w:rsidR="003D2882" w:rsidRPr="003D2882" w:rsidRDefault="003D2882" w:rsidP="003D2882">
      <w:pPr>
        <w:spacing w:line="360" w:lineRule="auto"/>
        <w:contextualSpacing/>
        <w:jc w:val="both"/>
        <w:rPr>
          <w:rFonts w:ascii="Arial" w:hAnsi="Arial" w:cs="Arial"/>
          <w:u w:val="single"/>
        </w:rPr>
      </w:pPr>
      <w:r w:rsidRPr="003D2882">
        <w:rPr>
          <w:rFonts w:ascii="Arial" w:hAnsi="Arial" w:cs="Arial"/>
        </w:rPr>
        <w:tab/>
        <w:t xml:space="preserve">Per il </w:t>
      </w:r>
      <w:r w:rsidRPr="003D2882">
        <w:rPr>
          <w:rFonts w:ascii="Arial" w:hAnsi="Arial" w:cs="Arial"/>
          <w:b/>
          <w:bCs/>
        </w:rPr>
        <w:t>Comune di CAZZANO DI TRAMIGNA (VR)</w:t>
      </w:r>
      <w:r w:rsidRPr="003D2882">
        <w:rPr>
          <w:rFonts w:ascii="Arial" w:hAnsi="Arial" w:cs="Arial"/>
        </w:rPr>
        <w:t>, C.F. 00659190235, con sede in Piazza Giacomo Matteotti 1 – 37030 Cazzano di Tramigna (VR), in persona del Sindaco e legale rappresentante pro tempore, rappresentato e difeso,</w:t>
      </w:r>
      <w:r w:rsidRPr="003D2882">
        <w:rPr>
          <w:rFonts w:ascii="Arial" w:eastAsia="Arial" w:hAnsi="Arial" w:cs="Arial"/>
        </w:rPr>
        <w:t xml:space="preserve"> </w:t>
      </w:r>
      <w:r w:rsidRPr="003D2882">
        <w:rPr>
          <w:rFonts w:ascii="Arial" w:hAnsi="Arial" w:cs="Arial"/>
          <w:color w:val="000000"/>
          <w:lang w:eastAsia="ar-SA"/>
        </w:rPr>
        <w:t xml:space="preserve">in esecuzione della Delibera di </w:t>
      </w:r>
      <w:r w:rsidRPr="003D2882">
        <w:rPr>
          <w:rFonts w:ascii="Arial" w:hAnsi="Arial" w:cs="Arial"/>
          <w:b/>
          <w:bCs/>
          <w:color w:val="000000"/>
          <w:lang w:eastAsia="ar-SA"/>
        </w:rPr>
        <w:t>G.C. n. 30 del 1.4.2026,</w:t>
      </w:r>
      <w:r w:rsidRPr="003D2882">
        <w:rPr>
          <w:rFonts w:ascii="Arial" w:hAnsi="Arial" w:cs="Arial"/>
          <w:color w:val="000000"/>
          <w:lang w:eastAsia="ar-SA"/>
        </w:rPr>
        <w:t xml:space="preserve"> </w:t>
      </w:r>
      <w:r w:rsidRPr="003D2882">
        <w:rPr>
          <w:rFonts w:ascii="Arial" w:hAnsi="Arial" w:cs="Arial"/>
        </w:rPr>
        <w:t xml:space="preserve">dall'Avv. Maria Voccia De Felice (C.F. VCCMRA66M64G813U), presso il cui studio elettivamente domicilia in Salerno alla Via G. Vicinanza n. 42, </w:t>
      </w:r>
      <w:r w:rsidRPr="003D2882">
        <w:rPr>
          <w:rFonts w:ascii="Arial" w:hAnsi="Arial" w:cs="Arial"/>
          <w:u w:val="single"/>
        </w:rPr>
        <w:t xml:space="preserve">il suddetto procuratore dichiara di voler ricevere le notifiche di legge a mezzo </w:t>
      </w:r>
      <w:proofErr w:type="spellStart"/>
      <w:r w:rsidRPr="003D2882">
        <w:rPr>
          <w:rFonts w:ascii="Arial" w:hAnsi="Arial" w:cs="Arial"/>
          <w:u w:val="single"/>
        </w:rPr>
        <w:t>pec</w:t>
      </w:r>
      <w:proofErr w:type="spellEnd"/>
      <w:r w:rsidRPr="003D2882">
        <w:rPr>
          <w:rFonts w:ascii="Arial" w:hAnsi="Arial" w:cs="Arial"/>
          <w:u w:val="single"/>
        </w:rPr>
        <w:t xml:space="preserve"> all’indirizzo </w:t>
      </w:r>
      <w:hyperlink r:id="rId7" w:history="1">
        <w:r w:rsidRPr="003D2882">
          <w:rPr>
            <w:rFonts w:ascii="Arial" w:hAnsi="Arial" w:cs="Arial"/>
            <w:b/>
            <w:bCs/>
            <w:u w:val="single"/>
          </w:rPr>
          <w:t>mvocciaordsa@pec.giuffre.it</w:t>
        </w:r>
      </w:hyperlink>
      <w:r w:rsidRPr="003D2882">
        <w:rPr>
          <w:rFonts w:ascii="Arial" w:hAnsi="Arial" w:cs="Arial"/>
          <w:u w:val="single"/>
        </w:rPr>
        <w:t>;</w:t>
      </w:r>
    </w:p>
    <w:p w14:paraId="233BC485" w14:textId="77777777" w:rsidR="008C2BB4" w:rsidRPr="00CC60C0" w:rsidRDefault="00000000" w:rsidP="003D2882">
      <w:pPr>
        <w:spacing w:before="120" w:after="120" w:line="360" w:lineRule="auto"/>
        <w:jc w:val="center"/>
        <w:rPr>
          <w:rFonts w:ascii="Arial" w:hAnsi="Arial" w:cs="Arial"/>
        </w:rPr>
      </w:pPr>
      <w:r>
        <w:rPr>
          <w:rFonts w:ascii="Arial" w:hAnsi="Arial" w:cs="Arial"/>
          <w:b/>
          <w:bCs/>
        </w:rPr>
        <w:t>contro</w:t>
      </w:r>
    </w:p>
    <w:p w14:paraId="57247508" w14:textId="77777777" w:rsidR="008C2BB4" w:rsidRPr="00CC60C0" w:rsidRDefault="00000000" w:rsidP="00CC60C0">
      <w:pPr>
        <w:spacing w:before="120" w:after="120" w:line="360" w:lineRule="auto"/>
        <w:jc w:val="both"/>
        <w:rPr>
          <w:rFonts w:ascii="Arial" w:hAnsi="Arial" w:cs="Arial"/>
        </w:rPr>
      </w:pPr>
      <w:r>
        <w:rPr>
          <w:rFonts w:ascii="Arial" w:hAnsi="Arial" w:cs="Arial"/>
          <w:b/>
          <w:bCs/>
        </w:rPr>
        <w:t>FASTWEB S.p.A.</w:t>
      </w:r>
      <w:r>
        <w:rPr>
          <w:rFonts w:ascii="Arial" w:hAnsi="Arial" w:cs="Arial"/>
        </w:rPr>
        <w:t xml:space="preserve"> (C.F. e P.IVA 12878470157), con sede legale in Piazza Adriano Olivetti 1, 20139 – Milano (MI), per il tramite della società procuratrice Lindam s.r.l., rappresentata e difesa dall'Avv. Paolo Caruso, C.F. CRSPLA79R09H501Y, PEC paolocaruso@ordineavvocatiroma.org, con domicilio eletto presso l'indirizzo PEC del suddetto difensore.</w:t>
      </w:r>
    </w:p>
    <w:p w14:paraId="29934174" w14:textId="77777777" w:rsidR="008C2BB4" w:rsidRPr="00CC60C0" w:rsidRDefault="00000000" w:rsidP="00CC60C0">
      <w:pPr>
        <w:spacing w:before="60" w:after="60" w:line="360" w:lineRule="auto"/>
        <w:jc w:val="center"/>
        <w:rPr>
          <w:rFonts w:ascii="Arial" w:hAnsi="Arial" w:cs="Arial"/>
        </w:rPr>
      </w:pPr>
      <w:r>
        <w:rPr>
          <w:rFonts w:ascii="Arial" w:hAnsi="Arial" w:cs="Arial"/>
        </w:rPr>
        <w:t>***</w:t>
      </w:r>
    </w:p>
    <w:p w14:paraId="48469800" w14:textId="39B72700" w:rsidR="008C2BB4" w:rsidRPr="00CC60C0" w:rsidRDefault="002F1045" w:rsidP="002F1045">
      <w:pPr>
        <w:spacing w:before="120" w:after="120" w:line="360" w:lineRule="auto"/>
        <w:rPr>
          <w:rFonts w:ascii="Arial" w:hAnsi="Arial" w:cs="Arial"/>
        </w:rPr>
      </w:pPr>
      <w:r>
        <w:rPr>
          <w:rFonts w:ascii="Arial" w:hAnsi="Arial" w:cs="Arial"/>
          <w:b/>
          <w:bCs/>
        </w:rPr>
        <w:tab/>
        <w:t xml:space="preserve">Si premette </w:t>
      </w:r>
    </w:p>
    <w:p w14:paraId="691B7ACF" w14:textId="77777777" w:rsidR="003D2882" w:rsidRPr="003D2882" w:rsidRDefault="003D2882" w:rsidP="003D2882">
      <w:pPr>
        <w:spacing w:line="360" w:lineRule="auto"/>
        <w:ind w:firstLine="708"/>
        <w:contextualSpacing/>
        <w:jc w:val="both"/>
        <w:rPr>
          <w:rFonts w:ascii="Arial" w:hAnsi="Arial" w:cs="Arial"/>
        </w:rPr>
      </w:pPr>
      <w:r w:rsidRPr="003D2882">
        <w:rPr>
          <w:rFonts w:ascii="Arial" w:hAnsi="Arial" w:cs="Arial"/>
        </w:rPr>
        <w:t xml:space="preserve">Il Comune di Cazzano di Tramigna (VR), con Delibera di Consiglio Comunale n. 2 del 24/03/2021, ha approvato il Regolamento per la disciplina del </w:t>
      </w:r>
      <w:r w:rsidRPr="003D2882">
        <w:rPr>
          <w:rFonts w:ascii="Arial" w:hAnsi="Arial" w:cs="Arial"/>
          <w:b/>
          <w:bCs/>
        </w:rPr>
        <w:t>Canone Patrimoniale di Concessione, Autorizzazione o Esposizione Pubblicitaria</w:t>
      </w:r>
      <w:r w:rsidRPr="003D2882">
        <w:rPr>
          <w:rFonts w:ascii="Arial" w:hAnsi="Arial" w:cs="Arial"/>
        </w:rPr>
        <w:t xml:space="preserve"> (di seguito anche solo CUP), ai sensi dell'art. 1, commi da 816 a 836, della Legge n. 160/2019 </w:t>
      </w:r>
      <w:r w:rsidRPr="003D2882">
        <w:rPr>
          <w:rFonts w:ascii="Arial" w:hAnsi="Arial" w:cs="Arial"/>
          <w:b/>
          <w:bCs/>
        </w:rPr>
        <w:t>(cfr. doc. 1</w:t>
      </w:r>
      <w:r w:rsidRPr="003D2882">
        <w:rPr>
          <w:rFonts w:ascii="Arial" w:hAnsi="Arial" w:cs="Arial"/>
        </w:rPr>
        <w:t>).</w:t>
      </w:r>
    </w:p>
    <w:p w14:paraId="5E43554D" w14:textId="77777777" w:rsidR="003D2882" w:rsidRPr="003D2882" w:rsidRDefault="003D2882" w:rsidP="003D2882">
      <w:pPr>
        <w:spacing w:line="360" w:lineRule="auto"/>
        <w:contextualSpacing/>
        <w:jc w:val="both"/>
        <w:rPr>
          <w:rFonts w:ascii="Arial" w:hAnsi="Arial" w:cs="Arial"/>
        </w:rPr>
      </w:pPr>
      <w:r w:rsidRPr="003D2882">
        <w:rPr>
          <w:rFonts w:ascii="Arial" w:hAnsi="Arial" w:cs="Arial"/>
        </w:rPr>
        <w:tab/>
        <w:t xml:space="preserve">Su incarico del Comune di Cazzano di Tramigna – giusto affidamento di cui alla Determina n. 76 del 04/04/2025 </w:t>
      </w:r>
      <w:r w:rsidRPr="003D2882">
        <w:rPr>
          <w:rFonts w:ascii="Arial" w:hAnsi="Arial" w:cs="Arial"/>
          <w:b/>
          <w:bCs/>
        </w:rPr>
        <w:t>(doc. 2)</w:t>
      </w:r>
      <w:r w:rsidRPr="003D2882">
        <w:rPr>
          <w:rFonts w:ascii="Arial" w:hAnsi="Arial" w:cs="Arial"/>
        </w:rPr>
        <w:t xml:space="preserve"> – la società Archivia Solution S.p.A. ha avviato la verifica della congruità dei versamenti del Canone Unico Patrimoniale </w:t>
      </w:r>
      <w:r w:rsidRPr="003D2882">
        <w:rPr>
          <w:rFonts w:ascii="Arial" w:hAnsi="Arial" w:cs="Arial"/>
        </w:rPr>
        <w:lastRenderedPageBreak/>
        <w:t>dovuto, ai sensi del comma 831, art. 1, L. 160/2019, dalle aziende che gestiscono i c.d. servizi di rete nel territorio comunale.</w:t>
      </w:r>
    </w:p>
    <w:p w14:paraId="2D65D8EE" w14:textId="33D09031" w:rsidR="008C2BB4" w:rsidRPr="00CC60C0" w:rsidRDefault="00000000" w:rsidP="00A43811">
      <w:pPr>
        <w:spacing w:before="120" w:after="120" w:line="360" w:lineRule="auto"/>
        <w:ind w:firstLine="708"/>
        <w:jc w:val="both"/>
        <w:rPr>
          <w:rFonts w:ascii="Arial" w:hAnsi="Arial" w:cs="Arial"/>
        </w:rPr>
      </w:pPr>
      <w:r>
        <w:rPr>
          <w:rFonts w:ascii="Arial" w:hAnsi="Arial" w:cs="Arial"/>
        </w:rPr>
        <w:t xml:space="preserve">Con nota del </w:t>
      </w:r>
      <w:r>
        <w:rPr>
          <w:rFonts w:ascii="Arial" w:hAnsi="Arial" w:cs="Arial"/>
          <w:b/>
          <w:bCs/>
        </w:rPr>
        <w:t>17 luglio 2025</w:t>
      </w:r>
      <w:r w:rsidR="003D2882">
        <w:rPr>
          <w:rFonts w:ascii="Arial" w:hAnsi="Arial" w:cs="Arial"/>
          <w:b/>
          <w:bCs/>
        </w:rPr>
        <w:t xml:space="preserve"> </w:t>
      </w:r>
      <w:r w:rsidR="003D2882" w:rsidRPr="008369BA">
        <w:rPr>
          <w:rFonts w:ascii="Arial" w:hAnsi="Arial" w:cs="Arial"/>
          <w:b/>
          <w:bCs/>
        </w:rPr>
        <w:t xml:space="preserve">(doc. </w:t>
      </w:r>
      <w:r w:rsidR="003D2882">
        <w:rPr>
          <w:rFonts w:ascii="Arial" w:hAnsi="Arial" w:cs="Arial"/>
          <w:b/>
          <w:bCs/>
        </w:rPr>
        <w:t>3)</w:t>
      </w:r>
      <w:r>
        <w:rPr>
          <w:rFonts w:ascii="Arial" w:hAnsi="Arial" w:cs="Arial"/>
        </w:rPr>
        <w:t xml:space="preserve">, la società Archivia Solution S.p.A. ha trasmesso </w:t>
      </w:r>
      <w:r>
        <w:rPr>
          <w:rFonts w:ascii="Arial" w:hAnsi="Arial" w:cs="Arial"/>
          <w:b/>
          <w:bCs/>
        </w:rPr>
        <w:t>a FASTWEB S.p.A.</w:t>
      </w:r>
      <w:r>
        <w:rPr>
          <w:rFonts w:ascii="Arial" w:hAnsi="Arial" w:cs="Arial"/>
        </w:rPr>
        <w:t xml:space="preserve"> – a mezzo PEC – una </w:t>
      </w:r>
      <w:r w:rsidR="003D2882">
        <w:rPr>
          <w:rFonts w:ascii="Arial" w:hAnsi="Arial" w:cs="Arial"/>
        </w:rPr>
        <w:t xml:space="preserve">- </w:t>
      </w:r>
      <w:r>
        <w:rPr>
          <w:rFonts w:ascii="Arial" w:hAnsi="Arial" w:cs="Arial"/>
        </w:rPr>
        <w:t>richiesta di dichiarazione delle utenze attive nel Comune di Cazzano di Tramigna e dei versamenti effettuati a titolo di CUP per gli anni dal 2021 al 2024, evidenziando che, dai primi controlli eseguiti sulla piattaforma PagoPA e sugli altri canali di pagamento attivi, la società non risultava aver versato il Canone per alcuna delle annualità in verifica, e invitando la stessa a regolarizzare la propria posizione entro quindici giorni, pena il ricorso alla procedura di accertamento su stima presuntiva.</w:t>
      </w:r>
    </w:p>
    <w:p w14:paraId="373FEE10" w14:textId="56A3B3DA" w:rsidR="008C2BB4" w:rsidRPr="00CC60C0" w:rsidRDefault="00000000" w:rsidP="00A43811">
      <w:pPr>
        <w:spacing w:before="120" w:after="120" w:line="360" w:lineRule="auto"/>
        <w:ind w:firstLine="708"/>
        <w:jc w:val="both"/>
        <w:rPr>
          <w:rFonts w:ascii="Arial" w:hAnsi="Arial" w:cs="Arial"/>
        </w:rPr>
      </w:pPr>
      <w:r>
        <w:rPr>
          <w:rFonts w:ascii="Arial" w:hAnsi="Arial" w:cs="Arial"/>
        </w:rPr>
        <w:t xml:space="preserve">In data </w:t>
      </w:r>
      <w:r>
        <w:rPr>
          <w:rFonts w:ascii="Arial" w:hAnsi="Arial" w:cs="Arial"/>
          <w:b/>
          <w:bCs/>
        </w:rPr>
        <w:t>4 agosto 2025</w:t>
      </w:r>
      <w:r>
        <w:rPr>
          <w:rFonts w:ascii="Arial" w:hAnsi="Arial" w:cs="Arial"/>
        </w:rPr>
        <w:t xml:space="preserve">, FASTWEB S.p.A. trasmetteva riscontro alla </w:t>
      </w:r>
      <w:proofErr w:type="gramStart"/>
      <w:r>
        <w:rPr>
          <w:rFonts w:ascii="Arial" w:hAnsi="Arial" w:cs="Arial"/>
        </w:rPr>
        <w:t>predetta</w:t>
      </w:r>
      <w:proofErr w:type="gramEnd"/>
      <w:r>
        <w:rPr>
          <w:rFonts w:ascii="Arial" w:hAnsi="Arial" w:cs="Arial"/>
        </w:rPr>
        <w:t xml:space="preserve"> comunicazione, con il quale dichiarava di non essere soggetta al pagamento del canone, affermando di non aver mai richiesto permessi o concessioni per scavi e di non effettuare occupazione di suolo comunale</w:t>
      </w:r>
      <w:r w:rsidR="003D2882">
        <w:rPr>
          <w:rFonts w:ascii="Arial" w:hAnsi="Arial" w:cs="Arial"/>
        </w:rPr>
        <w:t xml:space="preserve"> </w:t>
      </w:r>
      <w:r w:rsidR="003D2882" w:rsidRPr="003D2882">
        <w:rPr>
          <w:rFonts w:ascii="Arial" w:hAnsi="Arial" w:cs="Arial"/>
          <w:b/>
          <w:bCs/>
        </w:rPr>
        <w:t>(doc.4)</w:t>
      </w:r>
      <w:r>
        <w:rPr>
          <w:rFonts w:ascii="Arial" w:hAnsi="Arial" w:cs="Arial"/>
        </w:rPr>
        <w:t>.</w:t>
      </w:r>
    </w:p>
    <w:p w14:paraId="4A82D8D8" w14:textId="77777777" w:rsidR="003D2882" w:rsidRDefault="00000000" w:rsidP="00A43811">
      <w:pPr>
        <w:spacing w:before="120" w:after="120" w:line="360" w:lineRule="auto"/>
        <w:ind w:firstLine="708"/>
        <w:jc w:val="both"/>
        <w:rPr>
          <w:rFonts w:ascii="Arial" w:hAnsi="Arial" w:cs="Arial"/>
        </w:rPr>
      </w:pPr>
      <w:r>
        <w:rPr>
          <w:rFonts w:ascii="Arial" w:hAnsi="Arial" w:cs="Arial"/>
        </w:rPr>
        <w:t xml:space="preserve">Con nota del </w:t>
      </w:r>
      <w:r>
        <w:rPr>
          <w:rFonts w:ascii="Arial" w:hAnsi="Arial" w:cs="Arial"/>
          <w:b/>
          <w:bCs/>
        </w:rPr>
        <w:t>4 settembre 2025</w:t>
      </w:r>
      <w:r w:rsidR="003D2882">
        <w:rPr>
          <w:rFonts w:ascii="Arial" w:hAnsi="Arial" w:cs="Arial"/>
        </w:rPr>
        <w:t xml:space="preserve"> </w:t>
      </w:r>
      <w:r w:rsidR="003D2882" w:rsidRPr="008369BA">
        <w:rPr>
          <w:rFonts w:ascii="Arial" w:hAnsi="Arial" w:cs="Arial"/>
          <w:b/>
          <w:bCs/>
        </w:rPr>
        <w:t xml:space="preserve">(doc. </w:t>
      </w:r>
      <w:r w:rsidR="003D2882">
        <w:rPr>
          <w:rFonts w:ascii="Arial" w:hAnsi="Arial" w:cs="Arial"/>
          <w:b/>
          <w:bCs/>
        </w:rPr>
        <w:t>5),</w:t>
      </w:r>
      <w:r>
        <w:rPr>
          <w:rFonts w:ascii="Arial" w:hAnsi="Arial" w:cs="Arial"/>
        </w:rPr>
        <w:t xml:space="preserve"> Archivia Solution S.p.A. replicava puntualmente alle argomentazioni di FASTWEB S.p.A., ribadendo la piena applicabilità della soggettività passiva mediata nel settore delle telecomunicazioni e rinnovando l'invito a presentare la dichiarazione delle utenze e a regolarizzare la posizione entro dieci giorni. </w:t>
      </w:r>
    </w:p>
    <w:p w14:paraId="458FAFAD" w14:textId="77777777" w:rsidR="003D2882" w:rsidRDefault="003D2882" w:rsidP="00A43811">
      <w:pPr>
        <w:spacing w:before="120" w:after="120" w:line="360" w:lineRule="auto"/>
        <w:ind w:firstLine="708"/>
        <w:jc w:val="both"/>
        <w:rPr>
          <w:rFonts w:ascii="Arial" w:hAnsi="Arial" w:cs="Arial"/>
        </w:rPr>
      </w:pPr>
      <w:r w:rsidRPr="003D2882">
        <w:rPr>
          <w:rFonts w:ascii="Arial" w:hAnsi="Arial" w:cs="Arial"/>
          <w:b/>
          <w:bCs/>
        </w:rPr>
        <w:t>A tale ulteriore sollecito la società non forniva alcun riscontro</w:t>
      </w:r>
      <w:r w:rsidRPr="003D2882">
        <w:rPr>
          <w:rFonts w:ascii="Arial" w:hAnsi="Arial" w:cs="Arial"/>
        </w:rPr>
        <w:t xml:space="preserve">, non trasmettendo dichiarazione alcuna né effettuando versamento di </w:t>
      </w:r>
      <w:proofErr w:type="gramStart"/>
      <w:r w:rsidRPr="003D2882">
        <w:rPr>
          <w:rFonts w:ascii="Arial" w:hAnsi="Arial" w:cs="Arial"/>
        </w:rPr>
        <w:t>sorta, pertanto</w:t>
      </w:r>
      <w:proofErr w:type="gramEnd"/>
      <w:r w:rsidRPr="003D2882">
        <w:rPr>
          <w:rFonts w:ascii="Arial" w:hAnsi="Arial" w:cs="Arial"/>
        </w:rPr>
        <w:t xml:space="preserve"> il Comune di Cazzano di Tramigna emetteva</w:t>
      </w:r>
      <w:r>
        <w:rPr>
          <w:rFonts w:ascii="Arial" w:hAnsi="Arial" w:cs="Arial"/>
        </w:rPr>
        <w:t xml:space="preserve"> l'</w:t>
      </w:r>
      <w:r>
        <w:rPr>
          <w:rFonts w:ascii="Arial" w:hAnsi="Arial" w:cs="Arial"/>
          <w:b/>
          <w:bCs/>
        </w:rPr>
        <w:t xml:space="preserve">Avviso di Accertamento Esecutivo n. 1 del 12/01/2026 </w:t>
      </w:r>
      <w:r w:rsidRPr="003D2882">
        <w:rPr>
          <w:rFonts w:ascii="Arial" w:hAnsi="Arial" w:cs="Arial"/>
          <w:b/>
          <w:bCs/>
        </w:rPr>
        <w:t>(doc. 6)</w:t>
      </w:r>
      <w:r>
        <w:rPr>
          <w:rFonts w:ascii="Arial" w:hAnsi="Arial" w:cs="Arial"/>
        </w:rPr>
        <w:t xml:space="preserve">, </w:t>
      </w:r>
      <w:r w:rsidRPr="003D2882">
        <w:rPr>
          <w:rFonts w:ascii="Arial" w:hAnsi="Arial" w:cs="Arial"/>
        </w:rPr>
        <w:t xml:space="preserve">avente ad oggetto l'omesso versamento del </w:t>
      </w:r>
      <w:r w:rsidRPr="003D2882">
        <w:rPr>
          <w:rFonts w:ascii="Arial" w:hAnsi="Arial" w:cs="Arial"/>
          <w:b/>
          <w:bCs/>
        </w:rPr>
        <w:t>CUP</w:t>
      </w:r>
      <w:r w:rsidRPr="003D2882">
        <w:rPr>
          <w:rFonts w:ascii="Arial" w:hAnsi="Arial" w:cs="Arial"/>
        </w:rPr>
        <w:t xml:space="preserve"> – ai sensi dell'art. 1, comma 831, L. 160/2019 – per le annualità 2021, 2022, 2023 e 2024</w:t>
      </w:r>
      <w:r>
        <w:rPr>
          <w:rFonts w:ascii="Arial" w:hAnsi="Arial" w:cs="Arial"/>
        </w:rPr>
        <w:t xml:space="preserve">, nei confronti di FASTWEB S.p.A. </w:t>
      </w:r>
    </w:p>
    <w:p w14:paraId="00AAA303" w14:textId="77777777" w:rsidR="003D2882" w:rsidRDefault="00000000" w:rsidP="00A43811">
      <w:pPr>
        <w:spacing w:before="120" w:after="120" w:line="360" w:lineRule="auto"/>
        <w:ind w:firstLine="708"/>
        <w:jc w:val="both"/>
        <w:rPr>
          <w:rFonts w:ascii="Arial" w:hAnsi="Arial" w:cs="Arial"/>
        </w:rPr>
      </w:pPr>
      <w:r>
        <w:rPr>
          <w:rFonts w:ascii="Arial" w:hAnsi="Arial" w:cs="Arial"/>
        </w:rPr>
        <w:t>Il Canone è stato determinato in via induttiva, sulla base della popolazione residente nel Comune di Cazzano di Tramigna e delle quote di mercato della telefonia fissa di FASTWEB S.p.A. rilevate dall'Osservatorio sulle Comunicazioni AGCOM (13,80% per il 2021; 14,00% per il 2022; 14,10% per il 2023; 13,80% per il 2024)</w:t>
      </w:r>
      <w:r w:rsidR="003D2882">
        <w:rPr>
          <w:rFonts w:ascii="Arial" w:hAnsi="Arial" w:cs="Arial"/>
        </w:rPr>
        <w:t xml:space="preserve"> </w:t>
      </w:r>
      <w:r w:rsidR="003D2882" w:rsidRPr="003D2882">
        <w:rPr>
          <w:rFonts w:ascii="Arial" w:hAnsi="Arial" w:cs="Arial"/>
          <w:b/>
          <w:bCs/>
        </w:rPr>
        <w:t>(doc. 7)</w:t>
      </w:r>
      <w:r>
        <w:rPr>
          <w:rFonts w:ascii="Arial" w:hAnsi="Arial" w:cs="Arial"/>
        </w:rPr>
        <w:t>, stante l'omessa dichiarazione delle utenze attive.</w:t>
      </w:r>
    </w:p>
    <w:p w14:paraId="045CCA95" w14:textId="3A9A5941" w:rsidR="008C2BB4" w:rsidRPr="00CC60C0" w:rsidRDefault="00000000" w:rsidP="00A43811">
      <w:pPr>
        <w:spacing w:before="120" w:after="120" w:line="360" w:lineRule="auto"/>
        <w:ind w:firstLine="708"/>
        <w:jc w:val="both"/>
        <w:rPr>
          <w:rFonts w:ascii="Arial" w:hAnsi="Arial" w:cs="Arial"/>
        </w:rPr>
      </w:pPr>
      <w:r>
        <w:rPr>
          <w:rFonts w:ascii="Arial" w:hAnsi="Arial" w:cs="Arial"/>
        </w:rPr>
        <w:t xml:space="preserve">Avverso tale avviso di accertamento FASTWEB S.p.A. ha proposto opposizione dinanzi al Tribunale Civile di Verona, </w:t>
      </w:r>
      <w:r w:rsidR="003D2882">
        <w:rPr>
          <w:rFonts w:ascii="Arial" w:hAnsi="Arial" w:cs="Arial"/>
        </w:rPr>
        <w:t xml:space="preserve">con prima </w:t>
      </w:r>
      <w:r>
        <w:rPr>
          <w:rFonts w:ascii="Arial" w:hAnsi="Arial" w:cs="Arial"/>
        </w:rPr>
        <w:t xml:space="preserve">udienza al 7 settembre 2026, deducendo: </w:t>
      </w:r>
      <w:r>
        <w:rPr>
          <w:rFonts w:ascii="Arial" w:hAnsi="Arial" w:cs="Arial"/>
          <w:b/>
          <w:bCs/>
        </w:rPr>
        <w:t>I)</w:t>
      </w:r>
      <w:r>
        <w:rPr>
          <w:rFonts w:ascii="Arial" w:hAnsi="Arial" w:cs="Arial"/>
        </w:rPr>
        <w:t xml:space="preserve"> Violazione dell'art. 1, comma 831, della L. 160/2019 come </w:t>
      </w:r>
      <w:r>
        <w:rPr>
          <w:rFonts w:ascii="Arial" w:hAnsi="Arial" w:cs="Arial"/>
        </w:rPr>
        <w:lastRenderedPageBreak/>
        <w:t>autenticamente interpretato dall'art. 5, comma 14-</w:t>
      </w:r>
      <w:r>
        <w:rPr>
          <w:rFonts w:ascii="Arial" w:hAnsi="Arial" w:cs="Arial"/>
          <w:i/>
          <w:iCs/>
        </w:rPr>
        <w:t>quinquies</w:t>
      </w:r>
      <w:r>
        <w:rPr>
          <w:rFonts w:ascii="Arial" w:hAnsi="Arial" w:cs="Arial"/>
        </w:rPr>
        <w:t xml:space="preserve">, del D.L. n. 146/2021; difetto dei presupposti; difetto di soggettività passiva; </w:t>
      </w:r>
      <w:r>
        <w:rPr>
          <w:rFonts w:ascii="Arial" w:hAnsi="Arial" w:cs="Arial"/>
          <w:b/>
          <w:bCs/>
        </w:rPr>
        <w:t>II)</w:t>
      </w:r>
      <w:r>
        <w:rPr>
          <w:rFonts w:ascii="Arial" w:hAnsi="Arial" w:cs="Arial"/>
        </w:rPr>
        <w:t xml:space="preserve"> Violazione del Regolamento Comunale che prevede la soggettività passiva del concessionario anche per le utenze delle società di vendita; </w:t>
      </w:r>
      <w:r>
        <w:rPr>
          <w:rFonts w:ascii="Arial" w:hAnsi="Arial" w:cs="Arial"/>
          <w:b/>
          <w:bCs/>
        </w:rPr>
        <w:t>III)</w:t>
      </w:r>
      <w:r>
        <w:rPr>
          <w:rFonts w:ascii="Arial" w:hAnsi="Arial" w:cs="Arial"/>
        </w:rPr>
        <w:t xml:space="preserve"> Difetto del requisito dell'utilizzo materiale dell'infrastruttura ex art. 1, comma 831, della Legge n. 160/2019; </w:t>
      </w:r>
      <w:r>
        <w:rPr>
          <w:rFonts w:ascii="Arial" w:hAnsi="Arial" w:cs="Arial"/>
          <w:b/>
          <w:bCs/>
        </w:rPr>
        <w:t>IV)</w:t>
      </w:r>
      <w:r>
        <w:rPr>
          <w:rFonts w:ascii="Arial" w:hAnsi="Arial" w:cs="Arial"/>
        </w:rPr>
        <w:t xml:space="preserve"> Nullità dell'avviso di accertamento esecutivo per violazione dell'art. 1, comma 792, della Legge n. 160/2019; mancanza di formale contestazione; difetto di motivazione.</w:t>
      </w:r>
    </w:p>
    <w:p w14:paraId="4E516C11" w14:textId="77777777" w:rsidR="008C2BB4" w:rsidRPr="00CC60C0" w:rsidRDefault="00000000" w:rsidP="00CC60C0">
      <w:pPr>
        <w:spacing w:before="60" w:after="60" w:line="360" w:lineRule="auto"/>
        <w:jc w:val="center"/>
        <w:rPr>
          <w:rFonts w:ascii="Arial" w:hAnsi="Arial" w:cs="Arial"/>
        </w:rPr>
      </w:pPr>
      <w:r>
        <w:rPr>
          <w:rFonts w:ascii="Arial" w:hAnsi="Arial" w:cs="Arial"/>
        </w:rPr>
        <w:t>***</w:t>
      </w:r>
    </w:p>
    <w:p w14:paraId="66E94B55" w14:textId="77777777" w:rsidR="008C2BB4" w:rsidRPr="00CC60C0" w:rsidRDefault="00000000" w:rsidP="00A43811">
      <w:pPr>
        <w:spacing w:before="120" w:after="120" w:line="360" w:lineRule="auto"/>
        <w:ind w:firstLine="708"/>
        <w:jc w:val="both"/>
        <w:rPr>
          <w:rFonts w:ascii="Arial" w:hAnsi="Arial" w:cs="Arial"/>
        </w:rPr>
      </w:pPr>
      <w:r>
        <w:rPr>
          <w:rFonts w:ascii="Arial" w:hAnsi="Arial" w:cs="Arial"/>
        </w:rPr>
        <w:t>Con il presente atto il Comune di Cazzano di Tramigna si costituisce in giudizio, contestando le domande, le eccezioni e le deduzioni avversarie, delle quali chiede il rigetto per i seguenti</w:t>
      </w:r>
    </w:p>
    <w:p w14:paraId="3F177BF2" w14:textId="77777777" w:rsidR="008C2BB4" w:rsidRPr="00CC60C0" w:rsidRDefault="00000000" w:rsidP="00CC60C0">
      <w:pPr>
        <w:spacing w:before="120" w:after="120" w:line="360" w:lineRule="auto"/>
        <w:jc w:val="center"/>
        <w:rPr>
          <w:rFonts w:ascii="Arial" w:hAnsi="Arial" w:cs="Arial"/>
        </w:rPr>
      </w:pPr>
      <w:r>
        <w:rPr>
          <w:rFonts w:ascii="Arial" w:hAnsi="Arial" w:cs="Arial"/>
          <w:b/>
          <w:bCs/>
        </w:rPr>
        <w:t>MOTIVI</w:t>
      </w:r>
    </w:p>
    <w:p w14:paraId="6AC75732" w14:textId="77777777" w:rsidR="008C2BB4" w:rsidRDefault="00000000" w:rsidP="00CC60C0">
      <w:pPr>
        <w:spacing w:before="240" w:after="120" w:line="360" w:lineRule="auto"/>
        <w:jc w:val="both"/>
        <w:rPr>
          <w:rFonts w:ascii="Arial" w:hAnsi="Arial" w:cs="Arial"/>
          <w:b/>
          <w:bCs/>
        </w:rPr>
      </w:pPr>
      <w:r>
        <w:rPr>
          <w:rFonts w:ascii="Arial" w:hAnsi="Arial" w:cs="Arial"/>
          <w:b/>
          <w:bCs/>
        </w:rPr>
        <w:t>I) Sulla pretesa "Violazione dell'art. 1, comma 831, della L. 160/2019 come autenticamente interpretato dall'art. 5, comma 14-quinquies, del D.L. n. 146/2021. Difetto dei presupposti. Difetto di soggettività passiva."</w:t>
      </w:r>
    </w:p>
    <w:p w14:paraId="7AE157BB" w14:textId="4BD1B7FB" w:rsidR="002F1045" w:rsidRDefault="002F1045" w:rsidP="00CC60C0">
      <w:pPr>
        <w:spacing w:before="240" w:after="120" w:line="360" w:lineRule="auto"/>
        <w:jc w:val="both"/>
        <w:rPr>
          <w:rFonts w:ascii="Arial" w:hAnsi="Arial" w:cs="Arial"/>
          <w:b/>
          <w:bCs/>
        </w:rPr>
      </w:pPr>
      <w:r>
        <w:rPr>
          <w:rFonts w:ascii="Arial" w:hAnsi="Arial" w:cs="Arial"/>
          <w:b/>
          <w:bCs/>
        </w:rPr>
        <w:t>e</w:t>
      </w:r>
    </w:p>
    <w:p w14:paraId="602C05A6" w14:textId="6162E968" w:rsidR="002F1045" w:rsidRPr="00CC60C0" w:rsidRDefault="002F1045" w:rsidP="00CC60C0">
      <w:pPr>
        <w:spacing w:before="240" w:after="120" w:line="360" w:lineRule="auto"/>
        <w:jc w:val="both"/>
        <w:rPr>
          <w:rFonts w:ascii="Arial" w:hAnsi="Arial" w:cs="Arial"/>
        </w:rPr>
      </w:pPr>
      <w:r>
        <w:rPr>
          <w:rFonts w:ascii="Arial" w:hAnsi="Arial" w:cs="Arial"/>
          <w:b/>
          <w:bCs/>
        </w:rPr>
        <w:t>III)</w:t>
      </w:r>
      <w:r>
        <w:rPr>
          <w:rFonts w:ascii="Arial" w:hAnsi="Arial" w:cs="Arial"/>
        </w:rPr>
        <w:t xml:space="preserve"> </w:t>
      </w:r>
      <w:r>
        <w:rPr>
          <w:rFonts w:ascii="Arial" w:hAnsi="Arial" w:cs="Arial"/>
          <w:b/>
          <w:bCs/>
        </w:rPr>
        <w:t>Sul preteso “Difetto del requisito dell'utilizzo materiale dell'infrastruttura ex art. 1, comma 831, della Legge n. 160/2019”;</w:t>
      </w:r>
    </w:p>
    <w:p w14:paraId="13F77123" w14:textId="6249B4E1" w:rsidR="00B9260A" w:rsidRPr="00F53384" w:rsidRDefault="00B9260A" w:rsidP="00B9260A">
      <w:pPr>
        <w:spacing w:line="360" w:lineRule="auto"/>
        <w:ind w:firstLine="709"/>
        <w:jc w:val="both"/>
        <w:rPr>
          <w:rFonts w:ascii="Arial" w:hAnsi="Arial" w:cs="Arial"/>
          <w:color w:val="000000"/>
        </w:rPr>
      </w:pPr>
      <w:r>
        <w:rPr>
          <w:rFonts w:ascii="Arial" w:hAnsi="Arial" w:cs="Arial"/>
          <w:color w:val="000000"/>
        </w:rPr>
        <w:t>Con riferimento alle doglianze in epigrafe riportate, trattate congiuntamente</w:t>
      </w:r>
      <w:r w:rsidR="00CB6A74">
        <w:rPr>
          <w:rFonts w:ascii="Arial" w:hAnsi="Arial" w:cs="Arial"/>
          <w:color w:val="000000"/>
        </w:rPr>
        <w:t xml:space="preserve"> per connessione logica e giuridica</w:t>
      </w:r>
      <w:r>
        <w:rPr>
          <w:rFonts w:ascii="Arial" w:hAnsi="Arial" w:cs="Arial"/>
          <w:color w:val="000000"/>
        </w:rPr>
        <w:t xml:space="preserve">, va, in primo luogo, evidenziato che la narrazione dei fatti, come </w:t>
      </w:r>
      <w:r>
        <w:rPr>
          <w:rFonts w:ascii="Arial" w:hAnsi="Arial" w:cs="Arial"/>
          <w:i/>
          <w:iCs/>
          <w:color w:val="000000"/>
        </w:rPr>
        <w:t xml:space="preserve">ex </w:t>
      </w:r>
      <w:proofErr w:type="spellStart"/>
      <w:r>
        <w:rPr>
          <w:rFonts w:ascii="Arial" w:hAnsi="Arial" w:cs="Arial"/>
          <w:i/>
          <w:iCs/>
          <w:color w:val="000000"/>
        </w:rPr>
        <w:t>adverso</w:t>
      </w:r>
      <w:proofErr w:type="spellEnd"/>
      <w:r>
        <w:rPr>
          <w:rFonts w:ascii="Arial" w:hAnsi="Arial" w:cs="Arial"/>
          <w:color w:val="000000"/>
        </w:rPr>
        <w:t xml:space="preserve"> rappresentata, risulta capziosamente tesa a sottacere fatti e circostanze che, se conosciute nella loro completezza, determineranno il Giudicante a ben altre conclusioni e/o statuizioni rispetto a quelle invocate dall'attrice</w:t>
      </w:r>
    </w:p>
    <w:p w14:paraId="44FA8F51" w14:textId="77777777" w:rsidR="00B9260A" w:rsidRPr="00F53384" w:rsidRDefault="00B9260A" w:rsidP="00B9260A">
      <w:pPr>
        <w:spacing w:line="360" w:lineRule="auto"/>
        <w:ind w:firstLine="709"/>
        <w:jc w:val="both"/>
        <w:rPr>
          <w:rFonts w:ascii="Arial" w:hAnsi="Arial" w:cs="Arial"/>
          <w:b/>
          <w:bCs/>
          <w:color w:val="000000"/>
          <w:u w:val="single"/>
        </w:rPr>
      </w:pPr>
      <w:r>
        <w:rPr>
          <w:rFonts w:ascii="Arial" w:hAnsi="Arial" w:cs="Arial"/>
          <w:b/>
          <w:bCs/>
          <w:color w:val="000000"/>
          <w:u w:val="single"/>
        </w:rPr>
        <w:t>Questi i fatti e la normativa di riferimento.</w:t>
      </w:r>
    </w:p>
    <w:p w14:paraId="5B58FDC0"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Nella narrativa avversaria, sostanzialmente, </w:t>
      </w:r>
      <w:r>
        <w:rPr>
          <w:rFonts w:ascii="Arial" w:hAnsi="Arial" w:cs="Arial"/>
          <w:bCs/>
          <w:kern w:val="1"/>
          <w:lang w:eastAsia="ar-SA"/>
        </w:rPr>
        <w:t>FASTWEB S.p.A.</w:t>
      </w:r>
      <w:r>
        <w:rPr>
          <w:rFonts w:ascii="Arial" w:hAnsi="Arial" w:cs="Arial"/>
          <w:kern w:val="1"/>
          <w:lang w:eastAsia="ar-SA"/>
        </w:rPr>
        <w:t xml:space="preserve"> richiama una normativa oltre che non più attuale, anche recisamente disattesa dallo stesso Legislatore oltre che afferenti a diverse fattispecie normativamente regolamentate.</w:t>
      </w:r>
    </w:p>
    <w:p w14:paraId="000B9B1A"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Pertanto, per meglio inquadrare la fattispecie portata all'attenzione del Giudice, si impone un breve </w:t>
      </w:r>
      <w:r>
        <w:rPr>
          <w:rFonts w:ascii="Arial" w:hAnsi="Arial" w:cs="Arial"/>
          <w:i/>
          <w:iCs/>
          <w:kern w:val="1"/>
          <w:lang w:eastAsia="ar-SA"/>
        </w:rPr>
        <w:t>excursus</w:t>
      </w:r>
      <w:r>
        <w:rPr>
          <w:rFonts w:ascii="Arial" w:hAnsi="Arial" w:cs="Arial"/>
          <w:kern w:val="1"/>
          <w:lang w:eastAsia="ar-SA"/>
        </w:rPr>
        <w:t xml:space="preserve"> normativo in tema di legittimazione passiva, al fine di individuare il/i soggetto/i passivamente tenuti al pagamento del canone patrimoniale unico e </w:t>
      </w:r>
      <w:r>
        <w:rPr>
          <w:rFonts w:ascii="Arial" w:hAnsi="Arial" w:cs="Arial"/>
          <w:kern w:val="1"/>
          <w:u w:val="single"/>
          <w:lang w:eastAsia="ar-SA"/>
        </w:rPr>
        <w:t xml:space="preserve">ciò anche nell'ipotesi di uso in via mediato in condivisione delle infrastrutture </w:t>
      </w:r>
      <w:proofErr w:type="spellStart"/>
      <w:r>
        <w:rPr>
          <w:rFonts w:ascii="Arial" w:hAnsi="Arial" w:cs="Arial"/>
          <w:kern w:val="1"/>
          <w:u w:val="single"/>
          <w:lang w:eastAsia="ar-SA"/>
        </w:rPr>
        <w:t>concessionate</w:t>
      </w:r>
      <w:proofErr w:type="spellEnd"/>
      <w:r>
        <w:rPr>
          <w:rFonts w:ascii="Arial" w:hAnsi="Arial" w:cs="Arial"/>
          <w:kern w:val="1"/>
          <w:u w:val="single"/>
          <w:lang w:eastAsia="ar-SA"/>
        </w:rPr>
        <w:t xml:space="preserve"> ad un unico Operatore.</w:t>
      </w:r>
      <w:r>
        <w:rPr>
          <w:rFonts w:ascii="Arial" w:hAnsi="Arial" w:cs="Arial"/>
          <w:kern w:val="1"/>
          <w:lang w:eastAsia="ar-SA"/>
        </w:rPr>
        <w:t xml:space="preserve"> </w:t>
      </w:r>
    </w:p>
    <w:p w14:paraId="5849DA95"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lastRenderedPageBreak/>
        <w:t xml:space="preserve">Ebbene, la legge n. 160/2019 ha previsto che, in sostituzione dei precedenti prelievi Tosap e </w:t>
      </w:r>
      <w:proofErr w:type="spellStart"/>
      <w:r>
        <w:rPr>
          <w:rFonts w:ascii="Arial" w:hAnsi="Arial" w:cs="Arial"/>
          <w:kern w:val="1"/>
          <w:lang w:eastAsia="ar-SA"/>
        </w:rPr>
        <w:t>Cosap</w:t>
      </w:r>
      <w:proofErr w:type="spellEnd"/>
      <w:r>
        <w:rPr>
          <w:rFonts w:ascii="Arial" w:hAnsi="Arial" w:cs="Arial"/>
          <w:kern w:val="1"/>
          <w:lang w:eastAsia="ar-SA"/>
        </w:rPr>
        <w:t>, a partire dall'anno 2021 ogni Comune potesse e dovesse riscuotere attraverso il canone unico patrimoniale (d'ora in poi solo Cup) gli oneri derivanti dall'occupazione del suolo pubblico da parte dei singoli soggetti utilizzatori.</w:t>
      </w:r>
    </w:p>
    <w:p w14:paraId="2453716E"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30334E45"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E ciò ha fatto fornendo un'interpretazione che ora possiamo definire definitiva dell'art. 1 comma 831 della </w:t>
      </w:r>
      <w:proofErr w:type="gramStart"/>
      <w:r>
        <w:rPr>
          <w:rFonts w:ascii="Arial" w:hAnsi="Arial" w:cs="Arial"/>
          <w:kern w:val="1"/>
          <w:lang w:eastAsia="ar-SA"/>
        </w:rPr>
        <w:t>predetta</w:t>
      </w:r>
      <w:proofErr w:type="gramEnd"/>
      <w:r>
        <w:rPr>
          <w:rFonts w:ascii="Arial" w:hAnsi="Arial" w:cs="Arial"/>
          <w:kern w:val="1"/>
          <w:lang w:eastAsia="ar-SA"/>
        </w:rPr>
        <w:t xml:space="preserve"> Legge.</w:t>
      </w:r>
    </w:p>
    <w:p w14:paraId="3B4E8795"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4EB422CA"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Il titolare della concessione comunale avrebbe, poi, esercitato rivalsa sulle aziende che utilizzavano la stessa rete, per quanto complessivamente ed obbligatoriamente da esso anticipato al locale Comune anche in loro vece e favore.   </w:t>
      </w:r>
    </w:p>
    <w:p w14:paraId="6FA77A0B"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Nella vigenza di tale normativa o, meglio, prassi applicativa (</w:t>
      </w:r>
      <w:r>
        <w:rPr>
          <w:rFonts w:ascii="Arial" w:hAnsi="Arial" w:cs="Arial"/>
          <w:b/>
          <w:bCs/>
          <w:kern w:val="1"/>
          <w:lang w:eastAsia="ar-SA"/>
        </w:rPr>
        <w:t>poiché tale</w:t>
      </w:r>
      <w:r>
        <w:rPr>
          <w:rFonts w:ascii="Arial" w:hAnsi="Arial" w:cs="Arial"/>
          <w:kern w:val="1"/>
          <w:lang w:eastAsia="ar-SA"/>
        </w:rPr>
        <w:t xml:space="preserve"> </w:t>
      </w:r>
      <w:r>
        <w:rPr>
          <w:rFonts w:ascii="Arial" w:hAnsi="Arial" w:cs="Arial"/>
          <w:b/>
          <w:bCs/>
          <w:kern w:val="1"/>
          <w:lang w:eastAsia="ar-SA"/>
        </w:rPr>
        <w:t>indirizzo normativo mai è entrato in vigore)</w:t>
      </w:r>
      <w:r>
        <w:rPr>
          <w:rFonts w:ascii="Arial" w:hAnsi="Arial" w:cs="Arial"/>
          <w:kern w:val="1"/>
          <w:lang w:eastAsia="ar-SA"/>
        </w:rPr>
        <w:t xml:space="preserve"> il soggetto chiamato a corrispondere il canone sarebbe stato esclusivamente Tim/Telecom s.p.a., quale unico soggetto </w:t>
      </w:r>
      <w:proofErr w:type="spellStart"/>
      <w:r>
        <w:rPr>
          <w:rFonts w:ascii="Arial" w:hAnsi="Arial" w:cs="Arial"/>
          <w:kern w:val="1"/>
          <w:lang w:eastAsia="ar-SA"/>
        </w:rPr>
        <w:t>concessionato</w:t>
      </w:r>
      <w:proofErr w:type="spellEnd"/>
      <w:r>
        <w:rPr>
          <w:rFonts w:ascii="Arial" w:hAnsi="Arial" w:cs="Arial"/>
          <w:kern w:val="1"/>
          <w:lang w:eastAsia="ar-SA"/>
        </w:rPr>
        <w:t xml:space="preserve"> all'uso del sottosuolo pubblico salvo, come anticipato, il suo diritto alla rivalsa / regresso nei confronti degli altri utilizzatori tra cui, evidentemente, anche </w:t>
      </w:r>
      <w:r w:rsidRPr="003D2882">
        <w:rPr>
          <w:rFonts w:ascii="Arial" w:hAnsi="Arial" w:cs="Arial"/>
          <w:b/>
          <w:kern w:val="1"/>
          <w:lang w:eastAsia="ar-SA"/>
        </w:rPr>
        <w:t>FASTWEB S.p.A., che pacificamente utilizza le reti altrui mediante collegamenti</w:t>
      </w:r>
      <w:r>
        <w:rPr>
          <w:rFonts w:ascii="Arial" w:hAnsi="Arial" w:cs="Arial"/>
          <w:kern w:val="1"/>
          <w:lang w:eastAsia="ar-SA"/>
        </w:rPr>
        <w:t xml:space="preserve"> VULA (Virtual </w:t>
      </w:r>
      <w:proofErr w:type="spellStart"/>
      <w:r>
        <w:rPr>
          <w:rFonts w:ascii="Arial" w:hAnsi="Arial" w:cs="Arial"/>
          <w:kern w:val="1"/>
          <w:lang w:eastAsia="ar-SA"/>
        </w:rPr>
        <w:t>Unbundled</w:t>
      </w:r>
      <w:proofErr w:type="spellEnd"/>
      <w:r>
        <w:rPr>
          <w:rFonts w:ascii="Arial" w:hAnsi="Arial" w:cs="Arial"/>
          <w:kern w:val="1"/>
          <w:lang w:eastAsia="ar-SA"/>
        </w:rPr>
        <w:t xml:space="preserve"> Local Access), NGA (Next Generation Access) e SLU (Sub Loop </w:t>
      </w:r>
      <w:proofErr w:type="spellStart"/>
      <w:r>
        <w:rPr>
          <w:rFonts w:ascii="Arial" w:hAnsi="Arial" w:cs="Arial"/>
          <w:kern w:val="1"/>
          <w:lang w:eastAsia="ar-SA"/>
        </w:rPr>
        <w:t>Unbundling</w:t>
      </w:r>
      <w:proofErr w:type="spellEnd"/>
      <w:r>
        <w:rPr>
          <w:rFonts w:ascii="Arial" w:hAnsi="Arial" w:cs="Arial"/>
          <w:kern w:val="1"/>
          <w:lang w:eastAsia="ar-SA"/>
        </w:rPr>
        <w:t xml:space="preserve">); per chiarezza espositiva si evidenzia che con tali acronimi si indicano le modalità che gli operatori di rete hanno a disposizione per accedere alla rete dell'operatore </w:t>
      </w:r>
      <w:proofErr w:type="spellStart"/>
      <w:r>
        <w:rPr>
          <w:rFonts w:ascii="Arial" w:hAnsi="Arial" w:cs="Arial"/>
          <w:kern w:val="1"/>
          <w:lang w:eastAsia="ar-SA"/>
        </w:rPr>
        <w:t>concessionato</w:t>
      </w:r>
      <w:proofErr w:type="spellEnd"/>
      <w:r>
        <w:rPr>
          <w:rFonts w:ascii="Arial" w:hAnsi="Arial" w:cs="Arial"/>
          <w:kern w:val="1"/>
          <w:lang w:eastAsia="ar-SA"/>
        </w:rPr>
        <w:t xml:space="preserve"> Tim/Telecom s.p.a., ex monopolista delle infrastrutture nazionali.</w:t>
      </w:r>
    </w:p>
    <w:p w14:paraId="0701EFF6" w14:textId="4E5EDDB1"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Ricordiamo, poi, che il Legislatore con il </w:t>
      </w:r>
      <w:r w:rsidRPr="003D2882">
        <w:rPr>
          <w:rFonts w:ascii="Arial" w:hAnsi="Arial" w:cs="Arial"/>
          <w:b/>
          <w:bCs/>
          <w:kern w:val="1"/>
          <w:u w:val="single"/>
          <w:lang w:eastAsia="ar-SA"/>
        </w:rPr>
        <w:t>comma 848 della Legge 178/2020</w:t>
      </w:r>
      <w:r>
        <w:rPr>
          <w:rFonts w:ascii="Arial" w:hAnsi="Arial" w:cs="Arial"/>
          <w:kern w:val="1"/>
          <w:lang w:eastAsia="ar-SA"/>
        </w:rPr>
        <w:t xml:space="preserve"> ha apportato radicali modifiche, stravolgendola, alla disciplina riscrivendo il comma 831 ed introducendo il concetto della c.d. </w:t>
      </w:r>
      <w:r>
        <w:rPr>
          <w:rFonts w:ascii="Arial" w:hAnsi="Arial" w:cs="Arial"/>
          <w:b/>
          <w:bCs/>
          <w:kern w:val="1"/>
          <w:u w:val="single"/>
          <w:lang w:eastAsia="ar-SA"/>
        </w:rPr>
        <w:t>soggettività passiva in via mediata</w:t>
      </w:r>
      <w:r>
        <w:rPr>
          <w:rFonts w:ascii="Arial" w:hAnsi="Arial" w:cs="Arial"/>
          <w:kern w:val="1"/>
          <w:lang w:eastAsia="ar-SA"/>
        </w:rPr>
        <w:t xml:space="preserve"> quale presupposto per l'applicazione della norma di cui, di seguito, riportiamo la sintesi.</w:t>
      </w:r>
    </w:p>
    <w:p w14:paraId="705F5C7F"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lastRenderedPageBreak/>
        <w:t>Ad oggi, quindi, il criterio informatore per la fattispecie in esame risulta il seguente: “</w:t>
      </w:r>
      <w:r>
        <w:rPr>
          <w:rFonts w:ascii="Arial" w:hAnsi="Arial" w:cs="Arial"/>
          <w:i/>
          <w:iCs/>
          <w:kern w:val="1"/>
          <w:lang w:eastAsia="ar-SA"/>
        </w:rPr>
        <w:t xml:space="preserve">il canone è dovuto dal soggetto titolare dell'atto di concessione dell'occupazione del suolo pubblico e dai soggetti che occupano il suolo pubblico </w:t>
      </w:r>
      <w:r>
        <w:rPr>
          <w:rFonts w:ascii="Arial" w:hAnsi="Arial" w:cs="Arial"/>
          <w:i/>
          <w:iCs/>
          <w:kern w:val="1"/>
          <w:u w:val="single"/>
          <w:lang w:eastAsia="ar-SA"/>
        </w:rPr>
        <w:t>anche in via mediata</w:t>
      </w:r>
      <w:r>
        <w:rPr>
          <w:rFonts w:ascii="Arial" w:hAnsi="Arial" w:cs="Arial"/>
          <w:i/>
          <w:iCs/>
          <w:kern w:val="1"/>
          <w:lang w:eastAsia="ar-SA"/>
        </w:rPr>
        <w:t xml:space="preserve"> attraverso l'utilizzo materiale delle infrastrutture del soggetto titolare della concessione </w:t>
      </w:r>
      <w:r>
        <w:rPr>
          <w:rFonts w:ascii="Arial" w:hAnsi="Arial" w:cs="Arial"/>
          <w:i/>
          <w:iCs/>
          <w:kern w:val="1"/>
          <w:u w:val="single"/>
          <w:lang w:eastAsia="ar-SA"/>
        </w:rPr>
        <w:t>sulla base del numero delle rispettive utenze</w:t>
      </w:r>
      <w:r>
        <w:rPr>
          <w:rFonts w:ascii="Arial" w:hAnsi="Arial" w:cs="Arial"/>
          <w:i/>
          <w:iCs/>
          <w:kern w:val="1"/>
          <w:lang w:eastAsia="ar-SA"/>
        </w:rPr>
        <w:t xml:space="preserve"> moltiplicate per la seguente tariffa</w:t>
      </w:r>
      <w:r>
        <w:rPr>
          <w:rFonts w:ascii="Arial" w:hAnsi="Arial" w:cs="Arial"/>
          <w:kern w:val="1"/>
          <w:lang w:eastAsia="ar-SA"/>
        </w:rPr>
        <w:t xml:space="preserve"> </w:t>
      </w:r>
      <w:r>
        <w:rPr>
          <w:rFonts w:ascii="Arial" w:hAnsi="Arial" w:cs="Arial"/>
          <w:i/>
          <w:iCs/>
          <w:kern w:val="1"/>
          <w:lang w:eastAsia="ar-SA"/>
        </w:rPr>
        <w:t xml:space="preserve">forfettaria </w:t>
      </w:r>
      <w:r>
        <w:rPr>
          <w:rFonts w:ascii="Arial" w:hAnsi="Arial" w:cs="Arial"/>
          <w:kern w:val="1"/>
          <w:lang w:eastAsia="ar-SA"/>
        </w:rPr>
        <w:t>...omissis...”.</w:t>
      </w:r>
    </w:p>
    <w:p w14:paraId="156C73D1" w14:textId="1DF98BF3"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w:t>
      </w:r>
      <w:r>
        <w:rPr>
          <w:rFonts w:ascii="Arial" w:hAnsi="Arial" w:cs="Arial"/>
          <w:i/>
          <w:iCs/>
          <w:kern w:val="1"/>
          <w:lang w:eastAsia="ar-SA"/>
        </w:rPr>
        <w:t xml:space="preserve"> </w:t>
      </w:r>
      <w:r>
        <w:rPr>
          <w:rFonts w:ascii="Arial" w:hAnsi="Arial" w:cs="Arial"/>
          <w:kern w:val="1"/>
          <w:lang w:eastAsia="ar-SA"/>
        </w:rPr>
        <w:t>stessa Tim/Telecom s.p.a.</w:t>
      </w:r>
      <w:r>
        <w:rPr>
          <w:rFonts w:ascii="Arial" w:hAnsi="Arial" w:cs="Arial"/>
          <w:i/>
          <w:iCs/>
          <w:kern w:val="1"/>
          <w:lang w:eastAsia="ar-SA"/>
        </w:rPr>
        <w:t xml:space="preserve"> </w:t>
      </w:r>
      <w:r>
        <w:rPr>
          <w:rFonts w:ascii="Arial" w:hAnsi="Arial" w:cs="Arial"/>
          <w:kern w:val="1"/>
          <w:lang w:eastAsia="ar-SA"/>
        </w:rPr>
        <w:t>al fine di erogare il servizio al proprio Cliente finale, rappresentato dalle singole abitazioni private e/o aziende del territorio nazionale</w:t>
      </w:r>
      <w:proofErr w:type="gramStart"/>
      <w:r>
        <w:rPr>
          <w:rFonts w:ascii="Arial" w:hAnsi="Arial" w:cs="Arial"/>
          <w:kern w:val="1"/>
          <w:lang w:eastAsia="ar-SA"/>
        </w:rPr>
        <w:t>.</w:t>
      </w:r>
      <w:r w:rsidR="00D661D9">
        <w:rPr>
          <w:rFonts w:ascii="Arial" w:hAnsi="Arial" w:cs="Arial"/>
          <w:kern w:val="1"/>
          <w:lang w:eastAsia="ar-SA"/>
        </w:rPr>
        <w:t xml:space="preserve"> </w:t>
      </w:r>
      <w:r w:rsidR="00D661D9" w:rsidRPr="00D20535">
        <w:rPr>
          <w:rFonts w:ascii="Arial" w:hAnsi="Arial" w:cs="Arial"/>
          <w:kern w:val="1"/>
          <w:lang w:eastAsia="ar-SA"/>
        </w:rPr>
        <w:t>.</w:t>
      </w:r>
      <w:proofErr w:type="gramEnd"/>
      <w:r w:rsidR="00D661D9">
        <w:rPr>
          <w:rFonts w:ascii="Arial" w:hAnsi="Arial" w:cs="Arial"/>
          <w:kern w:val="1"/>
          <w:lang w:eastAsia="ar-SA"/>
        </w:rPr>
        <w:t xml:space="preserve"> </w:t>
      </w:r>
      <w:r w:rsidR="00D661D9" w:rsidRPr="00E65BA3">
        <w:rPr>
          <w:rFonts w:ascii="Arial" w:hAnsi="Arial" w:cs="Arial"/>
        </w:rPr>
        <w:t xml:space="preserve">È questo, in piena evidenza, il caso di </w:t>
      </w:r>
      <w:r w:rsidR="00D661D9" w:rsidRPr="00E65BA3">
        <w:rPr>
          <w:rFonts w:ascii="Arial" w:hAnsi="Arial" w:cs="Arial"/>
          <w:b/>
          <w:bCs/>
        </w:rPr>
        <w:t>FASTWEB S.p.A.</w:t>
      </w:r>
      <w:r w:rsidR="00D661D9" w:rsidRPr="00E65BA3">
        <w:rPr>
          <w:rFonts w:ascii="Arial" w:hAnsi="Arial" w:cs="Arial"/>
        </w:rPr>
        <w:t>, per gli anni 2021-2024</w:t>
      </w:r>
    </w:p>
    <w:p w14:paraId="7CA3E02E" w14:textId="7C30853F"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Si noti che: il principio cristallizzato nella nuova formulazione ed interpretazione dell'art. 1 comma 831 è stato mutuato da una risalente Circolare interpretativa del Mef pubblicata nell'anno 2009 (Circolare n. 1/DF del 20.01.2009 – </w:t>
      </w:r>
      <w:r w:rsidRPr="00D661D9">
        <w:rPr>
          <w:rFonts w:ascii="Arial" w:hAnsi="Arial" w:cs="Arial"/>
          <w:b/>
          <w:bCs/>
          <w:kern w:val="1"/>
          <w:lang w:eastAsia="ar-SA"/>
        </w:rPr>
        <w:t xml:space="preserve">doc. </w:t>
      </w:r>
      <w:r w:rsidR="004B1EC8" w:rsidRPr="00D661D9">
        <w:rPr>
          <w:rFonts w:ascii="Arial" w:hAnsi="Arial" w:cs="Arial"/>
          <w:b/>
          <w:bCs/>
          <w:kern w:val="1"/>
          <w:lang w:eastAsia="ar-SA"/>
        </w:rPr>
        <w:t>8</w:t>
      </w:r>
      <w:r>
        <w:rPr>
          <w:rFonts w:ascii="Arial" w:hAnsi="Arial" w:cs="Arial"/>
          <w:kern w:val="1"/>
          <w:lang w:eastAsia="ar-SA"/>
        </w:rP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35DC3AF3"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5CCE47E1"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Risulta, infatti, che, alla luce della precedente normativa, il criterio applicativo della Tosap o </w:t>
      </w:r>
      <w:proofErr w:type="spellStart"/>
      <w:r>
        <w:rPr>
          <w:rFonts w:ascii="Arial" w:hAnsi="Arial" w:cs="Arial"/>
          <w:kern w:val="1"/>
          <w:lang w:eastAsia="ar-SA"/>
        </w:rPr>
        <w:t>Cosap</w:t>
      </w:r>
      <w:proofErr w:type="spellEnd"/>
      <w:r>
        <w:rPr>
          <w:rFonts w:ascii="Arial" w:hAnsi="Arial" w:cs="Arial"/>
          <w:kern w:val="1"/>
          <w:lang w:eastAsia="ar-SA"/>
        </w:rPr>
        <w:t xml:space="preserve"> si realizzava in base al numero delle singole utenze attive, rilevate al 31 </w:t>
      </w:r>
      <w:proofErr w:type="gramStart"/>
      <w:r>
        <w:rPr>
          <w:rFonts w:ascii="Arial" w:hAnsi="Arial" w:cs="Arial"/>
          <w:kern w:val="1"/>
          <w:lang w:eastAsia="ar-SA"/>
        </w:rPr>
        <w:t>Dicembre</w:t>
      </w:r>
      <w:proofErr w:type="gramEnd"/>
      <w:r>
        <w:rPr>
          <w:rFonts w:ascii="Arial" w:hAnsi="Arial" w:cs="Arial"/>
          <w:kern w:val="1"/>
          <w:lang w:eastAsia="ar-SA"/>
        </w:rPr>
        <w:t xml:space="preserve"> dell'anno precedente, moltiplicato per la relativa tariffa forfettaria che veniva stabilita dal Legislatore per ogni utenza. </w:t>
      </w:r>
    </w:p>
    <w:p w14:paraId="70A86724"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Pertanto, fino a che vi era monopolio Tim/Telecom s.p.a. era la stessa Tim/ 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w:t>
      </w:r>
    </w:p>
    <w:p w14:paraId="0789B935" w14:textId="7BA08DFA"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lastRenderedPageBreak/>
        <w:t xml:space="preserve">Ad oggi, infatti, dai dati Agcom si rileva che le più importanti Compagnie operanti sul territorio nazionale detengono le seguenti quote di mercato: Tim/Telecom. </w:t>
      </w:r>
      <w:proofErr w:type="spellStart"/>
      <w:r>
        <w:rPr>
          <w:rFonts w:ascii="Arial" w:hAnsi="Arial" w:cs="Arial"/>
          <w:kern w:val="1"/>
          <w:lang w:eastAsia="ar-SA"/>
        </w:rPr>
        <w:t>s.p.a</w:t>
      </w:r>
      <w:proofErr w:type="spellEnd"/>
      <w:r>
        <w:rPr>
          <w:rFonts w:ascii="Arial" w:hAnsi="Arial" w:cs="Arial"/>
          <w:kern w:val="1"/>
          <w:lang w:eastAsia="ar-SA"/>
        </w:rPr>
        <w:t xml:space="preserve"> il 39,70% delle utenze del mercato nazionale, </w:t>
      </w:r>
      <w:r w:rsidRPr="00D661D9">
        <w:rPr>
          <w:rFonts w:ascii="Arial" w:hAnsi="Arial" w:cs="Arial"/>
          <w:b/>
          <w:bCs/>
          <w:kern w:val="1"/>
          <w:lang w:eastAsia="ar-SA"/>
        </w:rPr>
        <w:t xml:space="preserve">Vodafone s.p.a. il 15,9%, Fastweb </w:t>
      </w:r>
      <w:proofErr w:type="spellStart"/>
      <w:r w:rsidRPr="00D661D9">
        <w:rPr>
          <w:rFonts w:ascii="Arial" w:hAnsi="Arial" w:cs="Arial"/>
          <w:b/>
          <w:bCs/>
          <w:kern w:val="1"/>
          <w:lang w:eastAsia="ar-SA"/>
        </w:rPr>
        <w:t>s.p.a</w:t>
      </w:r>
      <w:proofErr w:type="spellEnd"/>
      <w:r w:rsidRPr="00D661D9">
        <w:rPr>
          <w:rFonts w:ascii="Arial" w:hAnsi="Arial" w:cs="Arial"/>
          <w:b/>
          <w:bCs/>
          <w:kern w:val="1"/>
          <w:lang w:eastAsia="ar-SA"/>
        </w:rPr>
        <w:t xml:space="preserve"> il 13,8% e Wind s.p.a. il 13,90% </w:t>
      </w:r>
      <w:r>
        <w:rPr>
          <w:rFonts w:ascii="Arial" w:hAnsi="Arial" w:cs="Arial"/>
          <w:kern w:val="1"/>
          <w:lang w:eastAsia="ar-SA"/>
        </w:rPr>
        <w:t xml:space="preserve">(cfr. osservatorio Agcom aggiornate al 2024 - doc. </w:t>
      </w:r>
      <w:r w:rsidR="00A91EF3">
        <w:rPr>
          <w:rFonts w:ascii="Arial" w:hAnsi="Arial" w:cs="Arial"/>
          <w:kern w:val="1"/>
          <w:lang w:eastAsia="ar-SA"/>
        </w:rPr>
        <w:t>7</w:t>
      </w:r>
      <w:r>
        <w:rPr>
          <w:rFonts w:ascii="Arial" w:hAnsi="Arial" w:cs="Arial"/>
          <w:kern w:val="1"/>
          <w:lang w:eastAsia="ar-SA"/>
        </w:rPr>
        <w:t xml:space="preserve">); le Compagnie minori si spartiscono le residue quote. </w:t>
      </w:r>
    </w:p>
    <w:p w14:paraId="4992D3BC"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b/>
          <w:bCs/>
          <w:kern w:val="1"/>
          <w:u w:val="single"/>
          <w:lang w:eastAsia="ar-SA"/>
        </w:rPr>
      </w:pPr>
      <w:r>
        <w:rPr>
          <w:rFonts w:ascii="Arial" w:hAnsi="Arial" w:cs="Arial"/>
          <w:kern w:val="1"/>
          <w:lang w:eastAsia="ar-SA"/>
        </w:rPr>
        <w:t xml:space="preserve">Tale equilibrio di mercato si riverbera, statisticamente, anche all'interno di numerosi Comuni dove, conseguentemente e parallelamente, si è rilevato uno speculare decremento delle entrate comunali proprio per la progressiva diminuzione delle utenze riconducibili all'ex monopolista </w:t>
      </w:r>
      <w:r>
        <w:rPr>
          <w:rFonts w:ascii="Arial" w:hAnsi="Arial" w:cs="Arial"/>
          <w:b/>
          <w:bCs/>
          <w:kern w:val="1"/>
          <w:u w:val="single"/>
          <w:lang w:eastAsia="ar-SA"/>
        </w:rPr>
        <w:t>Tim/Telecom s.p.a. che versa, ora, solo la quota di sua esclusiva spettanza e non già l'intero del dovuto.</w:t>
      </w:r>
    </w:p>
    <w:p w14:paraId="20D1B6F4"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w:t>
      </w:r>
      <w:r>
        <w:rPr>
          <w:rFonts w:ascii="Arial" w:hAnsi="Arial" w:cs="Arial"/>
          <w:kern w:val="1"/>
          <w:u w:val="single"/>
          <w:lang w:eastAsia="ar-SA"/>
        </w:rPr>
        <w:t>con la modifica apportata dal Legislatore in sede di Legge di bilancio 2021</w:t>
      </w:r>
      <w:r>
        <w:rPr>
          <w:rFonts w:ascii="Arial" w:hAnsi="Arial" w:cs="Arial"/>
          <w:kern w:val="1"/>
          <w:lang w:eastAsia="ar-SA"/>
        </w:rPr>
        <w:t xml:space="preserve"> </w:t>
      </w:r>
      <w:r>
        <w:rPr>
          <w:rFonts w:ascii="Arial" w:hAnsi="Arial" w:cs="Arial"/>
          <w:kern w:val="1"/>
          <w:u w:val="single"/>
          <w:lang w:eastAsia="ar-SA"/>
        </w:rPr>
        <w:t>è stato disposto che anche gli altri operatori che usufruiscono dei canali di trasmissione dati, di proprietà Tim/Telecom s.p.a., debbano versare il relativo canone</w:t>
      </w:r>
      <w:r>
        <w:rPr>
          <w:rFonts w:ascii="Arial" w:hAnsi="Arial" w:cs="Arial"/>
          <w:kern w:val="1"/>
          <w:lang w:eastAsia="ar-SA"/>
        </w:rPr>
        <w:t xml:space="preserve"> (rapportato sempre al numero di utenze a loro riconducibili) considerandoli, quindi, </w:t>
      </w:r>
      <w:r>
        <w:rPr>
          <w:rFonts w:ascii="Arial" w:hAnsi="Arial" w:cs="Arial"/>
          <w:kern w:val="1"/>
          <w:u w:val="single"/>
          <w:lang w:eastAsia="ar-SA"/>
        </w:rPr>
        <w:t>soggetti passivi in via mediata</w:t>
      </w:r>
      <w:r>
        <w:rPr>
          <w:rFonts w:ascii="Arial" w:hAnsi="Arial" w:cs="Arial"/>
          <w:kern w:val="1"/>
          <w:lang w:eastAsia="ar-SA"/>
        </w:rPr>
        <w:t xml:space="preserve"> del tributo.</w:t>
      </w:r>
    </w:p>
    <w:p w14:paraId="28647872"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Da qui l'incontestabile individuazione, da parte del Comune di Cazzano di Tramigna, in </w:t>
      </w:r>
      <w:r w:rsidRPr="00D661D9">
        <w:rPr>
          <w:rFonts w:ascii="Arial" w:hAnsi="Arial" w:cs="Arial"/>
          <w:b/>
          <w:kern w:val="1"/>
          <w:lang w:eastAsia="ar-SA"/>
        </w:rPr>
        <w:t>FASTWEB S.p.A. di uno dei soggetti passivamente tenuti al versamento del canone per cui è processo</w:t>
      </w:r>
      <w:r>
        <w:rPr>
          <w:rFonts w:ascii="Arial" w:hAnsi="Arial" w:cs="Arial"/>
          <w:kern w:val="1"/>
          <w:lang w:eastAsia="ar-SA"/>
        </w:rPr>
        <w:t>.</w:t>
      </w:r>
    </w:p>
    <w:p w14:paraId="316D8408"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u w:val="single"/>
          <w:lang w:eastAsia="ar-SA"/>
        </w:rPr>
      </w:pPr>
      <w:r>
        <w:rPr>
          <w:rFonts w:ascii="Arial" w:hAnsi="Arial" w:cs="Arial"/>
          <w:kern w:val="1"/>
          <w:lang w:eastAsia="ar-SA"/>
        </w:rPr>
        <w:t xml:space="preserve">Invero, la norma richiamata da </w:t>
      </w:r>
      <w:r>
        <w:rPr>
          <w:rFonts w:ascii="Arial" w:hAnsi="Arial" w:cs="Arial"/>
          <w:bCs/>
          <w:kern w:val="1"/>
          <w:lang w:eastAsia="ar-SA"/>
        </w:rPr>
        <w:t>FASTWEB S.p.A.</w:t>
      </w:r>
      <w:r>
        <w:rPr>
          <w:rFonts w:ascii="Arial" w:hAnsi="Arial" w:cs="Arial"/>
          <w:kern w:val="1"/>
          <w:lang w:eastAsia="ar-SA"/>
        </w:rPr>
        <w:t xml:space="preserve">, secondo la quale la casistica della condivisione delle reti, come sopra esposta, ricadrebbe nell'ambito applicativo dell'interpretazione autentica del comma 831, successivamente introdotta dal Legislatore, riguarda altra e diversa fattispecie, </w:t>
      </w:r>
      <w:r>
        <w:rPr>
          <w:rFonts w:ascii="Arial" w:hAnsi="Arial" w:cs="Arial"/>
          <w:kern w:val="1"/>
          <w:u w:val="single"/>
          <w:lang w:eastAsia="ar-SA"/>
        </w:rPr>
        <w:t>ben distinta di quella oggi portata all'attenzione del Giudice.</w:t>
      </w:r>
    </w:p>
    <w:p w14:paraId="516EFFD8"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Essa, infatti, è applicabile esclusivamente al caso in cui vi sia una </w:t>
      </w:r>
      <w:r>
        <w:rPr>
          <w:rFonts w:ascii="Arial" w:hAnsi="Arial" w:cs="Arial"/>
          <w:kern w:val="1"/>
          <w:u w:val="single"/>
          <w:lang w:eastAsia="ar-SA"/>
        </w:rPr>
        <w:t>netta separazione tra il soggetto proprietario delle infrastrutture ed il soggetto titolare del contratto di somministrazione del bene distribuito</w:t>
      </w:r>
      <w:r>
        <w:rPr>
          <w:rFonts w:ascii="Arial" w:hAnsi="Arial" w:cs="Arial"/>
          <w:kern w:val="1"/>
          <w:lang w:eastAsia="ar-SA"/>
        </w:rPr>
        <w:t xml:space="preserve"> attraverso le medesime infrastrutture.</w:t>
      </w:r>
    </w:p>
    <w:p w14:paraId="2A59F29D"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Per meglio rappresentare come la disciplina novellata, dietro la quale </w:t>
      </w:r>
      <w:r>
        <w:rPr>
          <w:rFonts w:ascii="Arial" w:hAnsi="Arial" w:cs="Arial"/>
          <w:bCs/>
          <w:kern w:val="1"/>
          <w:lang w:eastAsia="ar-SA"/>
        </w:rPr>
        <w:t xml:space="preserve">FASTWEB S.p.A. </w:t>
      </w:r>
      <w:r>
        <w:rPr>
          <w:rFonts w:ascii="Arial" w:hAnsi="Arial" w:cs="Arial"/>
          <w:kern w:val="1"/>
          <w:lang w:eastAsia="ar-SA"/>
        </w:rPr>
        <w:t xml:space="preserve">vorrebbe trincerarsi, sia applicabile a diversa casistica richiamiamo la normativa di cui all'art. 21 del </w:t>
      </w:r>
      <w:proofErr w:type="spellStart"/>
      <w:r>
        <w:rPr>
          <w:rFonts w:ascii="Arial" w:hAnsi="Arial" w:cs="Arial"/>
          <w:kern w:val="1"/>
          <w:lang w:eastAsia="ar-SA"/>
        </w:rPr>
        <w:t>D.lgs</w:t>
      </w:r>
      <w:proofErr w:type="spellEnd"/>
      <w:r>
        <w:rPr>
          <w:rFonts w:ascii="Arial" w:hAnsi="Arial" w:cs="Arial"/>
          <w:kern w:val="1"/>
          <w:lang w:eastAsia="ar-SA"/>
        </w:rPr>
        <w:t xml:space="preserve"> 23 Maggio 2000 n. 164 concernente le disposizioni di attuazione della direttiva  n. 98/30/CE inerente la </w:t>
      </w:r>
      <w:r>
        <w:rPr>
          <w:rFonts w:ascii="Arial" w:hAnsi="Arial" w:cs="Arial"/>
          <w:kern w:val="1"/>
          <w:u w:val="single"/>
          <w:lang w:eastAsia="ar-SA"/>
        </w:rPr>
        <w:t>distribuzione del gas</w:t>
      </w:r>
      <w:r>
        <w:rPr>
          <w:rFonts w:ascii="Arial" w:hAnsi="Arial" w:cs="Arial"/>
          <w:kern w:val="1"/>
          <w:lang w:eastAsia="ar-SA"/>
        </w:rPr>
        <w:t xml:space="preserve"> naturale e la normativa di cui all'art. 1 del </w:t>
      </w:r>
      <w:proofErr w:type="spellStart"/>
      <w:r>
        <w:rPr>
          <w:rFonts w:ascii="Arial" w:hAnsi="Arial" w:cs="Arial"/>
          <w:kern w:val="1"/>
          <w:lang w:eastAsia="ar-SA"/>
        </w:rPr>
        <w:t>D.lgs</w:t>
      </w:r>
      <w:proofErr w:type="spellEnd"/>
      <w:r>
        <w:rPr>
          <w:rFonts w:ascii="Arial" w:hAnsi="Arial" w:cs="Arial"/>
          <w:kern w:val="1"/>
          <w:lang w:eastAsia="ar-SA"/>
        </w:rPr>
        <w:t xml:space="preserve"> 18 Giugno 2007 n. 73 convertita in </w:t>
      </w:r>
      <w:r>
        <w:rPr>
          <w:rFonts w:ascii="Arial" w:hAnsi="Arial" w:cs="Arial"/>
          <w:kern w:val="1"/>
          <w:lang w:eastAsia="ar-SA"/>
        </w:rPr>
        <w:lastRenderedPageBreak/>
        <w:t xml:space="preserve">legge n. 125 del 3 Agosto 2007, con la quale sono state disposte “misure urgenti per l'attuazione di disposizioni comunitarie </w:t>
      </w:r>
      <w:r>
        <w:rPr>
          <w:rFonts w:ascii="Arial" w:hAnsi="Arial" w:cs="Arial"/>
          <w:kern w:val="1"/>
          <w:u w:val="single"/>
          <w:lang w:eastAsia="ar-SA"/>
        </w:rPr>
        <w:t>in materia di</w:t>
      </w:r>
      <w:r>
        <w:rPr>
          <w:rFonts w:ascii="Arial" w:hAnsi="Arial" w:cs="Arial"/>
          <w:kern w:val="1"/>
          <w:lang w:eastAsia="ar-SA"/>
        </w:rPr>
        <w:t xml:space="preserve"> </w:t>
      </w:r>
      <w:r>
        <w:rPr>
          <w:rFonts w:ascii="Arial" w:hAnsi="Arial" w:cs="Arial"/>
          <w:kern w:val="1"/>
          <w:u w:val="single"/>
          <w:lang w:eastAsia="ar-SA"/>
        </w:rPr>
        <w:t>liberalizzazione dei mercati dell'energia</w:t>
      </w:r>
      <w:r>
        <w:rPr>
          <w:rFonts w:ascii="Arial" w:hAnsi="Arial" w:cs="Arial"/>
          <w:kern w:val="1"/>
          <w:lang w:eastAsia="ar-SA"/>
        </w:rPr>
        <w:t xml:space="preserve">”.     </w:t>
      </w:r>
    </w:p>
    <w:p w14:paraId="57BD2F26" w14:textId="23BD7B50"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In tali tipi di distribuzione si assiste ad un</w:t>
      </w:r>
      <w:r w:rsidR="00E452B1">
        <w:rPr>
          <w:rFonts w:ascii="Arial" w:hAnsi="Arial" w:cs="Arial"/>
          <w:kern w:val="1"/>
          <w:lang w:eastAsia="ar-SA"/>
        </w:rPr>
        <w:t>a</w:t>
      </w:r>
      <w:r>
        <w:rPr>
          <w:rFonts w:ascii="Arial" w:hAnsi="Arial" w:cs="Arial"/>
          <w:kern w:val="1"/>
          <w:lang w:eastAsia="ar-SA"/>
        </w:rPr>
        <w:t xml:space="preserve"> </w:t>
      </w:r>
      <w:r>
        <w:rPr>
          <w:rFonts w:ascii="Arial" w:hAnsi="Arial" w:cs="Arial"/>
          <w:kern w:val="1"/>
          <w:u w:val="single"/>
          <w:lang w:eastAsia="ar-SA"/>
        </w:rPr>
        <w:t>netta separazione tra l'attività di</w:t>
      </w:r>
      <w:r>
        <w:rPr>
          <w:rFonts w:ascii="Arial" w:hAnsi="Arial" w:cs="Arial"/>
          <w:kern w:val="1"/>
          <w:lang w:eastAsia="ar-SA"/>
        </w:rPr>
        <w:t xml:space="preserve">  </w:t>
      </w:r>
      <w:r>
        <w:rPr>
          <w:rFonts w:ascii="Arial" w:hAnsi="Arial" w:cs="Arial"/>
          <w:kern w:val="1"/>
          <w:u w:val="single"/>
          <w:lang w:eastAsia="ar-SA"/>
        </w:rPr>
        <w:t>distribuzione e quella di vendita</w:t>
      </w:r>
      <w:r>
        <w:rPr>
          <w:rFonts w:ascii="Arial" w:hAnsi="Arial" w:cs="Arial"/>
          <w:kern w:val="1"/>
          <w:lang w:eastAsia="ar-SA"/>
        </w:rPr>
        <w:t xml:space="preserve"> che si concreta nel fatto che il </w:t>
      </w:r>
      <w:r>
        <w:rPr>
          <w:rFonts w:ascii="Arial" w:hAnsi="Arial" w:cs="Arial"/>
          <w:kern w:val="1"/>
          <w:u w:val="single"/>
          <w:lang w:eastAsia="ar-SA"/>
        </w:rPr>
        <w:t>gas</w:t>
      </w:r>
      <w:r>
        <w:rPr>
          <w:rFonts w:ascii="Arial" w:hAnsi="Arial" w:cs="Arial"/>
          <w:kern w:val="1"/>
          <w:lang w:eastAsia="ar-SA"/>
        </w:rPr>
        <w:t xml:space="preserve"> o l'</w:t>
      </w:r>
      <w:r>
        <w:rPr>
          <w:rFonts w:ascii="Arial" w:hAnsi="Arial" w:cs="Arial"/>
          <w:kern w:val="1"/>
          <w:u w:val="single"/>
          <w:lang w:eastAsia="ar-SA"/>
        </w:rPr>
        <w:t>energia elettrica vengono distribuiti in rete da una determinata società</w:t>
      </w:r>
      <w:r>
        <w:rPr>
          <w:rFonts w:ascii="Arial" w:hAnsi="Arial" w:cs="Arial"/>
          <w:kern w:val="1"/>
          <w:lang w:eastAsia="ar-SA"/>
        </w:rPr>
        <w:t xml:space="preserve"> (per esempio Enel Distribuzione s.p.a.) ed </w:t>
      </w:r>
      <w:r>
        <w:rPr>
          <w:rFonts w:ascii="Arial" w:hAnsi="Arial" w:cs="Arial"/>
          <w:kern w:val="1"/>
          <w:u w:val="single"/>
          <w:lang w:eastAsia="ar-SA"/>
        </w:rPr>
        <w:t xml:space="preserve">una volta che sono “transitate” nell'infrastruttura </w:t>
      </w:r>
      <w:proofErr w:type="spellStart"/>
      <w:r>
        <w:rPr>
          <w:rFonts w:ascii="Arial" w:hAnsi="Arial" w:cs="Arial"/>
          <w:kern w:val="1"/>
          <w:u w:val="single"/>
          <w:lang w:eastAsia="ar-SA"/>
        </w:rPr>
        <w:t>concessionata</w:t>
      </w:r>
      <w:proofErr w:type="spellEnd"/>
      <w:r>
        <w:rPr>
          <w:rFonts w:ascii="Arial" w:hAnsi="Arial" w:cs="Arial"/>
          <w:kern w:val="1"/>
          <w:u w:val="single"/>
          <w:lang w:eastAsia="ar-SA"/>
        </w:rPr>
        <w:t xml:space="preserve"> di proprietà esclusiva di un soggetto, vengono commercializzate da altre società</w:t>
      </w:r>
      <w:r>
        <w:rPr>
          <w:rFonts w:ascii="Arial" w:hAnsi="Arial" w:cs="Arial"/>
          <w:kern w:val="1"/>
          <w:lang w:eastAsia="ar-SA"/>
        </w:rPr>
        <w:t xml:space="preserve"> (come nel caso in esame da Enel Energia s.p.a. e/o altre società deputate alla sola vendita) per poi raggiungere l'utente finale.</w:t>
      </w:r>
    </w:p>
    <w:p w14:paraId="0FC6B4E7"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u w:val="single"/>
          <w:lang w:eastAsia="ar-SA"/>
        </w:rPr>
      </w:pPr>
      <w:r>
        <w:rPr>
          <w:rFonts w:ascii="Arial" w:hAnsi="Arial" w:cs="Arial"/>
          <w:kern w:val="1"/>
          <w:lang w:eastAsia="ar-SA"/>
        </w:rPr>
        <w:t xml:space="preserve">Ma ciò non accade nel caso e </w:t>
      </w:r>
      <w:r>
        <w:rPr>
          <w:rFonts w:ascii="Arial" w:hAnsi="Arial" w:cs="Arial"/>
          <w:kern w:val="1"/>
          <w:u w:val="single"/>
          <w:lang w:eastAsia="ar-SA"/>
        </w:rPr>
        <w:t>nel settore delle telecomunicazioni</w:t>
      </w:r>
      <w:r>
        <w:rPr>
          <w:rFonts w:ascii="Arial" w:hAnsi="Arial" w:cs="Arial"/>
          <w:kern w:val="1"/>
          <w:lang w:eastAsia="ar-SA"/>
        </w:rPr>
        <w:t xml:space="preserve"> laddove </w:t>
      </w:r>
      <w:r>
        <w:rPr>
          <w:rFonts w:ascii="Arial" w:hAnsi="Arial" w:cs="Arial"/>
          <w:kern w:val="1"/>
          <w:u w:val="single"/>
          <w:lang w:eastAsia="ar-SA"/>
        </w:rPr>
        <w:t>il</w:t>
      </w:r>
      <w:r>
        <w:rPr>
          <w:rFonts w:ascii="Arial" w:hAnsi="Arial" w:cs="Arial"/>
          <w:kern w:val="1"/>
          <w:lang w:eastAsia="ar-SA"/>
        </w:rPr>
        <w:t xml:space="preserve"> </w:t>
      </w:r>
      <w:r>
        <w:rPr>
          <w:rFonts w:ascii="Arial" w:hAnsi="Arial" w:cs="Arial"/>
          <w:kern w:val="1"/>
          <w:u w:val="single"/>
          <w:lang w:eastAsia="ar-SA"/>
        </w:rPr>
        <w:t xml:space="preserve">Legislatore </w:t>
      </w:r>
      <w:r>
        <w:rPr>
          <w:rFonts w:ascii="Arial" w:hAnsi="Arial" w:cs="Arial"/>
          <w:b/>
          <w:bCs/>
          <w:kern w:val="1"/>
          <w:u w:val="single"/>
          <w:lang w:eastAsia="ar-SA"/>
        </w:rPr>
        <w:t>non impone una separazione</w:t>
      </w:r>
      <w:r>
        <w:rPr>
          <w:rFonts w:ascii="Arial" w:hAnsi="Arial" w:cs="Arial"/>
          <w:kern w:val="1"/>
          <w:lang w:eastAsia="ar-SA"/>
        </w:rPr>
        <w:t xml:space="preserve"> tra soggetto fornitore e soggetto che poi effettivamente vende il prodotto (come nel richiamato caso di gas od energia elettrica), </w:t>
      </w:r>
      <w:r>
        <w:rPr>
          <w:rFonts w:ascii="Arial" w:hAnsi="Arial" w:cs="Arial"/>
          <w:kern w:val="1"/>
          <w:u w:val="single"/>
          <w:lang w:eastAsia="ar-SA"/>
        </w:rPr>
        <w:t>ma anzi impone e normativamente incentiva la condivisione delle</w:t>
      </w:r>
      <w:r>
        <w:rPr>
          <w:rFonts w:ascii="Arial" w:hAnsi="Arial" w:cs="Arial"/>
          <w:kern w:val="1"/>
          <w:lang w:eastAsia="ar-SA"/>
        </w:rPr>
        <w:t xml:space="preserve"> </w:t>
      </w:r>
      <w:r>
        <w:rPr>
          <w:rFonts w:ascii="Arial" w:hAnsi="Arial" w:cs="Arial"/>
          <w:kern w:val="1"/>
          <w:u w:val="single"/>
          <w:lang w:eastAsia="ar-SA"/>
        </w:rPr>
        <w:t>reti/infrastrutture</w:t>
      </w:r>
      <w:r>
        <w:rPr>
          <w:rFonts w:ascii="Arial" w:hAnsi="Arial" w:cs="Arial"/>
          <w:kern w:val="1"/>
          <w:lang w:eastAsia="ar-SA"/>
        </w:rPr>
        <w:t xml:space="preserve"> e ciò anche in attuazione di precise direttive comunitarie.</w:t>
      </w:r>
    </w:p>
    <w:p w14:paraId="5516AB34"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u w:val="single"/>
          <w:lang w:eastAsia="ar-SA"/>
        </w:rPr>
        <w:t>Questa è la ragione</w:t>
      </w:r>
      <w:r>
        <w:rPr>
          <w:rFonts w:ascii="Arial" w:hAnsi="Arial" w:cs="Arial"/>
          <w:kern w:val="1"/>
          <w:lang w:eastAsia="ar-SA"/>
        </w:rPr>
        <w:t xml:space="preserve"> per la quale il Legislatore ha appositamente previsto, per questa sola ipotesi di condivisione delle infrastrutture, il concetto applicativo di </w:t>
      </w:r>
      <w:r>
        <w:rPr>
          <w:rFonts w:ascii="Arial" w:hAnsi="Arial" w:cs="Arial"/>
          <w:kern w:val="1"/>
          <w:u w:val="single"/>
          <w:lang w:eastAsia="ar-SA"/>
        </w:rPr>
        <w:t>soggettività passiva mediata</w:t>
      </w:r>
      <w:r>
        <w:rPr>
          <w:rFonts w:ascii="Arial" w:hAnsi="Arial" w:cs="Arial"/>
          <w:kern w:val="1"/>
          <w:lang w:eastAsia="ar-SA"/>
        </w:rPr>
        <w:t>.</w:t>
      </w:r>
    </w:p>
    <w:p w14:paraId="61B2C6F3"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Con la conseguenza che la normativa di cui all'art. </w:t>
      </w:r>
      <w:r>
        <w:rPr>
          <w:rFonts w:ascii="Arial" w:hAnsi="Arial" w:cs="Arial"/>
          <w:kern w:val="1"/>
          <w:u w:val="single"/>
          <w:lang w:eastAsia="ar-SA"/>
        </w:rPr>
        <w:t xml:space="preserve">5 comma 14 </w:t>
      </w:r>
      <w:r>
        <w:rPr>
          <w:rFonts w:ascii="Arial" w:hAnsi="Arial" w:cs="Arial"/>
          <w:i/>
          <w:iCs/>
          <w:kern w:val="1"/>
          <w:u w:val="single"/>
          <w:lang w:eastAsia="ar-SA"/>
        </w:rPr>
        <w:t>quinquies</w:t>
      </w:r>
      <w:r>
        <w:rPr>
          <w:rFonts w:ascii="Arial" w:hAnsi="Arial" w:cs="Arial"/>
          <w:kern w:val="1"/>
          <w:lang w:eastAsia="ar-SA"/>
        </w:rPr>
        <w:t xml:space="preserve"> </w:t>
      </w:r>
      <w:r>
        <w:rPr>
          <w:rFonts w:ascii="Arial" w:hAnsi="Arial" w:cs="Arial"/>
          <w:kern w:val="1"/>
          <w:u w:val="single"/>
          <w:lang w:eastAsia="ar-SA"/>
        </w:rPr>
        <w:t>del D.L. 146/2021,</w:t>
      </w:r>
      <w:r>
        <w:rPr>
          <w:rFonts w:ascii="Arial" w:hAnsi="Arial" w:cs="Arial"/>
          <w:kern w:val="1"/>
          <w:lang w:eastAsia="ar-SA"/>
        </w:rPr>
        <w:t xml:space="preserve"> richiamata da </w:t>
      </w:r>
      <w:r>
        <w:rPr>
          <w:rFonts w:ascii="Arial" w:hAnsi="Arial" w:cs="Arial"/>
          <w:bCs/>
          <w:kern w:val="1"/>
          <w:lang w:eastAsia="ar-SA"/>
        </w:rPr>
        <w:t>FASTWEB S.p.A.</w:t>
      </w:r>
      <w:r>
        <w:rPr>
          <w:rFonts w:ascii="Arial" w:hAnsi="Arial" w:cs="Arial"/>
          <w:kern w:val="1"/>
          <w:lang w:eastAsia="ar-SA"/>
        </w:rPr>
        <w:t xml:space="preserve">, </w:t>
      </w:r>
      <w:r>
        <w:rPr>
          <w:rFonts w:ascii="Arial" w:hAnsi="Arial" w:cs="Arial"/>
          <w:kern w:val="1"/>
          <w:u w:val="single"/>
          <w:lang w:eastAsia="ar-SA"/>
        </w:rPr>
        <w:t>è applicabile e/o riferibile esclusivamente ai casi in cui si deve attuare, per legge, una fisica separazione tra il soggetto titolare dell'infrastruttura ed il soggetto titolare del contratto di vendita del bene che, poi, distribuirà al cliente finale</w:t>
      </w:r>
      <w:r>
        <w:rPr>
          <w:rFonts w:ascii="Arial" w:hAnsi="Arial" w:cs="Arial"/>
          <w:kern w:val="1"/>
          <w:lang w:eastAsia="ar-SA"/>
        </w:rPr>
        <w:t>.</w:t>
      </w:r>
    </w:p>
    <w:p w14:paraId="2287490C"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Inoltre, con la novella dell'anno 2021 il Legislatore nuovamente intervenendo nella disciplina di cui al comma 831 ha stabilito che: “</w:t>
      </w:r>
      <w:r>
        <w:rPr>
          <w:rFonts w:ascii="Arial" w:hAnsi="Arial" w:cs="Arial"/>
          <w:i/>
          <w:iCs/>
          <w:kern w:val="1"/>
          <w:lang w:eastAsia="ar-SA"/>
        </w:rPr>
        <w:t xml:space="preserve">il comma 831 dell'articolo 1 della Legge 27 dicembre 2019 n. 160 si interpreta nel senso che: a) per le occupazioni permanenti di suolo pubblico effettuate nei settori </w:t>
      </w:r>
      <w:r w:rsidRPr="00D661D9">
        <w:rPr>
          <w:rFonts w:ascii="Arial" w:hAnsi="Arial" w:cs="Arial"/>
          <w:b/>
          <w:bCs/>
          <w:i/>
          <w:iCs/>
          <w:kern w:val="1"/>
          <w:u w:val="single"/>
          <w:lang w:eastAsia="ar-SA"/>
        </w:rPr>
        <w:t>in cui è prevista una separazione</w:t>
      </w:r>
      <w:r>
        <w:rPr>
          <w:rFonts w:ascii="Arial" w:hAnsi="Arial" w:cs="Arial"/>
          <w:i/>
          <w:iCs/>
          <w:kern w:val="1"/>
          <w:lang w:eastAsia="ar-SA"/>
        </w:rPr>
        <w:t xml:space="preserve">, in ragione di assetti normativi regolamentari o contrattuali </w:t>
      </w:r>
      <w:r w:rsidRPr="00D661D9">
        <w:rPr>
          <w:rFonts w:ascii="Arial" w:hAnsi="Arial" w:cs="Arial"/>
          <w:b/>
          <w:bCs/>
          <w:i/>
          <w:iCs/>
          <w:kern w:val="1"/>
          <w:u w:val="single"/>
          <w:lang w:eastAsia="ar-SA"/>
        </w:rPr>
        <w:t>tra i soggetti titolari delle infrastrutture ed i soggetti titolari del contratto di vendita del bene distribuito alla clientela</w:t>
      </w:r>
      <w:r w:rsidRPr="00D661D9">
        <w:rPr>
          <w:rFonts w:ascii="Arial" w:hAnsi="Arial" w:cs="Arial"/>
          <w:b/>
          <w:bCs/>
          <w:i/>
          <w:iCs/>
          <w:kern w:val="1"/>
          <w:lang w:eastAsia="ar-SA"/>
        </w:rPr>
        <w:t xml:space="preserve"> finale, </w:t>
      </w:r>
      <w:r w:rsidRPr="00D661D9">
        <w:rPr>
          <w:rFonts w:ascii="Arial" w:hAnsi="Arial" w:cs="Arial"/>
          <w:b/>
          <w:bCs/>
          <w:i/>
          <w:iCs/>
          <w:kern w:val="1"/>
          <w:u w:val="single"/>
          <w:lang w:eastAsia="ar-SA"/>
        </w:rPr>
        <w:t>non configurandosi alcuna occupazione in via mediata</w:t>
      </w:r>
      <w:r>
        <w:rPr>
          <w:rFonts w:ascii="Arial" w:hAnsi="Arial" w:cs="Arial"/>
          <w:i/>
          <w:iCs/>
          <w:kern w:val="1"/>
          <w:lang w:eastAsia="ar-SA"/>
        </w:rPr>
        <w:t xml:space="preserve"> ed alcun utilizzo materiale delle infrastrutture da parte della società di vendita, </w:t>
      </w:r>
      <w:r w:rsidRPr="00D661D9">
        <w:rPr>
          <w:rFonts w:ascii="Arial" w:hAnsi="Arial" w:cs="Arial"/>
          <w:b/>
          <w:bCs/>
          <w:i/>
          <w:iCs/>
          <w:kern w:val="1"/>
          <w:u w:val="single"/>
          <w:lang w:eastAsia="ar-SA"/>
        </w:rPr>
        <w:t>il canone è dovuto esclusivamente dal soggetto titolare</w:t>
      </w:r>
      <w:r w:rsidRPr="00D661D9">
        <w:rPr>
          <w:rFonts w:ascii="Arial" w:hAnsi="Arial" w:cs="Arial"/>
          <w:b/>
          <w:bCs/>
          <w:i/>
          <w:iCs/>
          <w:kern w:val="1"/>
          <w:lang w:eastAsia="ar-SA"/>
        </w:rPr>
        <w:t xml:space="preserve"> </w:t>
      </w:r>
      <w:r w:rsidRPr="00D661D9">
        <w:rPr>
          <w:rFonts w:ascii="Arial" w:hAnsi="Arial" w:cs="Arial"/>
          <w:b/>
          <w:bCs/>
          <w:i/>
          <w:iCs/>
          <w:kern w:val="1"/>
          <w:u w:val="single"/>
          <w:lang w:eastAsia="ar-SA"/>
        </w:rPr>
        <w:t>dell'atto concessione</w:t>
      </w:r>
      <w:r>
        <w:rPr>
          <w:rFonts w:ascii="Arial" w:hAnsi="Arial" w:cs="Arial"/>
          <w:i/>
          <w:iCs/>
          <w:kern w:val="1"/>
          <w:lang w:eastAsia="ar-SA"/>
        </w:rPr>
        <w:t xml:space="preserve"> delle infrastrutture, in base alle utenze delle predette società di vendita”.</w:t>
      </w:r>
    </w:p>
    <w:p w14:paraId="3B0A12FF"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sidRPr="00D661D9">
        <w:rPr>
          <w:rFonts w:ascii="Arial" w:hAnsi="Arial" w:cs="Arial"/>
          <w:b/>
          <w:bCs/>
          <w:kern w:val="1"/>
          <w:lang w:eastAsia="ar-SA"/>
        </w:rPr>
        <w:t>MA</w:t>
      </w:r>
      <w:r>
        <w:rPr>
          <w:rFonts w:ascii="Arial" w:hAnsi="Arial" w:cs="Arial"/>
          <w:kern w:val="1"/>
          <w:lang w:eastAsia="ar-SA"/>
        </w:rPr>
        <w:t xml:space="preserve"> questa è norma, come anticipato, </w:t>
      </w:r>
      <w:r>
        <w:rPr>
          <w:rFonts w:ascii="Arial" w:hAnsi="Arial" w:cs="Arial"/>
          <w:kern w:val="1"/>
          <w:u w:val="single"/>
          <w:lang w:eastAsia="ar-SA"/>
        </w:rPr>
        <w:t>valevole solo per i mercati di</w:t>
      </w:r>
      <w:r>
        <w:rPr>
          <w:rFonts w:ascii="Arial" w:hAnsi="Arial" w:cs="Arial"/>
          <w:kern w:val="1"/>
          <w:lang w:eastAsia="ar-SA"/>
        </w:rPr>
        <w:t xml:space="preserve"> vendita/commercializzazione del </w:t>
      </w:r>
      <w:r>
        <w:rPr>
          <w:rFonts w:ascii="Arial" w:hAnsi="Arial" w:cs="Arial"/>
          <w:kern w:val="1"/>
          <w:u w:val="single"/>
          <w:lang w:eastAsia="ar-SA"/>
        </w:rPr>
        <w:t xml:space="preserve">gas e dell'energia elettrica e </w:t>
      </w:r>
      <w:r w:rsidRPr="00D661D9">
        <w:rPr>
          <w:rFonts w:ascii="Arial" w:hAnsi="Arial" w:cs="Arial"/>
          <w:b/>
          <w:bCs/>
          <w:kern w:val="1"/>
          <w:u w:val="single"/>
          <w:lang w:eastAsia="ar-SA"/>
        </w:rPr>
        <w:t xml:space="preserve">non già per il settore </w:t>
      </w:r>
      <w:r w:rsidRPr="00D661D9">
        <w:rPr>
          <w:rFonts w:ascii="Arial" w:hAnsi="Arial" w:cs="Arial"/>
          <w:b/>
          <w:bCs/>
          <w:kern w:val="1"/>
          <w:u w:val="single"/>
          <w:lang w:eastAsia="ar-SA"/>
        </w:rPr>
        <w:lastRenderedPageBreak/>
        <w:t>della telefonia</w:t>
      </w:r>
      <w:r w:rsidRPr="00D661D9">
        <w:rPr>
          <w:rFonts w:ascii="Arial" w:hAnsi="Arial" w:cs="Arial"/>
          <w:b/>
          <w:bCs/>
          <w:kern w:val="1"/>
          <w:lang w:eastAsia="ar-SA"/>
        </w:rPr>
        <w:t xml:space="preserve"> </w:t>
      </w:r>
      <w:r>
        <w:rPr>
          <w:rFonts w:ascii="Arial" w:hAnsi="Arial" w:cs="Arial"/>
          <w:kern w:val="1"/>
          <w:lang w:eastAsia="ar-SA"/>
        </w:rPr>
        <w:t xml:space="preserve">e trasmissione dati </w:t>
      </w:r>
      <w:r>
        <w:rPr>
          <w:rFonts w:ascii="Arial" w:hAnsi="Arial" w:cs="Arial"/>
          <w:kern w:val="1"/>
          <w:u w:val="single"/>
          <w:lang w:eastAsia="ar-SA"/>
        </w:rPr>
        <w:t>nel quale</w:t>
      </w:r>
      <w:r>
        <w:rPr>
          <w:rFonts w:ascii="Arial" w:hAnsi="Arial" w:cs="Arial"/>
          <w:kern w:val="1"/>
          <w:lang w:eastAsia="ar-SA"/>
        </w:rPr>
        <w:t xml:space="preserve">, non solo per espressa volontà normativa nazionale ma anche per volontà comunitaria, </w:t>
      </w:r>
      <w:r>
        <w:rPr>
          <w:rFonts w:ascii="Arial" w:hAnsi="Arial" w:cs="Arial"/>
          <w:kern w:val="1"/>
          <w:u w:val="single"/>
          <w:lang w:eastAsia="ar-SA"/>
        </w:rPr>
        <w:t>deve esistere</w:t>
      </w:r>
      <w:r>
        <w:rPr>
          <w:rFonts w:ascii="Arial" w:hAnsi="Arial" w:cs="Arial"/>
          <w:kern w:val="1"/>
          <w:lang w:eastAsia="ar-SA"/>
        </w:rPr>
        <w:t xml:space="preserve">, come in effetti esiste, </w:t>
      </w:r>
      <w:r>
        <w:rPr>
          <w:rFonts w:ascii="Arial" w:hAnsi="Arial" w:cs="Arial"/>
          <w:b/>
          <w:bCs/>
          <w:kern w:val="1"/>
          <w:u w:val="single"/>
          <w:lang w:eastAsia="ar-SA"/>
        </w:rPr>
        <w:t>condivisione</w:t>
      </w:r>
      <w:r>
        <w:rPr>
          <w:rFonts w:ascii="Arial" w:hAnsi="Arial" w:cs="Arial"/>
          <w:kern w:val="1"/>
          <w:u w:val="single"/>
          <w:lang w:eastAsia="ar-SA"/>
        </w:rPr>
        <w:t xml:space="preserve"> delle infrastrutture e delle reti</w:t>
      </w:r>
      <w:r>
        <w:rPr>
          <w:rFonts w:ascii="Arial" w:hAnsi="Arial" w:cs="Arial"/>
          <w:kern w:val="1"/>
          <w:lang w:eastAsia="ar-SA"/>
        </w:rPr>
        <w:t>.</w:t>
      </w:r>
    </w:p>
    <w:p w14:paraId="180A5ABF" w14:textId="77777777" w:rsidR="00D661D9" w:rsidRPr="00D661D9" w:rsidRDefault="00B9260A" w:rsidP="00D661D9">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Del resto, è la stessa </w:t>
      </w:r>
      <w:r>
        <w:rPr>
          <w:rFonts w:ascii="Arial" w:hAnsi="Arial" w:cs="Arial"/>
          <w:bCs/>
          <w:kern w:val="1"/>
          <w:lang w:eastAsia="ar-SA"/>
        </w:rPr>
        <w:t xml:space="preserve">FASTWEB S.p.A. </w:t>
      </w:r>
      <w:r>
        <w:rPr>
          <w:rFonts w:ascii="Arial" w:hAnsi="Arial" w:cs="Arial"/>
          <w:kern w:val="1"/>
          <w:lang w:eastAsia="ar-SA"/>
        </w:rPr>
        <w:t xml:space="preserve">nella narrativa del proprio atto (pagg. 5-8) a descrivere le modalità operative di condivisione delle infrastrutture e le modalità tecnica di collegamento </w:t>
      </w:r>
      <w:r w:rsidR="00D661D9" w:rsidRPr="00D661D9">
        <w:rPr>
          <w:rFonts w:ascii="Arial" w:hAnsi="Arial" w:cs="Arial"/>
          <w:b/>
          <w:bCs/>
          <w:kern w:val="1"/>
          <w:lang w:eastAsia="ar-SA"/>
        </w:rPr>
        <w:t>che prevede che l'operatore sia presente non sul territorio comunale, né nella centrale TIM prossima alle abitazioni da servire, bensì esclusivamente in un Punto di Interconnessione (PDI) collocato a monte, a livello di area o macroarea</w:t>
      </w:r>
      <w:r w:rsidR="00D661D9" w:rsidRPr="00D661D9">
        <w:rPr>
          <w:rFonts w:ascii="Arial" w:hAnsi="Arial" w:cs="Arial"/>
          <w:kern w:val="1"/>
          <w:lang w:eastAsia="ar-SA"/>
        </w:rPr>
        <w:t>. Attraverso tale modalità 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all'operatore presso il Punto di Interconnessione, tramite appositi apparati L2 ("Kit di Consegna") dedicati all'operatore che ne ha fatto richiesta.</w:t>
      </w:r>
    </w:p>
    <w:p w14:paraId="49EA843B" w14:textId="77777777" w:rsidR="00B9260A" w:rsidRPr="00F53384" w:rsidRDefault="00B9260A" w:rsidP="00B9260A">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La natura stessa dell'infrastruttura vuole, quindi, una compresenza di più operatori che agiscono sulla/nella rete Tim/Telecom s.p.a. che utilizza, anch'essa, la rete insieme ai suoi competitors; </w:t>
      </w:r>
      <w:r>
        <w:rPr>
          <w:rFonts w:ascii="Arial" w:hAnsi="Arial" w:cs="Arial"/>
          <w:kern w:val="1"/>
          <w:u w:val="single"/>
          <w:lang w:eastAsia="ar-SA"/>
        </w:rPr>
        <w:t>ciò differentemente da quanto accade nel caso delle società proprietarie della rete di distribuzione del gas o dell'energia elettrica che non possono, per legge, direttamente vendere il prodotto agli utenti finali,</w:t>
      </w:r>
      <w:r>
        <w:rPr>
          <w:rFonts w:ascii="Arial" w:hAnsi="Arial" w:cs="Arial"/>
          <w:kern w:val="1"/>
          <w:lang w:eastAsia="ar-SA"/>
        </w:rPr>
        <w:t xml:space="preserve"> dovendosi invece rivolgere ad altre società che effettuano (solo loro) la vendita, per commercializzare il prodotto veicolato nelle proprie infrastrutture (gas /energia elettrica). </w:t>
      </w:r>
    </w:p>
    <w:p w14:paraId="44DFBA1A" w14:textId="77777777" w:rsidR="00B9260A" w:rsidRPr="00F53384" w:rsidRDefault="00B9260A" w:rsidP="00B9260A">
      <w:pPr>
        <w:spacing w:line="360" w:lineRule="auto"/>
        <w:ind w:firstLine="709"/>
        <w:rPr>
          <w:rFonts w:ascii="Arial" w:eastAsia="Calibri" w:hAnsi="Arial" w:cs="Arial"/>
        </w:rPr>
      </w:pPr>
      <w:r>
        <w:rPr>
          <w:rFonts w:ascii="Arial" w:eastAsia="Calibri" w:hAnsi="Arial" w:cs="Arial"/>
        </w:rPr>
        <w:t>Di seguito uno schema riassuntivo sulla differenza di utilizzo della rete tra le società di TLC e le società che commercializzano Gas ed Energia</w:t>
      </w:r>
    </w:p>
    <w:p w14:paraId="55F35C26" w14:textId="77777777" w:rsidR="00B9260A" w:rsidRDefault="00B9260A" w:rsidP="00B9260A">
      <w:pPr>
        <w:spacing w:line="360" w:lineRule="auto"/>
        <w:ind w:firstLine="709"/>
        <w:rPr>
          <w:rFonts w:ascii="Arial" w:eastAsia="Calibri" w:hAnsi="Arial" w:cs="Arial"/>
        </w:rPr>
      </w:pPr>
    </w:p>
    <w:tbl>
      <w:tblPr>
        <w:tblW w:w="9888" w:type="dxa"/>
        <w:jc w:val="center"/>
        <w:tblCellMar>
          <w:left w:w="70" w:type="dxa"/>
          <w:right w:w="70" w:type="dxa"/>
        </w:tblCellMar>
        <w:tblLook w:val="04A0" w:firstRow="1" w:lastRow="0" w:firstColumn="1" w:lastColumn="0" w:noHBand="0" w:noVBand="1"/>
      </w:tblPr>
      <w:tblGrid>
        <w:gridCol w:w="2593"/>
        <w:gridCol w:w="3617"/>
        <w:gridCol w:w="3678"/>
      </w:tblGrid>
      <w:tr w:rsidR="00851464" w14:paraId="719DB810" w14:textId="77777777" w:rsidTr="00851464">
        <w:trPr>
          <w:trHeight w:val="541"/>
          <w:jc w:val="center"/>
        </w:trPr>
        <w:tc>
          <w:tcPr>
            <w:tcW w:w="9888" w:type="dxa"/>
            <w:gridSpan w:val="3"/>
            <w:tcBorders>
              <w:top w:val="single" w:sz="8" w:space="0" w:color="1F4E79"/>
              <w:left w:val="single" w:sz="8" w:space="0" w:color="1F4E79"/>
              <w:bottom w:val="single" w:sz="8" w:space="0" w:color="1F4E79"/>
              <w:right w:val="single" w:sz="8" w:space="0" w:color="1F4E79"/>
            </w:tcBorders>
            <w:shd w:val="clear" w:color="000000" w:fill="1F4E79"/>
            <w:vAlign w:val="center"/>
            <w:hideMark/>
          </w:tcPr>
          <w:p w14:paraId="0EC9DFDC" w14:textId="59195F31" w:rsidR="00851464" w:rsidRDefault="00851464">
            <w:pPr>
              <w:jc w:val="center"/>
              <w:rPr>
                <w:rFonts w:ascii="Arial" w:hAnsi="Arial" w:cs="Arial"/>
                <w:b/>
                <w:bCs/>
                <w:color w:val="FFFFFF"/>
              </w:rPr>
            </w:pPr>
            <w:r>
              <w:rPr>
                <w:rFonts w:ascii="Arial" w:hAnsi="Arial" w:cs="Arial"/>
                <w:b/>
                <w:bCs/>
                <w:color w:val="FFFFFF"/>
              </w:rPr>
              <w:t xml:space="preserve">SERVIZI DI RETE — Schema comparativo </w:t>
            </w:r>
          </w:p>
        </w:tc>
      </w:tr>
      <w:tr w:rsidR="00851464" w14:paraId="284DAA77" w14:textId="77777777" w:rsidTr="00851464">
        <w:trPr>
          <w:trHeight w:val="606"/>
          <w:jc w:val="center"/>
        </w:trPr>
        <w:tc>
          <w:tcPr>
            <w:tcW w:w="2593" w:type="dxa"/>
            <w:tcBorders>
              <w:top w:val="single" w:sz="4" w:space="0" w:color="BFBFBF"/>
              <w:left w:val="single" w:sz="4" w:space="0" w:color="BFBFBF"/>
              <w:bottom w:val="single" w:sz="4" w:space="0" w:color="BFBFBF"/>
              <w:right w:val="single" w:sz="4" w:space="0" w:color="BFBFBF"/>
            </w:tcBorders>
            <w:shd w:val="clear" w:color="000000" w:fill="1F4E79"/>
            <w:vAlign w:val="center"/>
            <w:hideMark/>
          </w:tcPr>
          <w:p w14:paraId="4AAB200B" w14:textId="77777777" w:rsidR="00851464" w:rsidRDefault="00851464">
            <w:pPr>
              <w:jc w:val="center"/>
              <w:rPr>
                <w:rFonts w:ascii="Arial" w:hAnsi="Arial" w:cs="Arial"/>
                <w:b/>
                <w:bCs/>
                <w:color w:val="FFFFFF"/>
                <w:sz w:val="20"/>
                <w:szCs w:val="20"/>
              </w:rPr>
            </w:pPr>
            <w:r>
              <w:rPr>
                <w:rFonts w:ascii="Arial" w:hAnsi="Arial" w:cs="Arial"/>
                <w:b/>
                <w:bCs/>
                <w:color w:val="FFFFFF"/>
                <w:sz w:val="20"/>
                <w:szCs w:val="20"/>
              </w:rPr>
              <w:t>CRITERIO</w:t>
            </w:r>
          </w:p>
        </w:tc>
        <w:tc>
          <w:tcPr>
            <w:tcW w:w="3617" w:type="dxa"/>
            <w:tcBorders>
              <w:top w:val="single" w:sz="4" w:space="0" w:color="BFBFBF"/>
              <w:left w:val="nil"/>
              <w:bottom w:val="single" w:sz="4" w:space="0" w:color="BFBFBF"/>
              <w:right w:val="single" w:sz="4" w:space="0" w:color="BFBFBF"/>
            </w:tcBorders>
            <w:shd w:val="clear" w:color="000000" w:fill="2E75B6"/>
            <w:vAlign w:val="center"/>
            <w:hideMark/>
          </w:tcPr>
          <w:p w14:paraId="21F924EF" w14:textId="77777777" w:rsidR="00851464" w:rsidRDefault="00851464">
            <w:pPr>
              <w:jc w:val="center"/>
              <w:rPr>
                <w:rFonts w:ascii="Arial" w:hAnsi="Arial" w:cs="Arial"/>
                <w:b/>
                <w:bCs/>
                <w:color w:val="FFFFFF"/>
                <w:sz w:val="20"/>
                <w:szCs w:val="20"/>
              </w:rPr>
            </w:pPr>
            <w:r>
              <w:rPr>
                <w:rFonts w:ascii="Arial" w:hAnsi="Arial" w:cs="Arial"/>
                <w:b/>
                <w:bCs/>
                <w:color w:val="FFFFFF"/>
                <w:sz w:val="20"/>
                <w:szCs w:val="20"/>
              </w:rPr>
              <w:t>Società Telefoniche</w:t>
            </w:r>
            <w:r>
              <w:rPr>
                <w:rFonts w:ascii="Arial" w:hAnsi="Arial" w:cs="Arial"/>
                <w:b/>
                <w:bCs/>
                <w:color w:val="FFFFFF"/>
                <w:sz w:val="20"/>
                <w:szCs w:val="20"/>
              </w:rPr>
              <w:br/>
              <w:t>Uso mediato delle reti</w:t>
            </w:r>
          </w:p>
        </w:tc>
        <w:tc>
          <w:tcPr>
            <w:tcW w:w="3678" w:type="dxa"/>
            <w:tcBorders>
              <w:top w:val="single" w:sz="4" w:space="0" w:color="BFBFBF"/>
              <w:left w:val="nil"/>
              <w:bottom w:val="single" w:sz="4" w:space="0" w:color="BFBFBF"/>
              <w:right w:val="single" w:sz="4" w:space="0" w:color="BFBFBF"/>
            </w:tcBorders>
            <w:shd w:val="clear" w:color="000000" w:fill="C55A11"/>
            <w:vAlign w:val="center"/>
            <w:hideMark/>
          </w:tcPr>
          <w:p w14:paraId="6E0A9D9E" w14:textId="77777777" w:rsidR="00851464" w:rsidRDefault="00851464">
            <w:pPr>
              <w:jc w:val="center"/>
              <w:rPr>
                <w:rFonts w:ascii="Arial" w:hAnsi="Arial" w:cs="Arial"/>
                <w:b/>
                <w:bCs/>
                <w:color w:val="FFFFFF"/>
                <w:sz w:val="20"/>
                <w:szCs w:val="20"/>
              </w:rPr>
            </w:pPr>
            <w:r>
              <w:rPr>
                <w:rFonts w:ascii="Arial" w:hAnsi="Arial" w:cs="Arial"/>
                <w:b/>
                <w:bCs/>
                <w:color w:val="FFFFFF"/>
                <w:sz w:val="20"/>
                <w:szCs w:val="20"/>
              </w:rPr>
              <w:t>Società di vendita gas/energia</w:t>
            </w:r>
            <w:r>
              <w:rPr>
                <w:rFonts w:ascii="Arial" w:hAnsi="Arial" w:cs="Arial"/>
                <w:b/>
                <w:bCs/>
                <w:color w:val="FFFFFF"/>
                <w:sz w:val="20"/>
                <w:szCs w:val="20"/>
              </w:rPr>
              <w:br/>
              <w:t>Nessun uso delle reti</w:t>
            </w:r>
          </w:p>
        </w:tc>
      </w:tr>
      <w:tr w:rsidR="00851464" w14:paraId="2E025EDA" w14:textId="77777777" w:rsidTr="00851464">
        <w:trPr>
          <w:trHeight w:val="948"/>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469158A5" w14:textId="77777777" w:rsidR="00851464" w:rsidRDefault="00851464">
            <w:pPr>
              <w:rPr>
                <w:rFonts w:ascii="Arial" w:hAnsi="Arial" w:cs="Arial"/>
                <w:b/>
                <w:bCs/>
                <w:color w:val="1F4E79"/>
                <w:sz w:val="20"/>
                <w:szCs w:val="20"/>
              </w:rPr>
            </w:pPr>
            <w:r>
              <w:rPr>
                <w:rFonts w:ascii="Arial" w:hAnsi="Arial" w:cs="Arial"/>
                <w:b/>
                <w:bCs/>
                <w:color w:val="1F4E79"/>
                <w:sz w:val="20"/>
                <w:szCs w:val="20"/>
              </w:rPr>
              <w:t>Cosa passa nella rete</w:t>
            </w:r>
          </w:p>
        </w:tc>
        <w:tc>
          <w:tcPr>
            <w:tcW w:w="3617" w:type="dxa"/>
            <w:tcBorders>
              <w:top w:val="nil"/>
              <w:left w:val="nil"/>
              <w:bottom w:val="single" w:sz="4" w:space="0" w:color="BFBFBF"/>
              <w:right w:val="single" w:sz="4" w:space="0" w:color="BFBFBF"/>
            </w:tcBorders>
            <w:shd w:val="clear" w:color="000000" w:fill="D6E4F0"/>
            <w:vAlign w:val="center"/>
            <w:hideMark/>
          </w:tcPr>
          <w:p w14:paraId="655D009F" w14:textId="77777777" w:rsidR="00851464" w:rsidRDefault="00851464">
            <w:pPr>
              <w:jc w:val="center"/>
              <w:rPr>
                <w:rFonts w:ascii="Arial" w:hAnsi="Arial" w:cs="Arial"/>
                <w:color w:val="1F4E79"/>
                <w:sz w:val="20"/>
                <w:szCs w:val="20"/>
              </w:rPr>
            </w:pPr>
          </w:p>
          <w:p w14:paraId="3EA24FC4" w14:textId="5AFADF7F" w:rsidR="00851464" w:rsidRDefault="00851464">
            <w:pPr>
              <w:jc w:val="center"/>
              <w:rPr>
                <w:rFonts w:ascii="Arial" w:hAnsi="Arial" w:cs="Arial"/>
                <w:color w:val="1F4E79"/>
                <w:sz w:val="20"/>
                <w:szCs w:val="20"/>
              </w:rPr>
            </w:pPr>
            <w:r>
              <w:rPr>
                <w:rFonts w:ascii="Arial" w:hAnsi="Arial" w:cs="Arial"/>
                <w:color w:val="1F4E79"/>
                <w:sz w:val="20"/>
                <w:szCs w:val="20"/>
              </w:rPr>
              <w:t>Oltre al segnale del concessionario, anche il segnale delle altre società operatori (Wind, Vodafone, FASTWEB ecc.)</w:t>
            </w:r>
          </w:p>
          <w:p w14:paraId="2CD588D2" w14:textId="77777777" w:rsidR="00851464" w:rsidRDefault="00851464">
            <w:pPr>
              <w:jc w:val="center"/>
              <w:rPr>
                <w:rFonts w:ascii="Arial" w:hAnsi="Arial" w:cs="Arial"/>
                <w:color w:val="1F4E79"/>
                <w:sz w:val="20"/>
                <w:szCs w:val="20"/>
              </w:rPr>
            </w:pPr>
          </w:p>
          <w:p w14:paraId="51027B5F" w14:textId="77777777" w:rsidR="00851464" w:rsidRDefault="00851464">
            <w:pPr>
              <w:jc w:val="center"/>
              <w:rPr>
                <w:rFonts w:ascii="Arial" w:hAnsi="Arial" w:cs="Arial"/>
                <w:color w:val="1F4E79"/>
                <w:sz w:val="20"/>
                <w:szCs w:val="20"/>
              </w:rPr>
            </w:pPr>
          </w:p>
        </w:tc>
        <w:tc>
          <w:tcPr>
            <w:tcW w:w="3678" w:type="dxa"/>
            <w:tcBorders>
              <w:top w:val="nil"/>
              <w:left w:val="nil"/>
              <w:bottom w:val="single" w:sz="4" w:space="0" w:color="BFBFBF"/>
              <w:right w:val="single" w:sz="4" w:space="0" w:color="BFBFBF"/>
            </w:tcBorders>
            <w:shd w:val="clear" w:color="000000" w:fill="FCE4D6"/>
            <w:vAlign w:val="center"/>
            <w:hideMark/>
          </w:tcPr>
          <w:p w14:paraId="6743C5A6" w14:textId="77777777" w:rsidR="00851464" w:rsidRDefault="00851464">
            <w:pPr>
              <w:jc w:val="center"/>
              <w:rPr>
                <w:rFonts w:ascii="Arial" w:hAnsi="Arial" w:cs="Arial"/>
                <w:color w:val="843D03"/>
                <w:sz w:val="20"/>
                <w:szCs w:val="20"/>
              </w:rPr>
            </w:pPr>
            <w:r>
              <w:rPr>
                <w:rFonts w:ascii="Arial" w:hAnsi="Arial" w:cs="Arial"/>
                <w:color w:val="843D03"/>
                <w:sz w:val="20"/>
                <w:szCs w:val="20"/>
              </w:rPr>
              <w:t>Gas riconducibile solo al gestore della rete</w:t>
            </w:r>
          </w:p>
        </w:tc>
      </w:tr>
      <w:tr w:rsidR="00851464" w14:paraId="5ACCCCF3" w14:textId="77777777" w:rsidTr="00851464">
        <w:trPr>
          <w:trHeight w:val="572"/>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2BFD9A1A" w14:textId="77777777" w:rsidR="00851464" w:rsidRDefault="00851464">
            <w:pPr>
              <w:rPr>
                <w:rFonts w:ascii="Arial" w:hAnsi="Arial" w:cs="Arial"/>
                <w:b/>
                <w:bCs/>
                <w:color w:val="1F4E79"/>
                <w:sz w:val="20"/>
                <w:szCs w:val="20"/>
              </w:rPr>
            </w:pPr>
            <w:r>
              <w:rPr>
                <w:rFonts w:ascii="Arial" w:hAnsi="Arial" w:cs="Arial"/>
                <w:b/>
                <w:bCs/>
                <w:color w:val="1F4E79"/>
                <w:sz w:val="20"/>
                <w:szCs w:val="20"/>
              </w:rPr>
              <w:t>Titolarità del contenuto trasportato</w:t>
            </w:r>
          </w:p>
        </w:tc>
        <w:tc>
          <w:tcPr>
            <w:tcW w:w="3617" w:type="dxa"/>
            <w:tcBorders>
              <w:top w:val="nil"/>
              <w:left w:val="nil"/>
              <w:bottom w:val="single" w:sz="4" w:space="0" w:color="BFBFBF"/>
              <w:right w:val="single" w:sz="4" w:space="0" w:color="BFBFBF"/>
            </w:tcBorders>
            <w:shd w:val="clear" w:color="000000" w:fill="EBF5FB"/>
            <w:vAlign w:val="center"/>
            <w:hideMark/>
          </w:tcPr>
          <w:p w14:paraId="5B6243F5" w14:textId="77777777" w:rsidR="00851464" w:rsidRDefault="00851464">
            <w:pPr>
              <w:jc w:val="center"/>
              <w:rPr>
                <w:rFonts w:ascii="Arial" w:hAnsi="Arial" w:cs="Arial"/>
                <w:color w:val="1F4E79"/>
                <w:sz w:val="20"/>
                <w:szCs w:val="20"/>
              </w:rPr>
            </w:pPr>
          </w:p>
          <w:p w14:paraId="326A1EFA" w14:textId="16EE9F4E" w:rsidR="00851464" w:rsidRDefault="00851464">
            <w:pPr>
              <w:jc w:val="center"/>
              <w:rPr>
                <w:rFonts w:ascii="Arial" w:hAnsi="Arial" w:cs="Arial"/>
                <w:color w:val="1F4E79"/>
                <w:sz w:val="20"/>
                <w:szCs w:val="20"/>
              </w:rPr>
            </w:pPr>
            <w:r>
              <w:rPr>
                <w:rFonts w:ascii="Arial" w:hAnsi="Arial" w:cs="Arial"/>
                <w:color w:val="1F4E79"/>
                <w:sz w:val="20"/>
                <w:szCs w:val="20"/>
              </w:rPr>
              <w:t>Società Telefoniche (Wind, Vodafone, FASTWEB ecc.)</w:t>
            </w:r>
          </w:p>
          <w:p w14:paraId="3B0DA72B" w14:textId="77777777" w:rsidR="00851464" w:rsidRDefault="00851464">
            <w:pPr>
              <w:jc w:val="center"/>
              <w:rPr>
                <w:rFonts w:ascii="Arial" w:hAnsi="Arial" w:cs="Arial"/>
                <w:color w:val="1F4E79"/>
                <w:sz w:val="20"/>
                <w:szCs w:val="20"/>
              </w:rPr>
            </w:pPr>
          </w:p>
        </w:tc>
        <w:tc>
          <w:tcPr>
            <w:tcW w:w="3678" w:type="dxa"/>
            <w:tcBorders>
              <w:top w:val="nil"/>
              <w:left w:val="nil"/>
              <w:bottom w:val="single" w:sz="4" w:space="0" w:color="BFBFBF"/>
              <w:right w:val="single" w:sz="4" w:space="0" w:color="BFBFBF"/>
            </w:tcBorders>
            <w:shd w:val="clear" w:color="000000" w:fill="FEF3EE"/>
            <w:vAlign w:val="center"/>
            <w:hideMark/>
          </w:tcPr>
          <w:p w14:paraId="15D300A7" w14:textId="77777777" w:rsidR="00851464" w:rsidRDefault="00851464">
            <w:pPr>
              <w:jc w:val="center"/>
              <w:rPr>
                <w:rFonts w:ascii="Arial" w:hAnsi="Arial" w:cs="Arial"/>
                <w:color w:val="843D03"/>
                <w:sz w:val="20"/>
                <w:szCs w:val="20"/>
              </w:rPr>
            </w:pPr>
            <w:r>
              <w:rPr>
                <w:rFonts w:ascii="Arial" w:hAnsi="Arial" w:cs="Arial"/>
                <w:color w:val="843D03"/>
                <w:sz w:val="20"/>
                <w:szCs w:val="20"/>
              </w:rPr>
              <w:t>Gestore della rete</w:t>
            </w:r>
          </w:p>
        </w:tc>
      </w:tr>
      <w:tr w:rsidR="00851464" w14:paraId="6F305398" w14:textId="77777777" w:rsidTr="00851464">
        <w:trPr>
          <w:trHeight w:val="572"/>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7DDF6EA6" w14:textId="77777777" w:rsidR="00851464" w:rsidRDefault="00851464">
            <w:pPr>
              <w:rPr>
                <w:rFonts w:ascii="Arial" w:hAnsi="Arial" w:cs="Arial"/>
                <w:b/>
                <w:bCs/>
                <w:color w:val="1F4E79"/>
                <w:sz w:val="20"/>
                <w:szCs w:val="20"/>
              </w:rPr>
            </w:pPr>
            <w:r>
              <w:rPr>
                <w:rFonts w:ascii="Arial" w:hAnsi="Arial" w:cs="Arial"/>
                <w:b/>
                <w:bCs/>
                <w:color w:val="1F4E79"/>
                <w:sz w:val="20"/>
                <w:szCs w:val="20"/>
              </w:rPr>
              <w:t>Ruolo del soggetto</w:t>
            </w:r>
          </w:p>
        </w:tc>
        <w:tc>
          <w:tcPr>
            <w:tcW w:w="3617" w:type="dxa"/>
            <w:tcBorders>
              <w:top w:val="nil"/>
              <w:left w:val="nil"/>
              <w:bottom w:val="single" w:sz="4" w:space="0" w:color="BFBFBF"/>
              <w:right w:val="single" w:sz="4" w:space="0" w:color="BFBFBF"/>
            </w:tcBorders>
            <w:shd w:val="clear" w:color="000000" w:fill="D6E4F0"/>
            <w:vAlign w:val="center"/>
            <w:hideMark/>
          </w:tcPr>
          <w:p w14:paraId="22BB7DA8" w14:textId="77777777" w:rsidR="00851464" w:rsidRDefault="00851464">
            <w:pPr>
              <w:jc w:val="center"/>
              <w:rPr>
                <w:rFonts w:ascii="Arial" w:hAnsi="Arial" w:cs="Arial"/>
                <w:color w:val="1F4E79"/>
                <w:sz w:val="20"/>
                <w:szCs w:val="20"/>
              </w:rPr>
            </w:pPr>
          </w:p>
          <w:p w14:paraId="42A55000" w14:textId="63D5F8ED" w:rsidR="00851464" w:rsidRDefault="00851464">
            <w:pPr>
              <w:jc w:val="center"/>
              <w:rPr>
                <w:rFonts w:ascii="Arial" w:hAnsi="Arial" w:cs="Arial"/>
                <w:color w:val="1F4E79"/>
                <w:sz w:val="20"/>
                <w:szCs w:val="20"/>
              </w:rPr>
            </w:pPr>
            <w:r>
              <w:rPr>
                <w:rFonts w:ascii="Arial" w:hAnsi="Arial" w:cs="Arial"/>
                <w:color w:val="1F4E79"/>
                <w:sz w:val="20"/>
                <w:szCs w:val="20"/>
              </w:rPr>
              <w:t>Fornitore del servizio e utilizzatore dell'infrastruttura</w:t>
            </w:r>
          </w:p>
          <w:p w14:paraId="0D7AF10E" w14:textId="77777777" w:rsidR="00851464" w:rsidRDefault="00851464">
            <w:pPr>
              <w:jc w:val="center"/>
              <w:rPr>
                <w:rFonts w:ascii="Arial" w:hAnsi="Arial" w:cs="Arial"/>
                <w:color w:val="1F4E79"/>
                <w:sz w:val="20"/>
                <w:szCs w:val="20"/>
              </w:rPr>
            </w:pPr>
          </w:p>
          <w:p w14:paraId="7FA4D77A" w14:textId="77777777" w:rsidR="00851464" w:rsidRDefault="00851464">
            <w:pPr>
              <w:jc w:val="center"/>
              <w:rPr>
                <w:rFonts w:ascii="Arial" w:hAnsi="Arial" w:cs="Arial"/>
                <w:color w:val="1F4E79"/>
                <w:sz w:val="20"/>
                <w:szCs w:val="20"/>
              </w:rPr>
            </w:pPr>
          </w:p>
        </w:tc>
        <w:tc>
          <w:tcPr>
            <w:tcW w:w="3678" w:type="dxa"/>
            <w:tcBorders>
              <w:top w:val="nil"/>
              <w:left w:val="nil"/>
              <w:bottom w:val="single" w:sz="4" w:space="0" w:color="BFBFBF"/>
              <w:right w:val="single" w:sz="4" w:space="0" w:color="BFBFBF"/>
            </w:tcBorders>
            <w:shd w:val="clear" w:color="000000" w:fill="FCE4D6"/>
            <w:vAlign w:val="center"/>
            <w:hideMark/>
          </w:tcPr>
          <w:p w14:paraId="71EB6937" w14:textId="77777777" w:rsidR="00851464" w:rsidRDefault="00851464">
            <w:pPr>
              <w:jc w:val="center"/>
              <w:rPr>
                <w:rFonts w:ascii="Arial" w:hAnsi="Arial" w:cs="Arial"/>
                <w:color w:val="843D03"/>
                <w:sz w:val="20"/>
                <w:szCs w:val="20"/>
              </w:rPr>
            </w:pPr>
            <w:r>
              <w:rPr>
                <w:rFonts w:ascii="Arial" w:hAnsi="Arial" w:cs="Arial"/>
                <w:color w:val="843D03"/>
                <w:sz w:val="20"/>
                <w:szCs w:val="20"/>
              </w:rPr>
              <w:t>Venditore commerciale del prodotto</w:t>
            </w:r>
          </w:p>
        </w:tc>
      </w:tr>
      <w:tr w:rsidR="00851464" w14:paraId="5300EE69" w14:textId="77777777" w:rsidTr="00851464">
        <w:trPr>
          <w:trHeight w:val="572"/>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2C03EEB9" w14:textId="77777777" w:rsidR="00851464" w:rsidRDefault="00851464">
            <w:pPr>
              <w:rPr>
                <w:rFonts w:ascii="Arial" w:hAnsi="Arial" w:cs="Arial"/>
                <w:b/>
                <w:bCs/>
                <w:color w:val="1F4E79"/>
                <w:sz w:val="20"/>
                <w:szCs w:val="20"/>
              </w:rPr>
            </w:pPr>
            <w:r>
              <w:rPr>
                <w:rFonts w:ascii="Arial" w:hAnsi="Arial" w:cs="Arial"/>
                <w:b/>
                <w:bCs/>
                <w:color w:val="1F4E79"/>
                <w:sz w:val="20"/>
                <w:szCs w:val="20"/>
              </w:rPr>
              <w:lastRenderedPageBreak/>
              <w:t>Rapporto con il suolo pubblico</w:t>
            </w:r>
          </w:p>
        </w:tc>
        <w:tc>
          <w:tcPr>
            <w:tcW w:w="3617" w:type="dxa"/>
            <w:tcBorders>
              <w:top w:val="nil"/>
              <w:left w:val="nil"/>
              <w:bottom w:val="single" w:sz="4" w:space="0" w:color="BFBFBF"/>
              <w:right w:val="single" w:sz="4" w:space="0" w:color="BFBFBF"/>
            </w:tcBorders>
            <w:shd w:val="clear" w:color="000000" w:fill="EBF5FB"/>
            <w:vAlign w:val="center"/>
            <w:hideMark/>
          </w:tcPr>
          <w:p w14:paraId="2DE9F677" w14:textId="77777777" w:rsidR="00851464" w:rsidRDefault="00851464">
            <w:pPr>
              <w:jc w:val="center"/>
              <w:rPr>
                <w:rFonts w:ascii="Arial" w:hAnsi="Arial" w:cs="Arial"/>
                <w:color w:val="1F4E79"/>
                <w:sz w:val="20"/>
                <w:szCs w:val="20"/>
              </w:rPr>
            </w:pPr>
            <w:r>
              <w:rPr>
                <w:rFonts w:ascii="Arial" w:hAnsi="Arial" w:cs="Arial"/>
                <w:color w:val="1F4E79"/>
                <w:sz w:val="20"/>
                <w:szCs w:val="20"/>
              </w:rPr>
              <w:t>Concreto, funzionale, strumentale</w:t>
            </w:r>
          </w:p>
        </w:tc>
        <w:tc>
          <w:tcPr>
            <w:tcW w:w="3678" w:type="dxa"/>
            <w:tcBorders>
              <w:top w:val="nil"/>
              <w:left w:val="nil"/>
              <w:bottom w:val="single" w:sz="4" w:space="0" w:color="BFBFBF"/>
              <w:right w:val="single" w:sz="4" w:space="0" w:color="BFBFBF"/>
            </w:tcBorders>
            <w:shd w:val="clear" w:color="000000" w:fill="FEF3EE"/>
            <w:vAlign w:val="center"/>
            <w:hideMark/>
          </w:tcPr>
          <w:p w14:paraId="03A1031C" w14:textId="77777777" w:rsidR="00851464" w:rsidRDefault="00851464">
            <w:pPr>
              <w:jc w:val="center"/>
              <w:rPr>
                <w:rFonts w:ascii="Arial" w:hAnsi="Arial" w:cs="Arial"/>
                <w:color w:val="843D03"/>
                <w:sz w:val="20"/>
                <w:szCs w:val="20"/>
              </w:rPr>
            </w:pPr>
            <w:r>
              <w:rPr>
                <w:rFonts w:ascii="Arial" w:hAnsi="Arial" w:cs="Arial"/>
                <w:color w:val="843D03"/>
                <w:sz w:val="20"/>
                <w:szCs w:val="20"/>
              </w:rPr>
              <w:t>Assente</w:t>
            </w:r>
          </w:p>
        </w:tc>
      </w:tr>
      <w:tr w:rsidR="00851464" w14:paraId="5629841C" w14:textId="77777777" w:rsidTr="00851464">
        <w:trPr>
          <w:trHeight w:val="572"/>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65C7168C" w14:textId="77777777" w:rsidR="00851464" w:rsidRDefault="00851464">
            <w:pPr>
              <w:rPr>
                <w:rFonts w:ascii="Arial" w:hAnsi="Arial" w:cs="Arial"/>
                <w:b/>
                <w:bCs/>
                <w:color w:val="1F4E79"/>
                <w:sz w:val="20"/>
                <w:szCs w:val="20"/>
              </w:rPr>
            </w:pPr>
            <w:r>
              <w:rPr>
                <w:rFonts w:ascii="Arial" w:hAnsi="Arial" w:cs="Arial"/>
                <w:b/>
                <w:bCs/>
                <w:color w:val="1F4E79"/>
                <w:sz w:val="20"/>
                <w:szCs w:val="20"/>
              </w:rPr>
              <w:t>Tipo di attività</w:t>
            </w:r>
          </w:p>
        </w:tc>
        <w:tc>
          <w:tcPr>
            <w:tcW w:w="3617" w:type="dxa"/>
            <w:tcBorders>
              <w:top w:val="nil"/>
              <w:left w:val="nil"/>
              <w:bottom w:val="single" w:sz="4" w:space="0" w:color="BFBFBF"/>
              <w:right w:val="single" w:sz="4" w:space="0" w:color="BFBFBF"/>
            </w:tcBorders>
            <w:shd w:val="clear" w:color="000000" w:fill="D6E4F0"/>
            <w:vAlign w:val="center"/>
            <w:hideMark/>
          </w:tcPr>
          <w:p w14:paraId="21B8E1FC" w14:textId="77777777" w:rsidR="00851464" w:rsidRDefault="00851464">
            <w:pPr>
              <w:jc w:val="center"/>
              <w:rPr>
                <w:rFonts w:ascii="Arial" w:hAnsi="Arial" w:cs="Arial"/>
                <w:color w:val="1F4E79"/>
                <w:sz w:val="20"/>
                <w:szCs w:val="20"/>
              </w:rPr>
            </w:pPr>
            <w:r>
              <w:rPr>
                <w:rFonts w:ascii="Arial" w:hAnsi="Arial" w:cs="Arial"/>
                <w:color w:val="1F4E79"/>
                <w:sz w:val="20"/>
                <w:szCs w:val="20"/>
              </w:rPr>
              <w:t>Tecnica + commerciale</w:t>
            </w:r>
          </w:p>
        </w:tc>
        <w:tc>
          <w:tcPr>
            <w:tcW w:w="3678" w:type="dxa"/>
            <w:tcBorders>
              <w:top w:val="nil"/>
              <w:left w:val="nil"/>
              <w:bottom w:val="single" w:sz="4" w:space="0" w:color="BFBFBF"/>
              <w:right w:val="single" w:sz="4" w:space="0" w:color="BFBFBF"/>
            </w:tcBorders>
            <w:shd w:val="clear" w:color="000000" w:fill="FCE4D6"/>
            <w:vAlign w:val="center"/>
            <w:hideMark/>
          </w:tcPr>
          <w:p w14:paraId="4CC25451" w14:textId="77777777" w:rsidR="00851464" w:rsidRDefault="00851464">
            <w:pPr>
              <w:jc w:val="center"/>
              <w:rPr>
                <w:rFonts w:ascii="Arial" w:hAnsi="Arial" w:cs="Arial"/>
                <w:color w:val="843D03"/>
                <w:sz w:val="20"/>
                <w:szCs w:val="20"/>
              </w:rPr>
            </w:pPr>
            <w:r>
              <w:rPr>
                <w:rFonts w:ascii="Arial" w:hAnsi="Arial" w:cs="Arial"/>
                <w:color w:val="843D03"/>
                <w:sz w:val="20"/>
                <w:szCs w:val="20"/>
              </w:rPr>
              <w:t>Solo commerciale</w:t>
            </w:r>
          </w:p>
        </w:tc>
      </w:tr>
      <w:tr w:rsidR="00851464" w14:paraId="51992B3C" w14:textId="77777777" w:rsidTr="00851464">
        <w:trPr>
          <w:trHeight w:val="572"/>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11BE1A77" w14:textId="77777777" w:rsidR="00851464" w:rsidRDefault="00851464">
            <w:pPr>
              <w:rPr>
                <w:rFonts w:ascii="Arial" w:hAnsi="Arial" w:cs="Arial"/>
                <w:b/>
                <w:bCs/>
                <w:color w:val="1F4E79"/>
                <w:sz w:val="20"/>
                <w:szCs w:val="20"/>
              </w:rPr>
            </w:pPr>
            <w:r>
              <w:rPr>
                <w:rFonts w:ascii="Arial" w:hAnsi="Arial" w:cs="Arial"/>
                <w:b/>
                <w:bCs/>
                <w:color w:val="1F4E79"/>
                <w:sz w:val="20"/>
                <w:szCs w:val="20"/>
              </w:rPr>
              <w:t>Uso della rete</w:t>
            </w:r>
          </w:p>
        </w:tc>
        <w:tc>
          <w:tcPr>
            <w:tcW w:w="3617" w:type="dxa"/>
            <w:tcBorders>
              <w:top w:val="nil"/>
              <w:left w:val="nil"/>
              <w:bottom w:val="single" w:sz="4" w:space="0" w:color="BFBFBF"/>
              <w:right w:val="single" w:sz="4" w:space="0" w:color="BFBFBF"/>
            </w:tcBorders>
            <w:shd w:val="clear" w:color="000000" w:fill="EBF5FB"/>
            <w:vAlign w:val="center"/>
            <w:hideMark/>
          </w:tcPr>
          <w:p w14:paraId="4509F71C" w14:textId="77777777" w:rsidR="00851464" w:rsidRDefault="00851464">
            <w:pPr>
              <w:jc w:val="center"/>
              <w:rPr>
                <w:rFonts w:ascii="Arial" w:hAnsi="Arial" w:cs="Arial"/>
                <w:b/>
                <w:bCs/>
                <w:color w:val="1A5276"/>
                <w:sz w:val="20"/>
                <w:szCs w:val="20"/>
              </w:rPr>
            </w:pPr>
            <w:r>
              <w:rPr>
                <w:rFonts w:ascii="Arial" w:hAnsi="Arial" w:cs="Arial"/>
                <w:b/>
                <w:bCs/>
                <w:color w:val="1A5276"/>
                <w:sz w:val="20"/>
                <w:szCs w:val="20"/>
              </w:rPr>
              <w:t>SÌ</w:t>
            </w:r>
          </w:p>
        </w:tc>
        <w:tc>
          <w:tcPr>
            <w:tcW w:w="3678" w:type="dxa"/>
            <w:tcBorders>
              <w:top w:val="nil"/>
              <w:left w:val="nil"/>
              <w:bottom w:val="single" w:sz="4" w:space="0" w:color="BFBFBF"/>
              <w:right w:val="single" w:sz="4" w:space="0" w:color="BFBFBF"/>
            </w:tcBorders>
            <w:shd w:val="clear" w:color="000000" w:fill="FEF3EE"/>
            <w:vAlign w:val="center"/>
            <w:hideMark/>
          </w:tcPr>
          <w:p w14:paraId="2A59C9A3" w14:textId="77777777" w:rsidR="00851464" w:rsidRDefault="00851464">
            <w:pPr>
              <w:jc w:val="center"/>
              <w:rPr>
                <w:rFonts w:ascii="Arial" w:hAnsi="Arial" w:cs="Arial"/>
                <w:b/>
                <w:bCs/>
                <w:color w:val="843D03"/>
                <w:sz w:val="20"/>
                <w:szCs w:val="20"/>
              </w:rPr>
            </w:pPr>
            <w:r>
              <w:rPr>
                <w:rFonts w:ascii="Arial" w:hAnsi="Arial" w:cs="Arial"/>
                <w:b/>
                <w:bCs/>
                <w:color w:val="843D03"/>
                <w:sz w:val="20"/>
                <w:szCs w:val="20"/>
              </w:rPr>
              <w:t>NO</w:t>
            </w:r>
          </w:p>
        </w:tc>
      </w:tr>
      <w:tr w:rsidR="00851464" w14:paraId="6DA76C73" w14:textId="77777777" w:rsidTr="00851464">
        <w:trPr>
          <w:trHeight w:val="2108"/>
          <w:jc w:val="center"/>
        </w:trPr>
        <w:tc>
          <w:tcPr>
            <w:tcW w:w="2593" w:type="dxa"/>
            <w:tcBorders>
              <w:top w:val="nil"/>
              <w:left w:val="single" w:sz="4" w:space="0" w:color="BFBFBF"/>
              <w:bottom w:val="single" w:sz="4" w:space="0" w:color="BFBFBF"/>
              <w:right w:val="single" w:sz="4" w:space="0" w:color="BFBFBF"/>
            </w:tcBorders>
            <w:shd w:val="clear" w:color="000000" w:fill="DEEAF1"/>
            <w:vAlign w:val="center"/>
            <w:hideMark/>
          </w:tcPr>
          <w:p w14:paraId="7C1C7F66" w14:textId="77777777" w:rsidR="00851464" w:rsidRDefault="00851464">
            <w:pPr>
              <w:rPr>
                <w:rFonts w:ascii="Arial" w:hAnsi="Arial" w:cs="Arial"/>
                <w:b/>
                <w:bCs/>
                <w:color w:val="1F4E79"/>
                <w:sz w:val="20"/>
                <w:szCs w:val="20"/>
              </w:rPr>
            </w:pPr>
            <w:r>
              <w:rPr>
                <w:rFonts w:ascii="Arial" w:hAnsi="Arial" w:cs="Arial"/>
                <w:b/>
                <w:bCs/>
                <w:color w:val="1F4E79"/>
                <w:sz w:val="20"/>
                <w:szCs w:val="20"/>
              </w:rPr>
              <w:t>Qualificazione giuridica</w:t>
            </w:r>
          </w:p>
        </w:tc>
        <w:tc>
          <w:tcPr>
            <w:tcW w:w="3617" w:type="dxa"/>
            <w:tcBorders>
              <w:top w:val="nil"/>
              <w:left w:val="nil"/>
              <w:bottom w:val="single" w:sz="4" w:space="0" w:color="BFBFBF"/>
              <w:right w:val="single" w:sz="4" w:space="0" w:color="BFBFBF"/>
            </w:tcBorders>
            <w:shd w:val="clear" w:color="000000" w:fill="D6E4F0"/>
            <w:vAlign w:val="center"/>
            <w:hideMark/>
          </w:tcPr>
          <w:p w14:paraId="6C506DC1" w14:textId="77777777" w:rsidR="00851464" w:rsidRDefault="00851464">
            <w:pPr>
              <w:jc w:val="center"/>
              <w:rPr>
                <w:rFonts w:ascii="Arial" w:hAnsi="Arial" w:cs="Arial"/>
                <w:b/>
                <w:bCs/>
                <w:color w:val="1A5276"/>
                <w:sz w:val="20"/>
                <w:szCs w:val="20"/>
              </w:rPr>
            </w:pPr>
            <w:r>
              <w:rPr>
                <w:rFonts w:ascii="Arial" w:hAnsi="Arial" w:cs="Arial"/>
                <w:b/>
                <w:bCs/>
                <w:color w:val="1A5276"/>
                <w:sz w:val="20"/>
                <w:szCs w:val="20"/>
              </w:rPr>
              <w:t>Uso mediato della rete</w:t>
            </w:r>
            <w:r>
              <w:rPr>
                <w:rFonts w:ascii="Arial" w:hAnsi="Arial" w:cs="Arial"/>
                <w:b/>
                <w:bCs/>
                <w:color w:val="1A5276"/>
                <w:sz w:val="20"/>
                <w:szCs w:val="20"/>
              </w:rPr>
              <w:br/>
              <w:t>→ soggettività passiva CUP</w:t>
            </w:r>
          </w:p>
        </w:tc>
        <w:tc>
          <w:tcPr>
            <w:tcW w:w="3678" w:type="dxa"/>
            <w:tcBorders>
              <w:top w:val="nil"/>
              <w:left w:val="nil"/>
              <w:bottom w:val="single" w:sz="4" w:space="0" w:color="BFBFBF"/>
              <w:right w:val="single" w:sz="4" w:space="0" w:color="BFBFBF"/>
            </w:tcBorders>
            <w:shd w:val="clear" w:color="000000" w:fill="FCE4D6"/>
            <w:vAlign w:val="center"/>
            <w:hideMark/>
          </w:tcPr>
          <w:p w14:paraId="648F6F23" w14:textId="77777777" w:rsidR="00851464" w:rsidRDefault="00851464">
            <w:pPr>
              <w:jc w:val="center"/>
              <w:rPr>
                <w:rFonts w:ascii="Arial" w:hAnsi="Arial" w:cs="Arial"/>
                <w:b/>
                <w:bCs/>
                <w:color w:val="843D03"/>
                <w:sz w:val="20"/>
                <w:szCs w:val="20"/>
              </w:rPr>
            </w:pPr>
            <w:r>
              <w:rPr>
                <w:rFonts w:ascii="Arial" w:hAnsi="Arial" w:cs="Arial"/>
                <w:b/>
                <w:bCs/>
                <w:color w:val="843D03"/>
                <w:sz w:val="20"/>
                <w:szCs w:val="20"/>
              </w:rPr>
              <w:t>Nessun uso della rete</w:t>
            </w:r>
            <w:r>
              <w:rPr>
                <w:rFonts w:ascii="Arial" w:hAnsi="Arial" w:cs="Arial"/>
                <w:b/>
                <w:bCs/>
                <w:color w:val="843D03"/>
                <w:sz w:val="20"/>
                <w:szCs w:val="20"/>
              </w:rPr>
              <w:br/>
              <w:t>→ escluso dalla soggettività passiva</w:t>
            </w:r>
          </w:p>
        </w:tc>
      </w:tr>
    </w:tbl>
    <w:p w14:paraId="23F80066" w14:textId="77777777" w:rsidR="00851464" w:rsidRDefault="00851464" w:rsidP="00B9260A">
      <w:pPr>
        <w:spacing w:line="360" w:lineRule="auto"/>
        <w:ind w:firstLine="709"/>
        <w:rPr>
          <w:rFonts w:ascii="Arial" w:eastAsia="Calibri" w:hAnsi="Arial" w:cs="Arial"/>
        </w:rPr>
      </w:pPr>
    </w:p>
    <w:p w14:paraId="2B715994" w14:textId="77777777" w:rsidR="00B674B9" w:rsidRPr="00B674B9" w:rsidRDefault="00B9260A" w:rsidP="00B674B9">
      <w:pPr>
        <w:spacing w:line="360" w:lineRule="auto"/>
        <w:contextualSpacing/>
        <w:jc w:val="both"/>
        <w:rPr>
          <w:rFonts w:ascii="Arial" w:hAnsi="Arial" w:cs="Arial"/>
        </w:rPr>
      </w:pPr>
      <w:r>
        <w:rPr>
          <w:rFonts w:ascii="Arial" w:eastAsia="Calibri" w:hAnsi="Arial" w:cs="Arial"/>
        </w:rPr>
        <w:t xml:space="preserve"> </w:t>
      </w:r>
      <w:r w:rsidR="00B674B9" w:rsidRPr="00B674B9">
        <w:rPr>
          <w:rFonts w:ascii="Arial" w:hAnsi="Arial" w:cs="Arial"/>
        </w:rPr>
        <w:t xml:space="preserve">Conferma quanto fin qui rilevato la più recente giurisprudenza in materia nell’ambito delle telecomunicazioni; fra tante si richiama la recentissima sentenza resa dal </w:t>
      </w:r>
      <w:r w:rsidR="00B674B9" w:rsidRPr="00B674B9">
        <w:rPr>
          <w:rFonts w:ascii="Arial" w:hAnsi="Arial" w:cs="Arial"/>
          <w:b/>
          <w:bCs/>
          <w:u w:val="single"/>
        </w:rPr>
        <w:t>TRIBUNALE DI BERGAMO n. 1523 del 25.11.2025 proprio contro FASTWEB S.p.A., nonché ancor più di recente TRIBUNALE DI BERGAMO 289 del 21.03.2026 proprio contro VODAFONE, ed ancora Tribunale di Treviso n. 240/2025 pubblicata il 20/02/2025, resa in appello, e la sentenza del Tribunale di Piacenza n. 207 del 06.05.2025. Che vengono indicate tra le altre per le puntuali motivazioni addotte, ed infatti:</w:t>
      </w:r>
    </w:p>
    <w:p w14:paraId="368654AA" w14:textId="77777777" w:rsidR="00B674B9" w:rsidRPr="00B674B9" w:rsidRDefault="00B674B9" w:rsidP="00B674B9">
      <w:pPr>
        <w:spacing w:line="360" w:lineRule="auto"/>
        <w:ind w:firstLine="708"/>
        <w:contextualSpacing/>
        <w:rPr>
          <w:rFonts w:ascii="Arial" w:eastAsia="Arial" w:hAnsi="Arial" w:cs="Arial"/>
        </w:rPr>
      </w:pPr>
      <w:r w:rsidRPr="00B674B9">
        <w:rPr>
          <w:rFonts w:ascii="Arial" w:hAnsi="Arial" w:cs="Arial"/>
        </w:rPr>
        <w:tab/>
      </w:r>
      <w:r w:rsidRPr="00B674B9">
        <w:rPr>
          <w:rFonts w:ascii="Arial" w:eastAsia="Arial" w:hAnsi="Arial" w:cs="Arial"/>
        </w:rPr>
        <w:t>Il Giudice di Bergamo ha così precisato:</w:t>
      </w:r>
    </w:p>
    <w:p w14:paraId="5A6AC5B0" w14:textId="77777777" w:rsidR="00B674B9" w:rsidRPr="00B674B9" w:rsidRDefault="00B674B9" w:rsidP="00B674B9">
      <w:pPr>
        <w:spacing w:line="360" w:lineRule="auto"/>
        <w:ind w:firstLine="709"/>
        <w:contextualSpacing/>
        <w:jc w:val="both"/>
        <w:rPr>
          <w:rFonts w:ascii="Arial" w:eastAsia="Arial" w:hAnsi="Arial" w:cs="Arial"/>
          <w:iCs/>
        </w:rPr>
      </w:pPr>
      <w:r w:rsidRPr="00B674B9">
        <w:rPr>
          <w:rFonts w:ascii="Arial" w:eastAsia="Arial" w:hAnsi="Arial" w:cs="Arial"/>
          <w:i/>
          <w:iCs/>
        </w:rPr>
        <w:t xml:space="preserve">“La norma nel testo attualmente vigente dispone: il canone è dovuto dal soggetto titolare dell’atto di concessione dell’occupazione del suolo pubblico e dai soggetti che occupano il suolo pubblico, </w:t>
      </w:r>
      <w:r w:rsidRPr="00B674B9">
        <w:rPr>
          <w:rFonts w:ascii="Arial" w:eastAsia="Arial" w:hAnsi="Arial" w:cs="Arial"/>
          <w:b/>
          <w:bCs/>
          <w:i/>
          <w:iCs/>
        </w:rPr>
        <w:t>anche in via mediata, attraverso l’utilizzo materiale delle infrastrutture del soggetto titolare della concessione</w:t>
      </w:r>
      <w:r w:rsidRPr="00B674B9">
        <w:rPr>
          <w:rFonts w:ascii="Arial" w:eastAsia="Arial" w:hAnsi="Arial" w:cs="Arial"/>
          <w:i/>
          <w:iCs/>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w:t>
      </w:r>
      <w:r w:rsidRPr="00B674B9">
        <w:rPr>
          <w:rFonts w:ascii="Arial" w:eastAsia="Arial" w:hAnsi="Arial" w:cs="Arial"/>
          <w:i/>
          <w:iCs/>
        </w:rPr>
        <w:lastRenderedPageBreak/>
        <w:t xml:space="preserve">di Tim/Telecom spa si ritiene che essa rientri fra i soggetti obbligati contemplati dalla norma e soggetto tenuto al pagamento (conforme sul punto Tribunale di Piacenza n. 207/2025; Tribunale Treviso n. 240/2025)”. TRIBUNALE DI BERGAMO n. 1523 del 25.11.2025 </w:t>
      </w:r>
      <w:r w:rsidRPr="00B674B9">
        <w:rPr>
          <w:rFonts w:ascii="Arial" w:eastAsia="Arial" w:hAnsi="Arial" w:cs="Arial"/>
          <w:iCs/>
        </w:rPr>
        <w:t>(</w:t>
      </w:r>
      <w:r w:rsidRPr="00B674B9">
        <w:rPr>
          <w:rFonts w:ascii="Arial" w:eastAsia="Arial" w:hAnsi="Arial" w:cs="Arial"/>
          <w:b/>
          <w:bCs/>
          <w:iCs/>
        </w:rPr>
        <w:t>doc. 9</w:t>
      </w:r>
      <w:r w:rsidRPr="00B674B9">
        <w:rPr>
          <w:rFonts w:ascii="Arial" w:eastAsia="Arial" w:hAnsi="Arial" w:cs="Arial"/>
          <w:iCs/>
        </w:rPr>
        <w:t>)</w:t>
      </w:r>
    </w:p>
    <w:p w14:paraId="4D2ED92A" w14:textId="77777777" w:rsidR="00B674B9" w:rsidRPr="00B674B9" w:rsidRDefault="00B674B9" w:rsidP="00B674B9">
      <w:pPr>
        <w:spacing w:line="360" w:lineRule="auto"/>
        <w:ind w:firstLine="709"/>
        <w:contextualSpacing/>
        <w:jc w:val="both"/>
        <w:rPr>
          <w:rFonts w:ascii="Arial" w:eastAsia="Arial" w:hAnsi="Arial" w:cs="Arial"/>
          <w:iCs/>
        </w:rPr>
      </w:pPr>
      <w:r w:rsidRPr="00B674B9">
        <w:rPr>
          <w:rFonts w:ascii="Arial" w:eastAsia="Arial" w:hAnsi="Arial" w:cs="Arial"/>
          <w:iCs/>
        </w:rPr>
        <w:t xml:space="preserve">Sempre il </w:t>
      </w:r>
      <w:r w:rsidRPr="00B674B9">
        <w:rPr>
          <w:rFonts w:ascii="Arial" w:eastAsia="Arial" w:hAnsi="Arial" w:cs="Arial"/>
          <w:b/>
          <w:bCs/>
          <w:iCs/>
        </w:rPr>
        <w:t>Tribunale di Bergamo con la sentenza 289/2026 ha ribadito</w:t>
      </w:r>
      <w:r w:rsidRPr="00B674B9">
        <w:rPr>
          <w:rFonts w:ascii="Arial" w:eastAsia="Arial" w:hAnsi="Arial" w:cs="Arial"/>
          <w:iCs/>
        </w:rPr>
        <w:t>:</w:t>
      </w:r>
    </w:p>
    <w:p w14:paraId="194DED23" w14:textId="77777777" w:rsidR="00B674B9" w:rsidRPr="00B674B9" w:rsidRDefault="00B674B9" w:rsidP="00B674B9">
      <w:pPr>
        <w:autoSpaceDE w:val="0"/>
        <w:autoSpaceDN w:val="0"/>
        <w:adjustRightInd w:val="0"/>
        <w:spacing w:line="360" w:lineRule="auto"/>
        <w:jc w:val="both"/>
        <w:rPr>
          <w:rFonts w:ascii="Arial" w:hAnsi="Arial" w:cs="Arial"/>
          <w:i/>
          <w:iCs/>
          <w:color w:val="000000"/>
        </w:rPr>
      </w:pPr>
      <w:r w:rsidRPr="00B674B9">
        <w:rPr>
          <w:rFonts w:ascii="Arial" w:eastAsia="Arial" w:hAnsi="Arial" w:cs="Arial"/>
          <w:iCs/>
          <w:color w:val="000000"/>
        </w:rPr>
        <w:t>“</w:t>
      </w:r>
      <w:r w:rsidRPr="00B674B9">
        <w:rPr>
          <w:rFonts w:ascii="Arial" w:hAnsi="Arial" w:cs="Arial"/>
          <w:i/>
          <w:iCs/>
          <w:color w:val="000000"/>
        </w:rPr>
        <w:t xml:space="preserve">le attuali normative fanno riferimento ad un nuovo concetto basato sull’occupazione in via </w:t>
      </w:r>
      <w:proofErr w:type="gramStart"/>
      <w:r w:rsidRPr="00B674B9">
        <w:rPr>
          <w:rFonts w:ascii="Arial" w:hAnsi="Arial" w:cs="Arial"/>
          <w:i/>
          <w:iCs/>
          <w:color w:val="000000"/>
        </w:rPr>
        <w:t>mediata ,</w:t>
      </w:r>
      <w:proofErr w:type="gramEnd"/>
      <w:r w:rsidRPr="00B674B9">
        <w:rPr>
          <w:rFonts w:ascii="Arial" w:hAnsi="Arial" w:cs="Arial"/>
          <w:i/>
          <w:iCs/>
          <w:color w:val="000000"/>
        </w:rPr>
        <w:t xml:space="preserve"> dove sussistono una pluralità di soggetti </w:t>
      </w:r>
      <w:proofErr w:type="gramStart"/>
      <w:r w:rsidRPr="00B674B9">
        <w:rPr>
          <w:rFonts w:ascii="Arial" w:hAnsi="Arial" w:cs="Arial"/>
          <w:i/>
          <w:iCs/>
          <w:color w:val="000000"/>
        </w:rPr>
        <w:t>passivi ,</w:t>
      </w:r>
      <w:proofErr w:type="gramEnd"/>
      <w:r w:rsidRPr="00B674B9">
        <w:rPr>
          <w:rFonts w:ascii="Arial" w:hAnsi="Arial" w:cs="Arial"/>
          <w:i/>
          <w:iCs/>
          <w:color w:val="000000"/>
        </w:rPr>
        <w:t xml:space="preserve"> costituiti dal soggetto titolare e dai soggetti che occupano ed utilizzano </w:t>
      </w:r>
      <w:proofErr w:type="gramStart"/>
      <w:r w:rsidRPr="00B674B9">
        <w:rPr>
          <w:rFonts w:ascii="Arial" w:hAnsi="Arial" w:cs="Arial"/>
          <w:i/>
          <w:iCs/>
          <w:color w:val="000000"/>
        </w:rPr>
        <w:t>l’area .</w:t>
      </w:r>
      <w:proofErr w:type="gramEnd"/>
      <w:r w:rsidRPr="00B674B9">
        <w:rPr>
          <w:rFonts w:ascii="Arial" w:hAnsi="Arial" w:cs="Arial"/>
          <w:i/>
          <w:iCs/>
          <w:color w:val="000000"/>
        </w:rPr>
        <w:t xml:space="preserve"> </w:t>
      </w:r>
    </w:p>
    <w:p w14:paraId="5D8F1920" w14:textId="77777777" w:rsidR="00B674B9" w:rsidRPr="00B674B9" w:rsidRDefault="00B674B9" w:rsidP="00B674B9">
      <w:pPr>
        <w:autoSpaceDE w:val="0"/>
        <w:autoSpaceDN w:val="0"/>
        <w:adjustRightInd w:val="0"/>
        <w:spacing w:line="360" w:lineRule="auto"/>
        <w:jc w:val="both"/>
        <w:rPr>
          <w:rFonts w:ascii="Arial" w:hAnsi="Arial" w:cs="Arial"/>
          <w:i/>
          <w:iCs/>
          <w:color w:val="000000"/>
        </w:rPr>
      </w:pPr>
      <w:r w:rsidRPr="00B674B9">
        <w:rPr>
          <w:rFonts w:ascii="Arial" w:hAnsi="Arial" w:cs="Arial"/>
          <w:i/>
          <w:iCs/>
          <w:color w:val="000000"/>
        </w:rPr>
        <w:t xml:space="preserve">Piu </w:t>
      </w:r>
      <w:proofErr w:type="gramStart"/>
      <w:r w:rsidRPr="00B674B9">
        <w:rPr>
          <w:rFonts w:ascii="Arial" w:hAnsi="Arial" w:cs="Arial"/>
          <w:i/>
          <w:iCs/>
          <w:color w:val="000000"/>
        </w:rPr>
        <w:t>precisamente ,</w:t>
      </w:r>
      <w:proofErr w:type="gramEnd"/>
      <w:r w:rsidRPr="00B674B9">
        <w:rPr>
          <w:rFonts w:ascii="Arial" w:hAnsi="Arial" w:cs="Arial"/>
          <w:i/>
          <w:iCs/>
          <w:color w:val="000000"/>
        </w:rPr>
        <w:t xml:space="preserve"> risulta aggiornata e superata la precedente </w:t>
      </w:r>
      <w:proofErr w:type="gramStart"/>
      <w:r w:rsidRPr="00B674B9">
        <w:rPr>
          <w:rFonts w:ascii="Arial" w:hAnsi="Arial" w:cs="Arial"/>
          <w:i/>
          <w:iCs/>
          <w:color w:val="000000"/>
        </w:rPr>
        <w:t>normativa ,</w:t>
      </w:r>
      <w:proofErr w:type="gramEnd"/>
      <w:r w:rsidRPr="00B674B9">
        <w:rPr>
          <w:rFonts w:ascii="Arial" w:hAnsi="Arial" w:cs="Arial"/>
          <w:i/>
          <w:iCs/>
          <w:color w:val="000000"/>
        </w:rPr>
        <w:t xml:space="preserve"> che considerava il solo concessionario quale unico soggetto </w:t>
      </w:r>
      <w:proofErr w:type="gramStart"/>
      <w:r w:rsidRPr="00B674B9">
        <w:rPr>
          <w:rFonts w:ascii="Arial" w:hAnsi="Arial" w:cs="Arial"/>
          <w:i/>
          <w:iCs/>
          <w:color w:val="000000"/>
        </w:rPr>
        <w:t>passivo ,</w:t>
      </w:r>
      <w:proofErr w:type="gramEnd"/>
      <w:r w:rsidRPr="00B674B9">
        <w:rPr>
          <w:rFonts w:ascii="Arial" w:hAnsi="Arial" w:cs="Arial"/>
          <w:i/>
          <w:iCs/>
          <w:color w:val="000000"/>
        </w:rPr>
        <w:t xml:space="preserve"> rendendo adeguata la normativa ad una tipologia relativa ad un mercato </w:t>
      </w:r>
      <w:proofErr w:type="gramStart"/>
      <w:r w:rsidRPr="00B674B9">
        <w:rPr>
          <w:rFonts w:ascii="Arial" w:hAnsi="Arial" w:cs="Arial"/>
          <w:i/>
          <w:iCs/>
          <w:color w:val="000000"/>
        </w:rPr>
        <w:t>liberalizzato ,</w:t>
      </w:r>
      <w:proofErr w:type="gramEnd"/>
      <w:r w:rsidRPr="00B674B9">
        <w:rPr>
          <w:rFonts w:ascii="Arial" w:hAnsi="Arial" w:cs="Arial"/>
          <w:i/>
          <w:iCs/>
          <w:color w:val="000000"/>
        </w:rPr>
        <w:t xml:space="preserve"> dove vi sono più operatori che utilizzano la stessa infrastruttura per la fornitura del proprio servizio di </w:t>
      </w:r>
      <w:proofErr w:type="gramStart"/>
      <w:r w:rsidRPr="00B674B9">
        <w:rPr>
          <w:rFonts w:ascii="Arial" w:hAnsi="Arial" w:cs="Arial"/>
          <w:i/>
          <w:iCs/>
          <w:color w:val="000000"/>
        </w:rPr>
        <w:t>telefonia .</w:t>
      </w:r>
      <w:proofErr w:type="gramEnd"/>
      <w:r w:rsidRPr="00B674B9">
        <w:rPr>
          <w:rFonts w:ascii="Arial" w:hAnsi="Arial" w:cs="Arial"/>
          <w:i/>
          <w:iCs/>
          <w:color w:val="000000"/>
        </w:rPr>
        <w:t xml:space="preserve"> </w:t>
      </w:r>
    </w:p>
    <w:p w14:paraId="55C3D06B" w14:textId="77777777" w:rsidR="00B674B9" w:rsidRPr="00B674B9" w:rsidRDefault="00B674B9" w:rsidP="00B674B9">
      <w:pPr>
        <w:spacing w:line="360" w:lineRule="auto"/>
        <w:ind w:firstLine="709"/>
        <w:jc w:val="both"/>
        <w:rPr>
          <w:rFonts w:ascii="Arial" w:hAnsi="Arial" w:cs="Arial"/>
          <w:i/>
          <w:iCs/>
        </w:rPr>
      </w:pPr>
      <w:r w:rsidRPr="00B674B9">
        <w:rPr>
          <w:rFonts w:ascii="Arial" w:hAnsi="Arial" w:cs="Arial"/>
          <w:i/>
          <w:iCs/>
        </w:rPr>
        <w:t xml:space="preserve">Inoltre, diversamente da quanto affermato da parte </w:t>
      </w:r>
      <w:proofErr w:type="gramStart"/>
      <w:r w:rsidRPr="00B674B9">
        <w:rPr>
          <w:rFonts w:ascii="Arial" w:hAnsi="Arial" w:cs="Arial"/>
          <w:i/>
          <w:iCs/>
        </w:rPr>
        <w:t>attrice ,</w:t>
      </w:r>
      <w:proofErr w:type="gramEnd"/>
      <w:r w:rsidRPr="00B674B9">
        <w:rPr>
          <w:rFonts w:ascii="Arial" w:hAnsi="Arial" w:cs="Arial"/>
          <w:i/>
          <w:iCs/>
        </w:rPr>
        <w:t xml:space="preserve"> gli accordi </w:t>
      </w:r>
      <w:proofErr w:type="spellStart"/>
      <w:r w:rsidRPr="00B674B9">
        <w:rPr>
          <w:rFonts w:ascii="Arial" w:hAnsi="Arial" w:cs="Arial"/>
          <w:i/>
          <w:iCs/>
        </w:rPr>
        <w:t>wholesale</w:t>
      </w:r>
      <w:proofErr w:type="spellEnd"/>
      <w:r w:rsidRPr="00B674B9">
        <w:rPr>
          <w:rFonts w:ascii="Arial" w:hAnsi="Arial" w:cs="Arial"/>
          <w:i/>
          <w:iCs/>
        </w:rPr>
        <w:t xml:space="preserve"> sono pienamente riferibile alla fattispecie connessa” all’utilizzo materiale “.</w:t>
      </w:r>
    </w:p>
    <w:p w14:paraId="541F7302" w14:textId="77777777" w:rsidR="00B674B9" w:rsidRPr="00B674B9" w:rsidRDefault="00B674B9" w:rsidP="00B674B9">
      <w:pPr>
        <w:autoSpaceDE w:val="0"/>
        <w:autoSpaceDN w:val="0"/>
        <w:adjustRightInd w:val="0"/>
        <w:spacing w:line="360" w:lineRule="auto"/>
        <w:jc w:val="both"/>
        <w:rPr>
          <w:rFonts w:ascii="Arial" w:hAnsi="Arial" w:cs="Arial"/>
          <w:i/>
          <w:iCs/>
          <w:color w:val="000000"/>
        </w:rPr>
      </w:pPr>
      <w:proofErr w:type="gramStart"/>
      <w:r w:rsidRPr="00B674B9">
        <w:rPr>
          <w:rFonts w:ascii="Arial" w:hAnsi="Arial" w:cs="Arial"/>
          <w:i/>
          <w:iCs/>
          <w:color w:val="000000"/>
        </w:rPr>
        <w:t>Infatti</w:t>
      </w:r>
      <w:proofErr w:type="gramEnd"/>
      <w:r w:rsidRPr="00B674B9">
        <w:rPr>
          <w:rFonts w:ascii="Arial" w:hAnsi="Arial" w:cs="Arial"/>
          <w:i/>
          <w:iCs/>
          <w:color w:val="000000"/>
        </w:rPr>
        <w:t xml:space="preserve"> gli accordi </w:t>
      </w:r>
      <w:proofErr w:type="spellStart"/>
      <w:r w:rsidRPr="00B674B9">
        <w:rPr>
          <w:rFonts w:ascii="Arial" w:hAnsi="Arial" w:cs="Arial"/>
          <w:i/>
          <w:iCs/>
          <w:color w:val="000000"/>
        </w:rPr>
        <w:t>wholesale</w:t>
      </w:r>
      <w:proofErr w:type="spellEnd"/>
      <w:r w:rsidRPr="00B674B9">
        <w:rPr>
          <w:rFonts w:ascii="Arial" w:hAnsi="Arial" w:cs="Arial"/>
          <w:i/>
          <w:iCs/>
          <w:color w:val="000000"/>
        </w:rPr>
        <w:t xml:space="preserve"> VULA </w:t>
      </w:r>
      <w:proofErr w:type="gramStart"/>
      <w:r w:rsidRPr="00B674B9">
        <w:rPr>
          <w:rFonts w:ascii="Arial" w:hAnsi="Arial" w:cs="Arial"/>
          <w:i/>
          <w:iCs/>
          <w:color w:val="000000"/>
        </w:rPr>
        <w:t>( Virtual</w:t>
      </w:r>
      <w:proofErr w:type="gramEnd"/>
      <w:r w:rsidRPr="00B674B9">
        <w:rPr>
          <w:rFonts w:ascii="Arial" w:hAnsi="Arial" w:cs="Arial"/>
          <w:i/>
          <w:iCs/>
          <w:color w:val="000000"/>
        </w:rPr>
        <w:t xml:space="preserve"> </w:t>
      </w:r>
      <w:proofErr w:type="spellStart"/>
      <w:r w:rsidRPr="00B674B9">
        <w:rPr>
          <w:rFonts w:ascii="Arial" w:hAnsi="Arial" w:cs="Arial"/>
          <w:i/>
          <w:iCs/>
          <w:color w:val="000000"/>
        </w:rPr>
        <w:t>Unbundled</w:t>
      </w:r>
      <w:proofErr w:type="spellEnd"/>
      <w:r w:rsidRPr="00B674B9">
        <w:rPr>
          <w:rFonts w:ascii="Arial" w:hAnsi="Arial" w:cs="Arial"/>
          <w:i/>
          <w:iCs/>
          <w:color w:val="000000"/>
        </w:rPr>
        <w:t xml:space="preserve"> Local </w:t>
      </w:r>
      <w:proofErr w:type="gramStart"/>
      <w:r w:rsidRPr="00B674B9">
        <w:rPr>
          <w:rFonts w:ascii="Arial" w:hAnsi="Arial" w:cs="Arial"/>
          <w:i/>
          <w:iCs/>
          <w:color w:val="000000"/>
        </w:rPr>
        <w:t>Access )</w:t>
      </w:r>
      <w:proofErr w:type="gramEnd"/>
      <w:r w:rsidRPr="00B674B9">
        <w:rPr>
          <w:rFonts w:ascii="Arial" w:hAnsi="Arial" w:cs="Arial"/>
          <w:i/>
          <w:iCs/>
          <w:color w:val="000000"/>
        </w:rPr>
        <w:t xml:space="preserve"> sono accordi commerciali tra operatori di telecomunicazioni che permettono l’accesso alle reti di accesso locali </w:t>
      </w:r>
      <w:proofErr w:type="gramStart"/>
      <w:r w:rsidRPr="00B674B9">
        <w:rPr>
          <w:rFonts w:ascii="Arial" w:hAnsi="Arial" w:cs="Arial"/>
          <w:i/>
          <w:iCs/>
          <w:color w:val="000000"/>
        </w:rPr>
        <w:t>( reti</w:t>
      </w:r>
      <w:proofErr w:type="gramEnd"/>
      <w:r w:rsidRPr="00B674B9">
        <w:rPr>
          <w:rFonts w:ascii="Arial" w:hAnsi="Arial" w:cs="Arial"/>
          <w:i/>
          <w:iCs/>
          <w:color w:val="000000"/>
        </w:rPr>
        <w:t xml:space="preserve"> di fibra ottica o di </w:t>
      </w:r>
      <w:proofErr w:type="gramStart"/>
      <w:r w:rsidRPr="00B674B9">
        <w:rPr>
          <w:rFonts w:ascii="Arial" w:hAnsi="Arial" w:cs="Arial"/>
          <w:i/>
          <w:iCs/>
          <w:color w:val="000000"/>
        </w:rPr>
        <w:t>rame )</w:t>
      </w:r>
      <w:proofErr w:type="gramEnd"/>
      <w:r w:rsidRPr="00B674B9">
        <w:rPr>
          <w:rFonts w:ascii="Arial" w:hAnsi="Arial" w:cs="Arial"/>
          <w:i/>
          <w:iCs/>
          <w:color w:val="000000"/>
        </w:rPr>
        <w:t xml:space="preserve"> di un operatore dominante a un altro </w:t>
      </w:r>
      <w:proofErr w:type="gramStart"/>
      <w:r w:rsidRPr="00B674B9">
        <w:rPr>
          <w:rFonts w:ascii="Arial" w:hAnsi="Arial" w:cs="Arial"/>
          <w:i/>
          <w:iCs/>
          <w:color w:val="000000"/>
        </w:rPr>
        <w:t>operatore ,</w:t>
      </w:r>
      <w:proofErr w:type="gramEnd"/>
      <w:r w:rsidRPr="00B674B9">
        <w:rPr>
          <w:rFonts w:ascii="Arial" w:hAnsi="Arial" w:cs="Arial"/>
          <w:i/>
          <w:iCs/>
          <w:color w:val="000000"/>
        </w:rPr>
        <w:t xml:space="preserve"> a condizioni eque e non </w:t>
      </w:r>
      <w:proofErr w:type="gramStart"/>
      <w:r w:rsidRPr="00B674B9">
        <w:rPr>
          <w:rFonts w:ascii="Arial" w:hAnsi="Arial" w:cs="Arial"/>
          <w:i/>
          <w:iCs/>
          <w:color w:val="000000"/>
        </w:rPr>
        <w:t>discriminatorie .</w:t>
      </w:r>
      <w:proofErr w:type="gramEnd"/>
      <w:r w:rsidRPr="00B674B9">
        <w:rPr>
          <w:rFonts w:ascii="Arial" w:hAnsi="Arial" w:cs="Arial"/>
          <w:i/>
          <w:iCs/>
          <w:color w:val="000000"/>
        </w:rPr>
        <w:t xml:space="preserve"> </w:t>
      </w:r>
    </w:p>
    <w:p w14:paraId="558C0145" w14:textId="77777777" w:rsidR="00B674B9" w:rsidRPr="00B674B9" w:rsidRDefault="00B674B9" w:rsidP="00B674B9">
      <w:pPr>
        <w:autoSpaceDE w:val="0"/>
        <w:autoSpaceDN w:val="0"/>
        <w:adjustRightInd w:val="0"/>
        <w:spacing w:line="360" w:lineRule="auto"/>
        <w:jc w:val="both"/>
        <w:rPr>
          <w:rFonts w:ascii="Arial" w:hAnsi="Arial" w:cs="Arial"/>
          <w:i/>
          <w:iCs/>
          <w:color w:val="000000"/>
        </w:rPr>
      </w:pPr>
      <w:r w:rsidRPr="00B674B9">
        <w:rPr>
          <w:rFonts w:ascii="Arial" w:hAnsi="Arial" w:cs="Arial"/>
          <w:i/>
          <w:iCs/>
          <w:color w:val="000000"/>
        </w:rPr>
        <w:t xml:space="preserve">In </w:t>
      </w:r>
      <w:proofErr w:type="gramStart"/>
      <w:r w:rsidRPr="00B674B9">
        <w:rPr>
          <w:rFonts w:ascii="Arial" w:hAnsi="Arial" w:cs="Arial"/>
          <w:i/>
          <w:iCs/>
          <w:color w:val="000000"/>
        </w:rPr>
        <w:t>pratica ,</w:t>
      </w:r>
      <w:proofErr w:type="gramEnd"/>
      <w:r w:rsidRPr="00B674B9">
        <w:rPr>
          <w:rFonts w:ascii="Arial" w:hAnsi="Arial" w:cs="Arial"/>
          <w:i/>
          <w:iCs/>
          <w:color w:val="000000"/>
        </w:rPr>
        <w:t xml:space="preserve"> un operatore che non ha una rete di accesso propria può utilizzare la rete di un altro operatore per offrire servizi di accesso a internet e voce ai propri </w:t>
      </w:r>
      <w:proofErr w:type="gramStart"/>
      <w:r w:rsidRPr="00B674B9">
        <w:rPr>
          <w:rFonts w:ascii="Arial" w:hAnsi="Arial" w:cs="Arial"/>
          <w:i/>
          <w:iCs/>
          <w:color w:val="000000"/>
        </w:rPr>
        <w:t>clienti .</w:t>
      </w:r>
      <w:proofErr w:type="gramEnd"/>
      <w:r w:rsidRPr="00B674B9">
        <w:rPr>
          <w:rFonts w:ascii="Arial" w:hAnsi="Arial" w:cs="Arial"/>
          <w:i/>
          <w:iCs/>
          <w:color w:val="000000"/>
        </w:rPr>
        <w:t xml:space="preserve"> </w:t>
      </w:r>
    </w:p>
    <w:p w14:paraId="7719A355" w14:textId="77777777" w:rsidR="00B674B9" w:rsidRPr="00B674B9" w:rsidRDefault="00B674B9" w:rsidP="00B674B9">
      <w:pPr>
        <w:autoSpaceDE w:val="0"/>
        <w:autoSpaceDN w:val="0"/>
        <w:adjustRightInd w:val="0"/>
        <w:spacing w:line="360" w:lineRule="auto"/>
        <w:jc w:val="both"/>
        <w:rPr>
          <w:rFonts w:ascii="Arial" w:hAnsi="Arial" w:cs="Arial"/>
          <w:i/>
          <w:iCs/>
          <w:color w:val="000000"/>
        </w:rPr>
      </w:pPr>
      <w:r w:rsidRPr="00B674B9">
        <w:rPr>
          <w:rFonts w:ascii="Arial" w:hAnsi="Arial" w:cs="Arial"/>
          <w:i/>
          <w:iCs/>
          <w:color w:val="000000"/>
        </w:rPr>
        <w:t xml:space="preserve">Anche se l’accesso è definito </w:t>
      </w:r>
      <w:proofErr w:type="gramStart"/>
      <w:r w:rsidRPr="00B674B9">
        <w:rPr>
          <w:rFonts w:ascii="Arial" w:hAnsi="Arial" w:cs="Arial"/>
          <w:i/>
          <w:iCs/>
          <w:color w:val="000000"/>
        </w:rPr>
        <w:t>“ virtuale</w:t>
      </w:r>
      <w:proofErr w:type="gramEnd"/>
      <w:r w:rsidRPr="00B674B9">
        <w:rPr>
          <w:rFonts w:ascii="Arial" w:hAnsi="Arial" w:cs="Arial"/>
          <w:i/>
          <w:iCs/>
          <w:color w:val="000000"/>
        </w:rPr>
        <w:t xml:space="preserve"> </w:t>
      </w:r>
      <w:proofErr w:type="gramStart"/>
      <w:r w:rsidRPr="00B674B9">
        <w:rPr>
          <w:rFonts w:ascii="Arial" w:hAnsi="Arial" w:cs="Arial"/>
          <w:i/>
          <w:iCs/>
          <w:color w:val="000000"/>
        </w:rPr>
        <w:t>“ in</w:t>
      </w:r>
      <w:proofErr w:type="gramEnd"/>
      <w:r w:rsidRPr="00B674B9">
        <w:rPr>
          <w:rFonts w:ascii="Arial" w:hAnsi="Arial" w:cs="Arial"/>
          <w:i/>
          <w:iCs/>
          <w:color w:val="000000"/>
        </w:rPr>
        <w:t xml:space="preserve"> ambito tecnico – </w:t>
      </w:r>
      <w:proofErr w:type="gramStart"/>
      <w:r w:rsidRPr="00B674B9">
        <w:rPr>
          <w:rFonts w:ascii="Arial" w:hAnsi="Arial" w:cs="Arial"/>
          <w:i/>
          <w:iCs/>
          <w:color w:val="000000"/>
        </w:rPr>
        <w:t>commerciale ,</w:t>
      </w:r>
      <w:proofErr w:type="gramEnd"/>
      <w:r w:rsidRPr="00B674B9">
        <w:rPr>
          <w:rFonts w:ascii="Arial" w:hAnsi="Arial" w:cs="Arial"/>
          <w:i/>
          <w:iCs/>
          <w:color w:val="000000"/>
        </w:rPr>
        <w:t xml:space="preserve"> lo stesso comporta un flusso fisico di dati che transita comunque mediante cavi e condutture esistenti sul suolo pubblico </w:t>
      </w:r>
      <w:proofErr w:type="gramStart"/>
      <w:r w:rsidRPr="00B674B9">
        <w:rPr>
          <w:rFonts w:ascii="Arial" w:hAnsi="Arial" w:cs="Arial"/>
          <w:i/>
          <w:iCs/>
          <w:color w:val="000000"/>
        </w:rPr>
        <w:t>comunale .</w:t>
      </w:r>
      <w:proofErr w:type="gramEnd"/>
      <w:r w:rsidRPr="00B674B9">
        <w:rPr>
          <w:rFonts w:ascii="Arial" w:hAnsi="Arial" w:cs="Arial"/>
          <w:i/>
          <w:iCs/>
          <w:color w:val="000000"/>
        </w:rPr>
        <w:t xml:space="preserve"> </w:t>
      </w:r>
    </w:p>
    <w:p w14:paraId="2D9BE9F8" w14:textId="77777777" w:rsidR="00B674B9" w:rsidRPr="00B674B9" w:rsidRDefault="00B674B9" w:rsidP="00B674B9">
      <w:pPr>
        <w:spacing w:line="360" w:lineRule="auto"/>
        <w:ind w:firstLine="709"/>
        <w:jc w:val="both"/>
        <w:rPr>
          <w:rFonts w:ascii="Arial" w:hAnsi="Arial" w:cs="Arial"/>
          <w:b/>
          <w:bCs/>
        </w:rPr>
      </w:pPr>
      <w:r w:rsidRPr="00B674B9">
        <w:rPr>
          <w:rFonts w:ascii="Arial" w:hAnsi="Arial" w:cs="Arial"/>
          <w:i/>
          <w:iCs/>
        </w:rPr>
        <w:t xml:space="preserve">In base alle numerose sentenze di merito sull’argomento in </w:t>
      </w:r>
      <w:proofErr w:type="gramStart"/>
      <w:r w:rsidRPr="00B674B9">
        <w:rPr>
          <w:rFonts w:ascii="Arial" w:hAnsi="Arial" w:cs="Arial"/>
          <w:i/>
          <w:iCs/>
        </w:rPr>
        <w:t>questione ,</w:t>
      </w:r>
      <w:proofErr w:type="gramEnd"/>
      <w:r w:rsidRPr="00B674B9">
        <w:rPr>
          <w:rFonts w:ascii="Arial" w:hAnsi="Arial" w:cs="Arial"/>
          <w:i/>
          <w:iCs/>
        </w:rPr>
        <w:t xml:space="preserve"> il criterio legato alla materialità dell’uso dell’infrastruttura di altro </w:t>
      </w:r>
      <w:proofErr w:type="gramStart"/>
      <w:r w:rsidRPr="00B674B9">
        <w:rPr>
          <w:rFonts w:ascii="Arial" w:hAnsi="Arial" w:cs="Arial"/>
          <w:i/>
          <w:iCs/>
        </w:rPr>
        <w:t>operatore ,</w:t>
      </w:r>
      <w:proofErr w:type="gramEnd"/>
      <w:r w:rsidRPr="00B674B9">
        <w:rPr>
          <w:rFonts w:ascii="Arial" w:hAnsi="Arial" w:cs="Arial"/>
          <w:i/>
          <w:iCs/>
        </w:rPr>
        <w:t xml:space="preserve"> risulta compreso anche quello legato alla modalità di accesso </w:t>
      </w:r>
      <w:proofErr w:type="gramStart"/>
      <w:r w:rsidRPr="00B674B9">
        <w:rPr>
          <w:rFonts w:ascii="Arial" w:hAnsi="Arial" w:cs="Arial"/>
          <w:i/>
          <w:iCs/>
        </w:rPr>
        <w:t>virtuale ,legata</w:t>
      </w:r>
      <w:proofErr w:type="gramEnd"/>
      <w:r w:rsidRPr="00B674B9">
        <w:rPr>
          <w:rFonts w:ascii="Arial" w:hAnsi="Arial" w:cs="Arial"/>
          <w:i/>
          <w:iCs/>
        </w:rPr>
        <w:t xml:space="preserve"> all’evoluzione ed al progresso tecnologico nell’ambito della </w:t>
      </w:r>
      <w:proofErr w:type="gramStart"/>
      <w:r w:rsidRPr="00B674B9">
        <w:rPr>
          <w:rFonts w:ascii="Arial" w:hAnsi="Arial" w:cs="Arial"/>
          <w:i/>
          <w:iCs/>
        </w:rPr>
        <w:t>telefonia .</w:t>
      </w:r>
      <w:proofErr w:type="gramEnd"/>
      <w:r w:rsidRPr="00B674B9">
        <w:rPr>
          <w:rFonts w:ascii="Arial" w:hAnsi="Arial" w:cs="Arial"/>
          <w:i/>
          <w:iCs/>
        </w:rPr>
        <w:t xml:space="preserve"> </w:t>
      </w:r>
      <w:r w:rsidRPr="00B674B9">
        <w:rPr>
          <w:rFonts w:ascii="Arial" w:hAnsi="Arial" w:cs="Arial"/>
        </w:rPr>
        <w:t xml:space="preserve">Tribunale di Bergamo n. 289 del 21.3.2026 </w:t>
      </w:r>
      <w:r w:rsidRPr="00B674B9">
        <w:rPr>
          <w:rFonts w:ascii="Arial" w:hAnsi="Arial" w:cs="Arial"/>
          <w:b/>
          <w:bCs/>
        </w:rPr>
        <w:t>(doc. 10).</w:t>
      </w:r>
    </w:p>
    <w:p w14:paraId="516B8CC2" w14:textId="77777777" w:rsidR="00B674B9" w:rsidRPr="00B674B9" w:rsidRDefault="00B674B9" w:rsidP="00B674B9">
      <w:pPr>
        <w:spacing w:line="360" w:lineRule="auto"/>
        <w:ind w:firstLine="709"/>
        <w:jc w:val="both"/>
        <w:rPr>
          <w:rFonts w:ascii="Arial" w:hAnsi="Arial" w:cs="Arial"/>
          <w:b/>
          <w:bCs/>
        </w:rPr>
      </w:pPr>
      <w:r w:rsidRPr="00B674B9">
        <w:rPr>
          <w:rFonts w:ascii="Arial" w:hAnsi="Arial" w:cs="Arial"/>
        </w:rPr>
        <w:t xml:space="preserve">Anche, il Tribunale di Napoli si è di recente pronunciato ben chiarendo il concetto di </w:t>
      </w:r>
      <w:r w:rsidRPr="00B674B9">
        <w:rPr>
          <w:rFonts w:ascii="Arial" w:hAnsi="Arial" w:cs="Arial"/>
          <w:i/>
          <w:iCs/>
        </w:rPr>
        <w:t xml:space="preserve">“utilizzo materiale” </w:t>
      </w:r>
      <w:r w:rsidRPr="00B674B9">
        <w:rPr>
          <w:rFonts w:ascii="Arial" w:hAnsi="Arial" w:cs="Arial"/>
        </w:rPr>
        <w:t>(</w:t>
      </w:r>
      <w:r w:rsidRPr="00B674B9">
        <w:rPr>
          <w:rFonts w:ascii="Arial" w:hAnsi="Arial" w:cs="Arial"/>
          <w:b/>
          <w:bCs/>
        </w:rPr>
        <w:t xml:space="preserve">Tribunale Napoli n.5948 del 13.4.2026 doc. 11): </w:t>
      </w:r>
    </w:p>
    <w:p w14:paraId="2603DB20" w14:textId="77777777" w:rsidR="00B674B9" w:rsidRPr="00B674B9" w:rsidRDefault="00B674B9" w:rsidP="00B674B9">
      <w:pPr>
        <w:spacing w:line="360" w:lineRule="auto"/>
        <w:ind w:firstLine="709"/>
        <w:jc w:val="both"/>
        <w:rPr>
          <w:rFonts w:ascii="Arial" w:hAnsi="Arial" w:cs="Arial"/>
          <w:b/>
          <w:bCs/>
        </w:rPr>
      </w:pPr>
      <w:r w:rsidRPr="00B674B9">
        <w:rPr>
          <w:rFonts w:ascii="Arial" w:hAnsi="Arial" w:cs="Arial"/>
          <w:i/>
          <w:iCs/>
        </w:rPr>
        <w:t xml:space="preserve">“Questo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w:t>
      </w:r>
      <w:r w:rsidRPr="00B674B9">
        <w:rPr>
          <w:rFonts w:ascii="Arial" w:hAnsi="Arial" w:cs="Arial"/>
          <w:i/>
          <w:iCs/>
        </w:rPr>
        <w:lastRenderedPageBreak/>
        <w:t>concessione, idoneo a integrare un'occupazione mediata del suolo pubblico quando l'operatore, per erogare il servizio venduto alla clientela, si avvale della rete del concessionario. 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Diversamente, la previsione normativa finirebbe per essere priva di effettiva portata applicativa nel settore in cui l'utilizzo della rete altrui è tecnicamente fisiologico.”</w:t>
      </w:r>
    </w:p>
    <w:p w14:paraId="7CFA1CA2" w14:textId="77777777" w:rsidR="00B674B9" w:rsidRPr="00B674B9" w:rsidRDefault="00B674B9" w:rsidP="00B674B9">
      <w:pPr>
        <w:spacing w:line="360" w:lineRule="auto"/>
        <w:ind w:firstLine="709"/>
        <w:contextualSpacing/>
        <w:jc w:val="both"/>
        <w:rPr>
          <w:rFonts w:ascii="Arial" w:eastAsia="Arial" w:hAnsi="Arial" w:cs="Arial"/>
        </w:rPr>
      </w:pPr>
      <w:r w:rsidRPr="00B674B9">
        <w:rPr>
          <w:rFonts w:ascii="Arial" w:eastAsia="Arial" w:hAnsi="Arial" w:cs="Arial"/>
        </w:rPr>
        <w:t xml:space="preserve">Ed ancora, i giudici del </w:t>
      </w:r>
      <w:r w:rsidRPr="00B674B9">
        <w:rPr>
          <w:rFonts w:ascii="Arial" w:eastAsia="Arial" w:hAnsi="Arial" w:cs="Arial"/>
          <w:b/>
          <w:bCs/>
        </w:rPr>
        <w:t>Tribunale di TREVISO</w:t>
      </w:r>
      <w:r w:rsidRPr="00B674B9">
        <w:rPr>
          <w:rFonts w:ascii="Arial" w:eastAsia="Arial" w:hAnsi="Arial" w:cs="Arial"/>
        </w:rPr>
        <w:t xml:space="preserve"> hanno rigettato, ancora una volta, l’appello di una primaria compagnia telefonica che insisteva nel ritenersi estranea alla soggettività passiva mediata in relazione alla fornitura del servizio di telecomunicazioni.</w:t>
      </w:r>
    </w:p>
    <w:p w14:paraId="22297408" w14:textId="77777777" w:rsidR="00B674B9" w:rsidRPr="00B674B9" w:rsidRDefault="00B674B9" w:rsidP="00B674B9">
      <w:pPr>
        <w:spacing w:line="360" w:lineRule="auto"/>
        <w:ind w:firstLine="708"/>
        <w:contextualSpacing/>
        <w:jc w:val="both"/>
        <w:rPr>
          <w:rFonts w:ascii="Arial" w:eastAsia="Arial" w:hAnsi="Arial" w:cs="Arial"/>
        </w:rPr>
      </w:pPr>
      <w:r w:rsidRPr="00B674B9">
        <w:rPr>
          <w:rFonts w:ascii="Arial" w:eastAsia="Arial" w:hAnsi="Arial" w:cs="Arial"/>
        </w:rPr>
        <w:t>Si legge nella sentenza:</w:t>
      </w:r>
    </w:p>
    <w:p w14:paraId="2B551014" w14:textId="77777777" w:rsidR="00B674B9" w:rsidRPr="00B674B9" w:rsidRDefault="00B674B9" w:rsidP="00B674B9">
      <w:pPr>
        <w:spacing w:line="360" w:lineRule="auto"/>
        <w:ind w:firstLine="709"/>
        <w:contextualSpacing/>
        <w:jc w:val="both"/>
        <w:rPr>
          <w:rFonts w:ascii="Arial" w:eastAsia="Arial" w:hAnsi="Arial" w:cs="Arial"/>
        </w:rPr>
      </w:pPr>
      <w:r w:rsidRPr="00B674B9">
        <w:rPr>
          <w:rFonts w:ascii="Arial" w:eastAsia="Arial" w:hAnsi="Arial" w:cs="Arial"/>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interpretata alla luce di tale </w:t>
      </w:r>
      <w:proofErr w:type="spellStart"/>
      <w:r w:rsidRPr="00B674B9">
        <w:rPr>
          <w:rFonts w:ascii="Arial" w:eastAsia="Arial" w:hAnsi="Arial" w:cs="Arial"/>
          <w:i/>
          <w:iCs/>
        </w:rPr>
        <w:t>voluntas</w:t>
      </w:r>
      <w:proofErr w:type="spellEnd"/>
      <w:r w:rsidRPr="00B674B9">
        <w:rPr>
          <w:rFonts w:ascii="Arial" w:eastAsia="Arial" w:hAnsi="Arial" w:cs="Arial"/>
          <w:i/>
          <w:iCs/>
        </w:rPr>
        <w:t xml:space="preserve"> legis come sinonimo di utilizzo che non necessariamente rimanda ad una modificazione della realtà esterna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 si ritiene che esso rientri fra i soggetti obbligati contemplati dalla norma”. </w:t>
      </w:r>
      <w:r w:rsidRPr="00B674B9">
        <w:rPr>
          <w:rFonts w:ascii="Arial" w:eastAsia="Arial" w:hAnsi="Arial" w:cs="Arial"/>
          <w:b/>
          <w:bCs/>
          <w:i/>
          <w:iCs/>
        </w:rPr>
        <w:t xml:space="preserve">Tribunale di Treviso n. 240/2025 del 20/02/2025, resa in appello </w:t>
      </w:r>
      <w:r w:rsidRPr="00B674B9">
        <w:rPr>
          <w:rFonts w:ascii="Arial" w:eastAsia="Arial" w:hAnsi="Arial" w:cs="Arial"/>
          <w:iCs/>
        </w:rPr>
        <w:t>(</w:t>
      </w:r>
      <w:r w:rsidRPr="00B674B9">
        <w:rPr>
          <w:rFonts w:ascii="Arial" w:eastAsia="Arial" w:hAnsi="Arial" w:cs="Arial"/>
          <w:b/>
          <w:bCs/>
          <w:iCs/>
        </w:rPr>
        <w:t>doc. 12</w:t>
      </w:r>
      <w:r w:rsidRPr="00B674B9">
        <w:rPr>
          <w:rFonts w:ascii="Arial" w:eastAsia="Arial" w:hAnsi="Arial" w:cs="Arial"/>
          <w:iCs/>
        </w:rPr>
        <w:t>)</w:t>
      </w:r>
      <w:r w:rsidRPr="00B674B9">
        <w:rPr>
          <w:rFonts w:ascii="Arial" w:eastAsia="Arial" w:hAnsi="Arial" w:cs="Arial"/>
          <w:i/>
          <w:iCs/>
        </w:rPr>
        <w:t>.</w:t>
      </w:r>
    </w:p>
    <w:p w14:paraId="79569971" w14:textId="77777777" w:rsidR="00B674B9" w:rsidRPr="00B674B9" w:rsidRDefault="00B674B9" w:rsidP="00B674B9">
      <w:pPr>
        <w:spacing w:line="360" w:lineRule="auto"/>
        <w:ind w:firstLine="709"/>
        <w:contextualSpacing/>
        <w:jc w:val="both"/>
        <w:rPr>
          <w:rFonts w:ascii="Arial" w:eastAsia="Arial" w:hAnsi="Arial" w:cs="Arial"/>
        </w:rPr>
      </w:pPr>
      <w:r w:rsidRPr="00B674B9">
        <w:rPr>
          <w:rFonts w:ascii="Arial" w:eastAsia="Arial" w:hAnsi="Arial" w:cs="Arial"/>
        </w:rPr>
        <w:t xml:space="preserve">Il Tribunale di </w:t>
      </w:r>
      <w:r w:rsidRPr="00B674B9">
        <w:rPr>
          <w:rFonts w:ascii="Arial" w:eastAsia="Arial" w:hAnsi="Arial" w:cs="Arial"/>
          <w:b/>
          <w:bCs/>
        </w:rPr>
        <w:t>PIACENZA,</w:t>
      </w:r>
      <w:r w:rsidRPr="00B674B9">
        <w:rPr>
          <w:rFonts w:ascii="Arial" w:eastAsia="Arial" w:hAnsi="Arial" w:cs="Arial"/>
        </w:rPr>
        <w:t xml:space="preserve"> poi, rigettando l’opposizione di Vodafone, ha sempre posto l’accento sul concetto di occupazione mediata e sulla </w:t>
      </w:r>
      <w:r w:rsidRPr="00B674B9">
        <w:rPr>
          <w:rFonts w:ascii="Arial" w:eastAsia="Arial" w:hAnsi="Arial" w:cs="Arial"/>
          <w:i/>
          <w:iCs/>
        </w:rPr>
        <w:t>ratio</w:t>
      </w:r>
      <w:r w:rsidRPr="00B674B9">
        <w:rPr>
          <w:rFonts w:ascii="Arial" w:eastAsia="Arial" w:hAnsi="Arial" w:cs="Arial"/>
        </w:rPr>
        <w:t xml:space="preserve"> della norma di interpretazione autentica.</w:t>
      </w:r>
    </w:p>
    <w:p w14:paraId="0A497D83" w14:textId="77777777" w:rsidR="00B674B9" w:rsidRPr="00B674B9" w:rsidRDefault="00B674B9" w:rsidP="00B674B9">
      <w:pPr>
        <w:spacing w:line="360" w:lineRule="auto"/>
        <w:ind w:firstLine="708"/>
        <w:contextualSpacing/>
        <w:jc w:val="both"/>
        <w:rPr>
          <w:rFonts w:ascii="Arial" w:eastAsia="Arial" w:hAnsi="Arial" w:cs="Arial"/>
        </w:rPr>
      </w:pPr>
      <w:r w:rsidRPr="00B674B9">
        <w:rPr>
          <w:rFonts w:ascii="Arial" w:eastAsia="Arial" w:hAnsi="Arial" w:cs="Arial"/>
        </w:rPr>
        <w:t>Si legge in sentenza:</w:t>
      </w:r>
    </w:p>
    <w:p w14:paraId="4060CF00" w14:textId="77777777" w:rsidR="00B674B9" w:rsidRPr="00B674B9" w:rsidRDefault="00B674B9" w:rsidP="00B674B9">
      <w:pPr>
        <w:spacing w:line="360" w:lineRule="auto"/>
        <w:ind w:firstLine="709"/>
        <w:contextualSpacing/>
        <w:jc w:val="both"/>
        <w:rPr>
          <w:rFonts w:ascii="Arial" w:eastAsia="Arial" w:hAnsi="Arial" w:cs="Arial"/>
          <w:b/>
          <w:bCs/>
        </w:rPr>
      </w:pPr>
      <w:r w:rsidRPr="00B674B9">
        <w:rPr>
          <w:rFonts w:ascii="Arial" w:eastAsia="Arial" w:hAnsi="Arial" w:cs="Arial"/>
          <w:i/>
          <w:iCs/>
        </w:rPr>
        <w:t xml:space="preserve">“5. Con l’art. 5, comma 14-quinquies, del D.L. 146/2021, il legislatore ha dettato una norma di interpretazione autentica stabilendo, per quanto qui rileva, che: a) per le occupazioni permanenti di suolo pubblico effettuate nei settori in cui è prevista una </w:t>
      </w:r>
      <w:r w:rsidRPr="00B674B9">
        <w:rPr>
          <w:rFonts w:ascii="Arial" w:eastAsia="Arial" w:hAnsi="Arial" w:cs="Arial"/>
          <w:i/>
          <w:iCs/>
        </w:rPr>
        <w:lastRenderedPageBreak/>
        <w:t xml:space="preserve">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w:t>
      </w:r>
      <w:r w:rsidRPr="00B674B9">
        <w:rPr>
          <w:rFonts w:ascii="Arial" w:eastAsia="Arial" w:hAnsi="Arial" w:cs="Arial"/>
          <w:i/>
          <w:iCs/>
        </w:rPr>
        <w:lastRenderedPageBreak/>
        <w:t xml:space="preserve">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B674B9">
        <w:rPr>
          <w:rFonts w:ascii="Arial" w:eastAsia="Arial" w:hAnsi="Arial" w:cs="Arial"/>
          <w:b/>
          <w:bCs/>
          <w:i/>
          <w:iCs/>
        </w:rPr>
        <w:t>Tribunale di Piacenza n. 207 del 06.05.2025</w:t>
      </w:r>
      <w:r w:rsidRPr="00B674B9">
        <w:rPr>
          <w:rFonts w:ascii="Arial" w:eastAsia="Arial" w:hAnsi="Arial" w:cs="Arial"/>
          <w:b/>
          <w:bCs/>
          <w:iCs/>
        </w:rPr>
        <w:t xml:space="preserve"> (doc. 13)</w:t>
      </w:r>
      <w:r w:rsidRPr="00B674B9">
        <w:rPr>
          <w:rFonts w:ascii="Arial" w:eastAsia="Arial" w:hAnsi="Arial" w:cs="Arial"/>
          <w:b/>
          <w:bCs/>
          <w:i/>
          <w:iCs/>
        </w:rPr>
        <w:t>.</w:t>
      </w:r>
    </w:p>
    <w:p w14:paraId="5CF2069E" w14:textId="77777777" w:rsidR="00B674B9" w:rsidRPr="00B674B9" w:rsidRDefault="00B674B9" w:rsidP="00B674B9">
      <w:pPr>
        <w:spacing w:line="360" w:lineRule="auto"/>
        <w:ind w:firstLine="360"/>
        <w:contextualSpacing/>
        <w:jc w:val="both"/>
        <w:rPr>
          <w:rFonts w:ascii="Arial" w:eastAsia="Arial" w:hAnsi="Arial" w:cs="Arial"/>
          <w:b/>
          <w:bCs/>
          <w:i/>
          <w:iCs/>
        </w:rPr>
      </w:pPr>
      <w:r w:rsidRPr="00B674B9">
        <w:rPr>
          <w:rFonts w:ascii="Arial" w:eastAsia="Arial" w:hAnsi="Arial" w:cs="Arial"/>
        </w:rPr>
        <w:t xml:space="preserve">Anche con successiva pronuncia, il </w:t>
      </w:r>
      <w:r w:rsidRPr="00B674B9">
        <w:rPr>
          <w:rFonts w:ascii="Arial" w:eastAsia="Arial" w:hAnsi="Arial" w:cs="Arial"/>
          <w:b/>
          <w:bCs/>
        </w:rPr>
        <w:t>Tribunale di Piacenza – i</w:t>
      </w:r>
      <w:r w:rsidRPr="00B674B9">
        <w:rPr>
          <w:rFonts w:ascii="Arial" w:eastAsia="Arial" w:hAnsi="Arial" w:cs="Arial"/>
          <w:b/>
          <w:bCs/>
          <w:u w:val="single"/>
        </w:rPr>
        <w:t>n funzione di giudice di secondo grado (</w:t>
      </w:r>
      <w:proofErr w:type="spellStart"/>
      <w:r w:rsidRPr="00B674B9">
        <w:rPr>
          <w:rFonts w:ascii="Arial" w:eastAsia="Arial" w:hAnsi="Arial" w:cs="Arial"/>
          <w:b/>
          <w:bCs/>
          <w:u w:val="single"/>
        </w:rPr>
        <w:t>sent</w:t>
      </w:r>
      <w:proofErr w:type="spellEnd"/>
      <w:r w:rsidRPr="00B674B9">
        <w:rPr>
          <w:rFonts w:ascii="Arial" w:eastAsia="Arial" w:hAnsi="Arial" w:cs="Arial"/>
          <w:b/>
          <w:bCs/>
          <w:u w:val="single"/>
        </w:rPr>
        <w:t>. 350 del 16.07.2025, R.G. 1562/2024) (doc. 14</w:t>
      </w:r>
      <w:r w:rsidRPr="00B674B9">
        <w:rPr>
          <w:rFonts w:ascii="Arial" w:eastAsia="Arial" w:hAnsi="Arial" w:cs="Arial"/>
          <w:u w:val="single"/>
        </w:rPr>
        <w:t xml:space="preserve">) </w:t>
      </w:r>
      <w:r w:rsidRPr="00B674B9">
        <w:rPr>
          <w:rFonts w:ascii="Arial" w:eastAsia="Arial" w:hAnsi="Arial" w:cs="Arial"/>
        </w:rPr>
        <w:t xml:space="preserve">– 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 il giudice di appello ha infatti precisato che:” </w:t>
      </w:r>
      <w:r w:rsidRPr="00B674B9">
        <w:rPr>
          <w:rFonts w:ascii="Arial" w:eastAsia="Arial" w:hAnsi="Arial" w:cs="Arial"/>
          <w:b/>
          <w:bCs/>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4BF4D083" w14:textId="77777777" w:rsidR="00B674B9" w:rsidRPr="00B674B9" w:rsidRDefault="00B674B9" w:rsidP="00B674B9">
      <w:pPr>
        <w:numPr>
          <w:ilvl w:val="0"/>
          <w:numId w:val="3"/>
        </w:numPr>
        <w:spacing w:line="360" w:lineRule="auto"/>
        <w:contextualSpacing/>
        <w:jc w:val="both"/>
        <w:rPr>
          <w:rFonts w:ascii="Arial" w:eastAsia="Arial" w:hAnsi="Arial" w:cs="Arial"/>
          <w:b/>
          <w:bCs/>
          <w:i/>
          <w:iCs/>
        </w:rPr>
      </w:pPr>
      <w:r w:rsidRPr="00B674B9">
        <w:rPr>
          <w:rFonts w:ascii="Arial" w:eastAsia="Arial" w:hAnsi="Arial" w:cs="Arial"/>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09F007C3" w14:textId="77777777" w:rsidR="00B674B9" w:rsidRPr="00B674B9" w:rsidRDefault="00B674B9" w:rsidP="00B674B9">
      <w:pPr>
        <w:numPr>
          <w:ilvl w:val="0"/>
          <w:numId w:val="3"/>
        </w:numPr>
        <w:spacing w:line="360" w:lineRule="auto"/>
        <w:contextualSpacing/>
        <w:jc w:val="both"/>
        <w:rPr>
          <w:rFonts w:ascii="Arial" w:eastAsia="Arial" w:hAnsi="Arial" w:cs="Arial"/>
          <w:i/>
          <w:iCs/>
        </w:rPr>
      </w:pPr>
      <w:r w:rsidRPr="00B674B9">
        <w:rPr>
          <w:rFonts w:ascii="Arial" w:eastAsia="Arial" w:hAnsi="Arial" w:cs="Arial"/>
          <w:i/>
          <w:iCs/>
        </w:rPr>
        <w:t xml:space="preserve">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w:t>
      </w:r>
      <w:r w:rsidRPr="00B674B9">
        <w:rPr>
          <w:rFonts w:ascii="Arial" w:eastAsia="Arial" w:hAnsi="Arial" w:cs="Arial"/>
          <w:i/>
          <w:iCs/>
        </w:rPr>
        <w:lastRenderedPageBreak/>
        <w:t>nel caso di FTTC che di FTTH la fibra ottica trasporta il traffico di tutti gli operatori, separato tramite l’uso delle VLAN (Virtual LAN).)</w:t>
      </w:r>
    </w:p>
    <w:p w14:paraId="586672F8" w14:textId="77777777" w:rsidR="00B674B9" w:rsidRPr="00B674B9" w:rsidRDefault="00B674B9" w:rsidP="00B674B9">
      <w:pPr>
        <w:numPr>
          <w:ilvl w:val="0"/>
          <w:numId w:val="3"/>
        </w:numPr>
        <w:spacing w:line="360" w:lineRule="auto"/>
        <w:contextualSpacing/>
        <w:jc w:val="both"/>
        <w:rPr>
          <w:rFonts w:ascii="Arial" w:eastAsia="Arial" w:hAnsi="Arial" w:cs="Arial"/>
          <w:i/>
          <w:iCs/>
        </w:rPr>
      </w:pPr>
      <w:proofErr w:type="gramStart"/>
      <w:r w:rsidRPr="00B674B9">
        <w:rPr>
          <w:rFonts w:ascii="Arial" w:eastAsia="Arial" w:hAnsi="Arial" w:cs="Arial"/>
          <w:i/>
          <w:iCs/>
        </w:rPr>
        <w:t>Peraltro</w:t>
      </w:r>
      <w:proofErr w:type="gramEnd"/>
      <w:r w:rsidRPr="00B674B9">
        <w:rPr>
          <w:rFonts w:ascii="Arial" w:eastAsia="Arial" w:hAnsi="Arial" w:cs="Arial"/>
          <w:i/>
          <w:iCs/>
        </w:rPr>
        <w:t xml:space="preserve"> nel criterio di materialità dell’uso dell’infrastruttura altrui deve intendersi incluso anche quello con modalità virtuale considerata l’evoluzione tecnologica nel campo della telefonia.” </w:t>
      </w:r>
    </w:p>
    <w:p w14:paraId="6D557799" w14:textId="77777777" w:rsidR="00B674B9" w:rsidRPr="00B674B9" w:rsidRDefault="00B674B9" w:rsidP="00B674B9">
      <w:pPr>
        <w:spacing w:line="360" w:lineRule="auto"/>
        <w:ind w:firstLine="709"/>
        <w:contextualSpacing/>
        <w:jc w:val="both"/>
        <w:rPr>
          <w:rFonts w:ascii="Arial" w:eastAsia="Arial" w:hAnsi="Arial" w:cs="Arial"/>
        </w:rPr>
      </w:pPr>
      <w:r w:rsidRPr="00B674B9">
        <w:rPr>
          <w:rFonts w:ascii="Arial" w:eastAsia="Arial" w:hAnsi="Arial" w:cs="Arial"/>
        </w:rPr>
        <w:t xml:space="preserve">Ancora, il Tribunale di </w:t>
      </w:r>
      <w:r w:rsidRPr="00B674B9">
        <w:rPr>
          <w:rFonts w:ascii="Arial" w:eastAsia="Arial" w:hAnsi="Arial" w:cs="Arial"/>
          <w:b/>
          <w:bCs/>
        </w:rPr>
        <w:t xml:space="preserve">IVREA </w:t>
      </w:r>
      <w:r w:rsidRPr="00B674B9">
        <w:rPr>
          <w:rFonts w:ascii="Arial" w:eastAsia="Arial" w:hAnsi="Arial" w:cs="Arial"/>
        </w:rPr>
        <w:t xml:space="preserve">– </w:t>
      </w:r>
      <w:r w:rsidRPr="00B674B9">
        <w:rPr>
          <w:rFonts w:ascii="Arial" w:eastAsia="Arial" w:hAnsi="Arial" w:cs="Arial"/>
          <w:b/>
          <w:bCs/>
        </w:rPr>
        <w:t>in funzione di giudice di secondo grado (</w:t>
      </w:r>
      <w:proofErr w:type="spellStart"/>
      <w:r w:rsidRPr="00B674B9">
        <w:rPr>
          <w:rFonts w:ascii="Arial" w:eastAsia="Arial" w:hAnsi="Arial" w:cs="Arial"/>
          <w:b/>
          <w:bCs/>
        </w:rPr>
        <w:t>sent</w:t>
      </w:r>
      <w:proofErr w:type="spellEnd"/>
      <w:r w:rsidRPr="00B674B9">
        <w:rPr>
          <w:rFonts w:ascii="Arial" w:eastAsia="Arial" w:hAnsi="Arial" w:cs="Arial"/>
          <w:b/>
          <w:bCs/>
        </w:rPr>
        <w:t>. 29.09.2025, n. 1255)</w:t>
      </w:r>
      <w:r w:rsidRPr="00B674B9">
        <w:rPr>
          <w:rFonts w:ascii="Arial" w:eastAsia="Arial" w:hAnsi="Arial" w:cs="Arial"/>
        </w:rPr>
        <w:t xml:space="preserve"> </w:t>
      </w:r>
      <w:r w:rsidRPr="00B674B9">
        <w:rPr>
          <w:rFonts w:ascii="Arial" w:eastAsia="Arial" w:hAnsi="Arial" w:cs="Arial"/>
          <w:b/>
          <w:bCs/>
        </w:rPr>
        <w:t>(doc. 15)</w:t>
      </w:r>
      <w:r w:rsidRPr="00B674B9">
        <w:rPr>
          <w:rFonts w:ascii="Arial" w:eastAsia="Arial" w:hAnsi="Arial" w:cs="Arial"/>
        </w:rPr>
        <w:t xml:space="preserve"> – ha rigettato l’appello proposto da un primario operatore telefonico avverso una decisione favorevole al Comune impositore, chiarendo che “</w:t>
      </w:r>
      <w:r w:rsidRPr="00B674B9">
        <w:rPr>
          <w:rFonts w:ascii="Arial" w:eastAsia="Arial" w:hAnsi="Arial" w:cs="Arial"/>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Pr="00B674B9">
        <w:rPr>
          <w:rFonts w:ascii="Arial" w:eastAsia="Arial" w:hAnsi="Arial" w:cs="Arial"/>
        </w:rPr>
        <w:t>”, con la conseguenza che “</w:t>
      </w:r>
      <w:r w:rsidRPr="00B674B9">
        <w:rPr>
          <w:rFonts w:ascii="Arial" w:eastAsia="Arial" w:hAnsi="Arial" w:cs="Arial"/>
          <w:i/>
          <w:iCs/>
        </w:rPr>
        <w:t>l’occupazione mediata del suolo pubblico è ravvisabile anche quando l’operatore accede alle infrastrutture del concessionario mediante sistemi tecnologici quali VULA, WS, FTTH OS, risultando irrilevante l’assenza di una materiale posa in opera di nuovi cav</w:t>
      </w:r>
      <w:r w:rsidRPr="00B674B9">
        <w:rPr>
          <w:rFonts w:ascii="Arial" w:eastAsia="Arial" w:hAnsi="Arial" w:cs="Arial"/>
        </w:rPr>
        <w:t>i”.</w:t>
      </w:r>
    </w:p>
    <w:p w14:paraId="02DA0AD1" w14:textId="77777777" w:rsidR="00B674B9" w:rsidRPr="00B674B9" w:rsidRDefault="00B674B9" w:rsidP="00B674B9">
      <w:pPr>
        <w:spacing w:line="360" w:lineRule="auto"/>
        <w:ind w:firstLine="709"/>
        <w:contextualSpacing/>
        <w:jc w:val="both"/>
        <w:rPr>
          <w:rFonts w:ascii="Arial" w:eastAsia="Arial" w:hAnsi="Arial" w:cs="Arial"/>
        </w:rPr>
      </w:pPr>
      <w:r w:rsidRPr="00B674B9">
        <w:rPr>
          <w:rFonts w:ascii="Arial" w:eastAsia="Arial" w:hAnsi="Arial" w:cs="Arial"/>
        </w:rPr>
        <w:t xml:space="preserve">Infine, il </w:t>
      </w:r>
      <w:r w:rsidRPr="00B674B9">
        <w:rPr>
          <w:rFonts w:ascii="Arial" w:eastAsia="Arial" w:hAnsi="Arial" w:cs="Arial"/>
          <w:b/>
          <w:bCs/>
        </w:rPr>
        <w:t>Tribunale di</w:t>
      </w:r>
      <w:r w:rsidRPr="00B674B9">
        <w:rPr>
          <w:rFonts w:ascii="Arial" w:eastAsia="Arial" w:hAnsi="Arial" w:cs="Arial"/>
        </w:rPr>
        <w:t xml:space="preserve"> </w:t>
      </w:r>
      <w:r w:rsidRPr="00B674B9">
        <w:rPr>
          <w:rFonts w:ascii="Arial" w:eastAsia="Arial" w:hAnsi="Arial" w:cs="Arial"/>
          <w:b/>
          <w:bCs/>
        </w:rPr>
        <w:t>BOLZANO (</w:t>
      </w:r>
      <w:proofErr w:type="spellStart"/>
      <w:r w:rsidRPr="00B674B9">
        <w:rPr>
          <w:rFonts w:ascii="Arial" w:eastAsia="Arial" w:hAnsi="Arial" w:cs="Arial"/>
          <w:b/>
          <w:bCs/>
        </w:rPr>
        <w:t>sent</w:t>
      </w:r>
      <w:proofErr w:type="spellEnd"/>
      <w:r w:rsidRPr="00B674B9">
        <w:rPr>
          <w:rFonts w:ascii="Arial" w:eastAsia="Arial" w:hAnsi="Arial" w:cs="Arial"/>
          <w:b/>
          <w:bCs/>
        </w:rPr>
        <w:t>. 08.04.2024, n. 431) (doc. 16)</w:t>
      </w:r>
      <w:r w:rsidRPr="00B674B9">
        <w:rPr>
          <w:rFonts w:ascii="Arial" w:eastAsia="Arial" w:hAnsi="Arial" w:cs="Arial"/>
        </w:rP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sidRPr="00B674B9">
        <w:rPr>
          <w:rFonts w:ascii="Arial" w:eastAsia="Arial" w:hAnsi="Arial" w:cs="Arial"/>
          <w:i/>
          <w:iCs/>
        </w:rPr>
        <w:t>parte da una premessa errata, confondendo un contratto di accesso o condivisione della rete con una separazione funzionale delle attività che non è rinvenibile nella realtà tecnica e normativa del settore TLC</w:t>
      </w:r>
      <w:r w:rsidRPr="00B674B9">
        <w:rPr>
          <w:rFonts w:ascii="Arial" w:eastAsia="Arial" w:hAnsi="Arial" w:cs="Arial"/>
        </w:rPr>
        <w:t>”; ha ulteriormente affermato che “</w:t>
      </w:r>
      <w:r w:rsidRPr="00B674B9">
        <w:rPr>
          <w:rFonts w:ascii="Arial" w:eastAsia="Arial" w:hAnsi="Arial" w:cs="Arial"/>
          <w:i/>
          <w:iCs/>
        </w:rPr>
        <w:t>sono soggetti passivi del canone tutti gli operatori che utilizzano, anche in via mediata, la rete del concessionario</w:t>
      </w:r>
      <w:r w:rsidRPr="00B674B9">
        <w:rPr>
          <w:rFonts w:ascii="Arial" w:eastAsia="Arial" w:hAnsi="Arial" w:cs="Arial"/>
        </w:rPr>
        <w:t>” e che “</w:t>
      </w:r>
      <w:r w:rsidRPr="00B674B9">
        <w:rPr>
          <w:rFonts w:ascii="Arial" w:eastAsia="Arial" w:hAnsi="Arial" w:cs="Arial"/>
          <w:i/>
          <w:iCs/>
        </w:rPr>
        <w:t>l’uso materiale dell’infrastruttura non richiede l’installazione fisica di cavi e include anche l’utilizzo virtuale, coerentemente con l’evoluzione tecnologica</w:t>
      </w:r>
      <w:r w:rsidRPr="00B674B9">
        <w:rPr>
          <w:rFonts w:ascii="Arial" w:eastAsia="Arial" w:hAnsi="Arial" w:cs="Arial"/>
        </w:rPr>
        <w:t>”.</w:t>
      </w:r>
    </w:p>
    <w:p w14:paraId="01DDAC80" w14:textId="77777777" w:rsidR="00B674B9" w:rsidRPr="00B674B9" w:rsidRDefault="00B674B9" w:rsidP="00B674B9">
      <w:pPr>
        <w:spacing w:line="360" w:lineRule="auto"/>
        <w:ind w:firstLine="709"/>
        <w:jc w:val="both"/>
        <w:rPr>
          <w:rFonts w:ascii="Arial" w:hAnsi="Arial" w:cs="Arial"/>
          <w:i/>
          <w:iCs/>
          <w:kern w:val="1"/>
          <w:lang w:eastAsia="ar-SA"/>
        </w:rPr>
      </w:pPr>
      <w:r w:rsidRPr="00B674B9">
        <w:rPr>
          <w:rFonts w:ascii="Arial" w:hAnsi="Arial" w:cs="Arial"/>
          <w:kern w:val="1"/>
          <w:lang w:eastAsia="ar-SA"/>
        </w:rPr>
        <w:t xml:space="preserve">Si menziona, anche, la recentissima sentenza resa dal </w:t>
      </w:r>
      <w:r w:rsidRPr="00B674B9">
        <w:rPr>
          <w:rFonts w:ascii="Arial" w:hAnsi="Arial" w:cs="Arial"/>
          <w:b/>
          <w:bCs/>
          <w:kern w:val="1"/>
          <w:lang w:eastAsia="ar-SA"/>
        </w:rPr>
        <w:t>Tribunale di Bolzano n. 908/2025 del 15.10.2025</w:t>
      </w:r>
      <w:r w:rsidRPr="00B674B9">
        <w:rPr>
          <w:rFonts w:ascii="Arial" w:hAnsi="Arial" w:cs="Arial"/>
          <w:kern w:val="1"/>
          <w:lang w:eastAsia="ar-SA"/>
        </w:rPr>
        <w:t xml:space="preserve">, che si produce </w:t>
      </w:r>
      <w:r w:rsidRPr="00B674B9">
        <w:rPr>
          <w:rFonts w:ascii="Arial" w:hAnsi="Arial" w:cs="Arial"/>
          <w:b/>
          <w:bCs/>
          <w:kern w:val="1"/>
          <w:lang w:eastAsia="ar-SA"/>
        </w:rPr>
        <w:t>(doc.17)</w:t>
      </w:r>
      <w:r w:rsidRPr="00B674B9">
        <w:rPr>
          <w:rFonts w:ascii="Arial" w:hAnsi="Arial" w:cs="Arial"/>
          <w:kern w:val="1"/>
          <w:lang w:eastAsia="ar-SA"/>
        </w:rPr>
        <w:t xml:space="preserve">, che ha precisato: </w:t>
      </w:r>
      <w:r w:rsidRPr="00B674B9">
        <w:rPr>
          <w:rFonts w:ascii="Arial" w:hAnsi="Arial" w:cs="Arial"/>
          <w:i/>
          <w:iCs/>
          <w:kern w:val="1"/>
          <w:lang w:eastAsia="ar-SA"/>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sidRPr="00B674B9">
        <w:rPr>
          <w:rFonts w:ascii="Arial" w:hAnsi="Arial" w:cs="Arial"/>
          <w:i/>
          <w:iCs/>
          <w:kern w:val="1"/>
          <w:lang w:eastAsia="ar-SA"/>
        </w:rPr>
        <w:t>nn</w:t>
      </w:r>
      <w:proofErr w:type="spellEnd"/>
      <w:r w:rsidRPr="00B674B9">
        <w:rPr>
          <w:rFonts w:ascii="Arial" w:hAnsi="Arial" w:cs="Arial"/>
          <w:i/>
          <w:iCs/>
          <w:kern w:val="1"/>
          <w:lang w:eastAsia="ar-SA"/>
        </w:rPr>
        <w:t>. 431 e 649/2024).</w:t>
      </w:r>
    </w:p>
    <w:p w14:paraId="302F634D" w14:textId="77777777" w:rsidR="00B674B9" w:rsidRPr="00B674B9" w:rsidRDefault="00B674B9" w:rsidP="00B674B9">
      <w:pPr>
        <w:spacing w:line="360" w:lineRule="auto"/>
        <w:ind w:firstLine="709"/>
        <w:jc w:val="both"/>
        <w:rPr>
          <w:rFonts w:ascii="Arial" w:hAnsi="Arial" w:cs="Arial"/>
          <w:kern w:val="1"/>
          <w:lang w:eastAsia="ar-SA"/>
        </w:rPr>
      </w:pPr>
      <w:r w:rsidRPr="00B674B9">
        <w:rPr>
          <w:rFonts w:ascii="Arial" w:hAnsi="Arial" w:cs="Arial"/>
          <w:i/>
          <w:iCs/>
          <w:kern w:val="1"/>
          <w:lang w:eastAsia="ar-SA"/>
        </w:rPr>
        <w:t xml:space="preserve">È, infatti, la natura stessa dell'infrastruttura ad esigere una compresenza di più operatori, che agiscono sulla stessa rete del concessionario, il quale, a sua volta, utilizza l'infrastruttura assieme ai propri ... Quindi, per la particolarità della fattispecie, </w:t>
      </w:r>
      <w:r w:rsidRPr="00B674B9">
        <w:rPr>
          <w:rFonts w:ascii="Arial" w:hAnsi="Arial" w:cs="Arial"/>
          <w:i/>
          <w:iCs/>
          <w:kern w:val="1"/>
          <w:lang w:eastAsia="ar-SA"/>
        </w:rPr>
        <w:lastRenderedPageBreak/>
        <w:t>il concetto della “separazione” deve ritenersi applicabile a casistiche differenti rispetto a quella di cui è causa, come i settori del gas e dell’energia elettrica</w:t>
      </w:r>
      <w:r w:rsidRPr="00B674B9">
        <w:rPr>
          <w:rFonts w:ascii="Arial" w:hAnsi="Arial" w:cs="Arial"/>
          <w:kern w:val="1"/>
          <w:lang w:eastAsia="ar-SA"/>
        </w:rPr>
        <w:t>."</w:t>
      </w:r>
    </w:p>
    <w:p w14:paraId="25013F4F" w14:textId="77777777" w:rsidR="00B674B9" w:rsidRPr="00B674B9" w:rsidRDefault="00B674B9" w:rsidP="00B674B9">
      <w:pPr>
        <w:spacing w:line="360" w:lineRule="auto"/>
        <w:ind w:firstLine="709"/>
        <w:jc w:val="both"/>
        <w:rPr>
          <w:rFonts w:ascii="Arial" w:hAnsi="Arial" w:cs="Arial"/>
          <w:kern w:val="1"/>
          <w:lang w:eastAsia="ar-SA"/>
        </w:rPr>
      </w:pPr>
      <w:r w:rsidRPr="00B674B9">
        <w:rPr>
          <w:rFonts w:ascii="Arial" w:hAnsi="Arial" w:cs="Arial"/>
          <w:kern w:val="1"/>
          <w:lang w:eastAsia="ar-SA"/>
        </w:rPr>
        <w:t>Tale sentenza è stata preceduta già da:</w:t>
      </w:r>
    </w:p>
    <w:p w14:paraId="3BE690B1" w14:textId="77777777" w:rsidR="00B674B9" w:rsidRPr="00B674B9" w:rsidRDefault="00B674B9" w:rsidP="00B674B9">
      <w:pPr>
        <w:spacing w:line="360" w:lineRule="auto"/>
        <w:ind w:firstLine="709"/>
        <w:jc w:val="both"/>
        <w:rPr>
          <w:rFonts w:ascii="Arial" w:hAnsi="Arial" w:cs="Arial"/>
          <w:kern w:val="1"/>
          <w:lang w:eastAsia="ar-SA"/>
        </w:rPr>
      </w:pPr>
      <w:r w:rsidRPr="00B674B9">
        <w:rPr>
          <w:rFonts w:ascii="Arial" w:hAnsi="Arial" w:cs="Arial"/>
          <w:kern w:val="1"/>
          <w:lang w:eastAsia="ar-SA"/>
        </w:rPr>
        <w:t>- Tribunale di Bolzano Sentenza N. 431/2024</w:t>
      </w:r>
    </w:p>
    <w:p w14:paraId="1749ABB9" w14:textId="77777777" w:rsidR="00B674B9" w:rsidRPr="00B674B9" w:rsidRDefault="00B674B9" w:rsidP="00B674B9">
      <w:pPr>
        <w:spacing w:line="360" w:lineRule="auto"/>
        <w:ind w:firstLine="709"/>
        <w:jc w:val="both"/>
        <w:rPr>
          <w:rFonts w:ascii="Arial" w:hAnsi="Arial" w:cs="Arial"/>
          <w:kern w:val="1"/>
          <w:lang w:eastAsia="ar-SA"/>
        </w:rPr>
      </w:pPr>
      <w:bookmarkStart w:id="0" w:name="m_4538845636176179816_m_-648566957053672"/>
      <w:r w:rsidRPr="00B674B9">
        <w:rPr>
          <w:rFonts w:ascii="Arial" w:hAnsi="Arial" w:cs="Arial"/>
          <w:kern w:val="1"/>
          <w:lang w:eastAsia="ar-SA"/>
        </w:rPr>
        <w:t>- Tribunale di Bolzano Sentenza N. 649/2024</w:t>
      </w:r>
      <w:bookmarkEnd w:id="0"/>
    </w:p>
    <w:p w14:paraId="004D8E62" w14:textId="77777777" w:rsidR="00B674B9" w:rsidRPr="00B674B9" w:rsidRDefault="00B674B9" w:rsidP="00B674B9">
      <w:pPr>
        <w:spacing w:line="360" w:lineRule="auto"/>
        <w:ind w:firstLine="709"/>
        <w:jc w:val="both"/>
        <w:rPr>
          <w:rFonts w:ascii="Arial" w:hAnsi="Arial" w:cs="Arial"/>
          <w:kern w:val="1"/>
          <w:lang w:eastAsia="ar-SA"/>
        </w:rPr>
      </w:pPr>
      <w:r w:rsidRPr="00B674B9">
        <w:rPr>
          <w:rFonts w:ascii="Arial" w:hAnsi="Arial" w:cs="Arial"/>
          <w:kern w:val="1"/>
          <w:lang w:eastAsia="ar-SA"/>
        </w:rPr>
        <w:t>- Tribunale di Padova Sentenza N. 1341/2024</w:t>
      </w:r>
    </w:p>
    <w:p w14:paraId="3A5C0597"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Sentenza N. 1409/2023</w:t>
      </w:r>
    </w:p>
    <w:p w14:paraId="774F5057"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Sentenza N. 1410/2023</w:t>
      </w:r>
    </w:p>
    <w:p w14:paraId="38CA03B4"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Sentenza N. 1407/2023</w:t>
      </w:r>
    </w:p>
    <w:p w14:paraId="38FCF206"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Sentenza N. 1411/2023</w:t>
      </w:r>
    </w:p>
    <w:p w14:paraId="5ADD9DA7"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Sentenza N. 1414/2023</w:t>
      </w:r>
    </w:p>
    <w:p w14:paraId="02F608D5"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Sentenza N. 167/2024</w:t>
      </w:r>
    </w:p>
    <w:p w14:paraId="33BD7BD7"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Sentenza N. 168/2024</w:t>
      </w:r>
    </w:p>
    <w:p w14:paraId="0744C43F"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Sentenza N. 294/2024</w:t>
      </w:r>
    </w:p>
    <w:p w14:paraId="742966E5"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RG 5618/2023</w:t>
      </w:r>
    </w:p>
    <w:p w14:paraId="735D605D"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RG 5744/2023</w:t>
      </w:r>
    </w:p>
    <w:p w14:paraId="6046D5AE"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Treviso RG 5434/2023</w:t>
      </w:r>
    </w:p>
    <w:p w14:paraId="188064D5"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Padova Sentenza N. 1511/2023</w:t>
      </w:r>
    </w:p>
    <w:p w14:paraId="10A8F315"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Padova Sentenza N. 1550/2023</w:t>
      </w:r>
    </w:p>
    <w:p w14:paraId="3C822CD8"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Padova Sentenza N. 454/2024</w:t>
      </w:r>
    </w:p>
    <w:p w14:paraId="68FF277E"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Padova Sentenza N. 6795/2024</w:t>
      </w:r>
    </w:p>
    <w:p w14:paraId="1F9B027D"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Padova Sentenza N. 1058/2024</w:t>
      </w:r>
    </w:p>
    <w:p w14:paraId="18BB369A"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Padova RG 5385/2023</w:t>
      </w:r>
    </w:p>
    <w:p w14:paraId="612A6678"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Padova RG 4099/2023</w:t>
      </w:r>
    </w:p>
    <w:p w14:paraId="32A9F019"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Rovigo Sentenza N. 665/2023</w:t>
      </w:r>
    </w:p>
    <w:p w14:paraId="3C6CB524"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Rovigo Sentenza N. 666/2023</w:t>
      </w:r>
    </w:p>
    <w:p w14:paraId="316DF98D"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Rovigo RG 5588/2023</w:t>
      </w:r>
    </w:p>
    <w:p w14:paraId="630B5709"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Rovigo RG 5949/2023</w:t>
      </w:r>
    </w:p>
    <w:p w14:paraId="4516D2AE"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Rovigo Sentenza N. 219/2024</w:t>
      </w:r>
    </w:p>
    <w:p w14:paraId="179D31F5"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Viterbo RG 1716/2023</w:t>
      </w:r>
    </w:p>
    <w:p w14:paraId="04924831"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Ancona Sentenza N. 80/2024</w:t>
      </w:r>
    </w:p>
    <w:p w14:paraId="7AE83E83"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Monza RG 6910/2023</w:t>
      </w:r>
    </w:p>
    <w:p w14:paraId="3AB32911" w14:textId="77777777" w:rsidR="00B674B9" w:rsidRPr="00B674B9" w:rsidRDefault="00B674B9" w:rsidP="00B674B9">
      <w:pPr>
        <w:shd w:val="clear" w:color="auto" w:fill="FFFFFF"/>
        <w:spacing w:line="360" w:lineRule="auto"/>
        <w:ind w:firstLine="709"/>
        <w:jc w:val="both"/>
        <w:rPr>
          <w:rFonts w:ascii="Arial" w:hAnsi="Arial" w:cs="Arial"/>
          <w:kern w:val="1"/>
          <w:lang w:eastAsia="ar-SA"/>
        </w:rPr>
      </w:pPr>
      <w:r w:rsidRPr="00B674B9">
        <w:rPr>
          <w:rFonts w:ascii="Arial" w:hAnsi="Arial" w:cs="Arial"/>
          <w:kern w:val="1"/>
          <w:lang w:eastAsia="ar-SA"/>
        </w:rPr>
        <w:t>- Giudice di Pace di Portoferraio Sentenza N. 17/2024</w:t>
      </w:r>
    </w:p>
    <w:p w14:paraId="063B4639" w14:textId="77777777" w:rsidR="00B674B9" w:rsidRPr="00B674B9" w:rsidRDefault="00B674B9" w:rsidP="00B674B9">
      <w:pPr>
        <w:shd w:val="clear" w:color="auto" w:fill="FFFFFF"/>
        <w:spacing w:line="360" w:lineRule="auto"/>
        <w:ind w:firstLine="709"/>
        <w:jc w:val="both"/>
        <w:rPr>
          <w:rFonts w:ascii="Arial" w:eastAsia="Calibri" w:hAnsi="Arial" w:cs="Arial"/>
          <w:kern w:val="2"/>
          <w:lang w:eastAsia="en-US"/>
        </w:rPr>
      </w:pPr>
      <w:r w:rsidRPr="00B674B9">
        <w:rPr>
          <w:rFonts w:ascii="Arial" w:eastAsia="Calibri" w:hAnsi="Arial" w:cs="Arial"/>
          <w:kern w:val="2"/>
          <w:lang w:eastAsia="en-US"/>
        </w:rPr>
        <w:t>- Giudice di Pace di Parma RG 3192/2023</w:t>
      </w:r>
    </w:p>
    <w:p w14:paraId="2B01B267" w14:textId="77777777" w:rsidR="00B674B9" w:rsidRPr="00B674B9" w:rsidRDefault="00B674B9" w:rsidP="00B674B9">
      <w:pPr>
        <w:shd w:val="clear" w:color="auto" w:fill="FFFFFF"/>
        <w:spacing w:line="360" w:lineRule="auto"/>
        <w:ind w:firstLine="709"/>
        <w:jc w:val="both"/>
        <w:rPr>
          <w:rFonts w:ascii="Arial" w:eastAsia="Calibri" w:hAnsi="Arial" w:cs="Arial"/>
          <w:kern w:val="2"/>
          <w:lang w:eastAsia="en-US"/>
        </w:rPr>
      </w:pPr>
      <w:r w:rsidRPr="00B674B9">
        <w:rPr>
          <w:rFonts w:ascii="Arial" w:eastAsia="Calibri" w:hAnsi="Arial" w:cs="Arial"/>
          <w:kern w:val="2"/>
          <w:lang w:eastAsia="en-US"/>
        </w:rPr>
        <w:t>- Giudice di Pace di Novara Sentenza N. 4824/2023</w:t>
      </w:r>
    </w:p>
    <w:p w14:paraId="7B25EE02" w14:textId="77777777" w:rsidR="00B674B9" w:rsidRPr="00B674B9" w:rsidRDefault="00B674B9" w:rsidP="00B674B9">
      <w:pPr>
        <w:shd w:val="clear" w:color="auto" w:fill="FFFFFF"/>
        <w:spacing w:line="360" w:lineRule="auto"/>
        <w:ind w:firstLine="709"/>
        <w:jc w:val="both"/>
        <w:rPr>
          <w:rFonts w:ascii="Arial" w:eastAsia="Calibri" w:hAnsi="Arial" w:cs="Arial"/>
          <w:kern w:val="2"/>
          <w:lang w:eastAsia="en-US"/>
        </w:rPr>
      </w:pPr>
      <w:r w:rsidRPr="00B674B9">
        <w:rPr>
          <w:rFonts w:ascii="Arial" w:eastAsia="Calibri" w:hAnsi="Arial" w:cs="Arial"/>
          <w:kern w:val="2"/>
          <w:lang w:eastAsia="en-US"/>
        </w:rPr>
        <w:lastRenderedPageBreak/>
        <w:t>- Giudice di Pace di Lanciano RG 639/2023</w:t>
      </w:r>
    </w:p>
    <w:p w14:paraId="7928C5B3" w14:textId="77777777" w:rsidR="00B674B9" w:rsidRPr="00B674B9" w:rsidRDefault="00B674B9" w:rsidP="00B674B9">
      <w:pPr>
        <w:shd w:val="clear" w:color="auto" w:fill="FFFFFF"/>
        <w:spacing w:line="360" w:lineRule="auto"/>
        <w:ind w:firstLine="709"/>
        <w:jc w:val="both"/>
        <w:rPr>
          <w:rFonts w:ascii="Arial" w:eastAsia="Calibri" w:hAnsi="Arial" w:cs="Arial"/>
          <w:kern w:val="2"/>
          <w:lang w:eastAsia="en-US"/>
        </w:rPr>
      </w:pPr>
      <w:r w:rsidRPr="00B674B9">
        <w:rPr>
          <w:rFonts w:ascii="Arial" w:eastAsia="Calibri" w:hAnsi="Arial" w:cs="Arial"/>
          <w:kern w:val="2"/>
          <w:lang w:eastAsia="en-US"/>
        </w:rPr>
        <w:t>- Giudice di Pace di Ivrea RG 2842/2023</w:t>
      </w:r>
    </w:p>
    <w:p w14:paraId="2C355159" w14:textId="77777777" w:rsidR="00B674B9" w:rsidRPr="00B674B9" w:rsidRDefault="00B674B9" w:rsidP="00B674B9">
      <w:pPr>
        <w:shd w:val="clear" w:color="auto" w:fill="FFFFFF"/>
        <w:spacing w:line="360" w:lineRule="auto"/>
        <w:ind w:firstLine="709"/>
        <w:jc w:val="both"/>
        <w:rPr>
          <w:rFonts w:ascii="Arial" w:eastAsia="Calibri" w:hAnsi="Arial" w:cs="Arial"/>
          <w:kern w:val="2"/>
          <w:lang w:eastAsia="en-US"/>
        </w:rPr>
      </w:pPr>
      <w:r w:rsidRPr="00B674B9">
        <w:rPr>
          <w:rFonts w:ascii="Arial" w:eastAsia="Calibri" w:hAnsi="Arial" w:cs="Arial"/>
          <w:kern w:val="2"/>
          <w:lang w:eastAsia="en-US"/>
        </w:rPr>
        <w:t>- Giudice di Pace di Sondrio Sentenza N. 117/2024</w:t>
      </w:r>
    </w:p>
    <w:p w14:paraId="147E9DC6" w14:textId="77777777" w:rsidR="00B674B9" w:rsidRPr="00B674B9" w:rsidRDefault="00B674B9" w:rsidP="00B674B9">
      <w:pPr>
        <w:shd w:val="clear" w:color="auto" w:fill="FFFFFF"/>
        <w:spacing w:line="360" w:lineRule="auto"/>
        <w:ind w:firstLine="709"/>
        <w:jc w:val="both"/>
        <w:rPr>
          <w:rFonts w:ascii="Arial" w:eastAsia="Calibri" w:hAnsi="Arial" w:cs="Arial"/>
          <w:kern w:val="2"/>
          <w:lang w:eastAsia="en-US"/>
        </w:rPr>
      </w:pPr>
      <w:r w:rsidRPr="00B674B9">
        <w:rPr>
          <w:rFonts w:ascii="Arial" w:eastAsia="Calibri" w:hAnsi="Arial" w:cs="Arial"/>
          <w:kern w:val="2"/>
          <w:lang w:eastAsia="en-US"/>
        </w:rPr>
        <w:t>- Giudice di Pace di Belluno RG 1263/2023</w:t>
      </w:r>
    </w:p>
    <w:p w14:paraId="24F34584" w14:textId="77777777" w:rsidR="00B674B9" w:rsidRPr="00B674B9" w:rsidRDefault="00B674B9" w:rsidP="00B674B9">
      <w:pPr>
        <w:spacing w:line="360" w:lineRule="auto"/>
        <w:ind w:firstLine="708"/>
        <w:contextualSpacing/>
        <w:jc w:val="both"/>
        <w:rPr>
          <w:rFonts w:ascii="Arial" w:hAnsi="Arial" w:cs="Arial"/>
          <w:u w:val="single"/>
        </w:rPr>
      </w:pPr>
      <w:r w:rsidRPr="00B674B9">
        <w:rPr>
          <w:rFonts w:ascii="Arial" w:hAnsi="Arial" w:cs="Arial"/>
          <w:u w:val="single"/>
        </w:rPr>
        <w:t>Con riguardo, poi, alla sentenza della Corte d'Appello di Venezia n. 276/2026 del 10 febbraio 2026, richiamata da FASTWEB S.p.A. a sostegno della propria tesi difensiva, occorre svolgere alcune considerazioni critiche.</w:t>
      </w:r>
    </w:p>
    <w:p w14:paraId="23BEA9E1" w14:textId="77777777" w:rsidR="00B674B9" w:rsidRPr="00B674B9" w:rsidRDefault="00B674B9" w:rsidP="00B674B9">
      <w:pPr>
        <w:spacing w:line="360" w:lineRule="auto"/>
        <w:contextualSpacing/>
        <w:jc w:val="both"/>
        <w:rPr>
          <w:rFonts w:ascii="Arial" w:hAnsi="Arial" w:cs="Arial"/>
        </w:rPr>
      </w:pPr>
      <w:r w:rsidRPr="00B674B9">
        <w:rPr>
          <w:rFonts w:ascii="Arial" w:hAnsi="Arial" w:cs="Arial"/>
        </w:rPr>
        <w:tab/>
        <w:t xml:space="preserve">La pronuncia, lungi dal costituire un arresto definitivo della questione, si pone in aperta contraddizione con la </w:t>
      </w:r>
      <w:r w:rsidRPr="00B674B9">
        <w:rPr>
          <w:rFonts w:ascii="Arial" w:hAnsi="Arial" w:cs="Arial"/>
          <w:i/>
          <w:iCs/>
        </w:rPr>
        <w:t>ratio legis</w:t>
      </w:r>
      <w:r w:rsidRPr="00B674B9">
        <w:rPr>
          <w:rFonts w:ascii="Arial" w:hAnsi="Arial" w:cs="Arial"/>
        </w:rPr>
        <w:t xml:space="preserve"> desumibile dall'evoluzione normativa del comma 831 e con le argomentazioni tecnico-giuridiche sviluppate dalla giurisprudenza di merito prevalente. </w:t>
      </w:r>
    </w:p>
    <w:p w14:paraId="6487D6CE" w14:textId="77777777" w:rsidR="00B674B9" w:rsidRPr="00B674B9" w:rsidRDefault="00B674B9" w:rsidP="00B674B9">
      <w:pPr>
        <w:spacing w:line="360" w:lineRule="auto"/>
        <w:ind w:firstLine="708"/>
        <w:contextualSpacing/>
        <w:jc w:val="both"/>
        <w:rPr>
          <w:rFonts w:ascii="Arial" w:hAnsi="Arial" w:cs="Arial"/>
          <w:b/>
          <w:bCs/>
          <w:u w:val="single"/>
        </w:rPr>
      </w:pPr>
      <w:r w:rsidRPr="00B674B9">
        <w:rPr>
          <w:rFonts w:ascii="Arial" w:hAnsi="Arial" w:cs="Arial"/>
        </w:rPr>
        <w:t xml:space="preserve">Il giudice veneziano ha, invero, attribuito valore di separazione funzionale a un mero accordo di accesso alla rete, </w:t>
      </w:r>
      <w:r w:rsidRPr="00B674B9">
        <w:rPr>
          <w:rFonts w:ascii="Arial" w:hAnsi="Arial" w:cs="Arial"/>
          <w:b/>
          <w:bCs/>
          <w:u w:val="single"/>
        </w:rPr>
        <w:t>confondendo così la separazione funzionale tipica dei settori gas/energia</w:t>
      </w:r>
      <w:r w:rsidRPr="00B674B9">
        <w:rPr>
          <w:rFonts w:ascii="Arial" w:hAnsi="Arial" w:cs="Arial"/>
        </w:rPr>
        <w:t xml:space="preserve"> – cui esclusivamente si riferisce la norma di interpretazione autentica di cui all'art. 5, comma 14-quinquies, D.L. 146/2021 – </w:t>
      </w:r>
      <w:r w:rsidRPr="00B674B9">
        <w:rPr>
          <w:rFonts w:ascii="Arial" w:hAnsi="Arial" w:cs="Arial"/>
          <w:b/>
          <w:bCs/>
          <w:u w:val="single"/>
        </w:rPr>
        <w:t>con la condivisione concorrenziale propria delle telecomunicazioni, che è di tutt'altra natura e risponde a una logica normativa opposta.</w:t>
      </w:r>
    </w:p>
    <w:p w14:paraId="4A489445" w14:textId="77777777" w:rsidR="00B674B9" w:rsidRPr="00B674B9" w:rsidRDefault="00B674B9" w:rsidP="00AC383D">
      <w:pPr>
        <w:spacing w:line="360" w:lineRule="auto"/>
        <w:contextualSpacing/>
        <w:jc w:val="both"/>
        <w:rPr>
          <w:rFonts w:ascii="Arial" w:hAnsi="Arial" w:cs="Arial"/>
          <w:b/>
          <w:bCs/>
        </w:rPr>
      </w:pPr>
      <w:r w:rsidRPr="00B674B9">
        <w:rPr>
          <w:rFonts w:ascii="Arial" w:hAnsi="Arial" w:cs="Arial"/>
        </w:rPr>
        <w:tab/>
        <w:t xml:space="preserve">Come dimostrato dalle pronunce sopra richiamate – Tribunale di Bergamo n. 289 del 21.3.2026 e n. 1523 del 25.11.2025, Tribunale di Napoli 5948 del 13.4.2026 Tribunale di Treviso n. 240/2025 del 20.02.2025 (appello), Tribunale di Piacenza n. 207 del 06.05.2025 e relativa conferma in appello del 16.07.2025 (R.G. 1562/2024), Tribunale di Ivrea n. 1255 del 29.09.2025 (appello) e Tribunale di Bolzano n. 431 del 08.04.2024 – l'orientamento espresso dalla Corte veneziana costituisce pertanto un indirizzo del tutto minoritario e non condivisibile, che non vale a scalfire </w:t>
      </w:r>
      <w:r w:rsidRPr="00B674B9">
        <w:rPr>
          <w:rFonts w:ascii="Arial" w:hAnsi="Arial" w:cs="Arial"/>
          <w:b/>
          <w:bCs/>
        </w:rPr>
        <w:t>il costante e consolidato orientamento della giurisprudenza di merito, formatosi anche specificamente nei confronti di FASTWEB S.p.A., nel senso della piena soggettività passiva mediata degli operatori di telecomunicazioni che si avvalgono delle infrastrutture altrui.</w:t>
      </w:r>
    </w:p>
    <w:p w14:paraId="25CF5E9B" w14:textId="77777777" w:rsidR="008C2BB4" w:rsidRPr="00CC60C0" w:rsidRDefault="00000000" w:rsidP="00AC383D">
      <w:pPr>
        <w:spacing w:line="360" w:lineRule="auto"/>
        <w:ind w:firstLine="708"/>
        <w:jc w:val="both"/>
        <w:rPr>
          <w:rFonts w:ascii="Arial" w:hAnsi="Arial" w:cs="Arial"/>
        </w:rPr>
      </w:pPr>
      <w:r>
        <w:rPr>
          <w:rFonts w:ascii="Arial" w:hAnsi="Arial" w:cs="Arial"/>
          <w:b/>
          <w:bCs/>
        </w:rPr>
        <w:t>II) Sulla pretesa "Violazione del Regolamento Comunale che prevede la soggettività passiva del concessionario anche per le utenze delle società di vendita."</w:t>
      </w:r>
    </w:p>
    <w:p w14:paraId="1F6D32E2" w14:textId="77777777" w:rsidR="008C2BB4" w:rsidRPr="00CC60C0" w:rsidRDefault="00000000" w:rsidP="00AC383D">
      <w:pPr>
        <w:spacing w:line="360" w:lineRule="auto"/>
        <w:ind w:firstLine="708"/>
        <w:jc w:val="both"/>
        <w:rPr>
          <w:rFonts w:ascii="Arial" w:hAnsi="Arial" w:cs="Arial"/>
        </w:rPr>
      </w:pPr>
      <w:r>
        <w:rPr>
          <w:rFonts w:ascii="Arial" w:hAnsi="Arial" w:cs="Arial"/>
        </w:rPr>
        <w:t>FASTWEB S.p.A. deduce la violazione degli artt. 25, comma 16, e 30, comma 7, del Regolamento Comunale approvato con Deliberazione C.C. n. 2 del 24.03.2021, sostenendo che esso prevederebbe la soggettività passiva esclusiva del concessionario anche per le utenze delle società di vendita.</w:t>
      </w:r>
    </w:p>
    <w:p w14:paraId="3B45C206" w14:textId="77777777" w:rsidR="008C2BB4" w:rsidRPr="00CC60C0" w:rsidRDefault="00000000" w:rsidP="00AC383D">
      <w:pPr>
        <w:spacing w:line="360" w:lineRule="auto"/>
        <w:ind w:firstLine="708"/>
        <w:jc w:val="both"/>
        <w:rPr>
          <w:rFonts w:ascii="Arial" w:hAnsi="Arial" w:cs="Arial"/>
        </w:rPr>
      </w:pPr>
      <w:r>
        <w:rPr>
          <w:rFonts w:ascii="Arial" w:hAnsi="Arial" w:cs="Arial"/>
        </w:rPr>
        <w:lastRenderedPageBreak/>
        <w:t>La tesi è infondata e va respinta.</w:t>
      </w:r>
    </w:p>
    <w:p w14:paraId="7E312350" w14:textId="77777777" w:rsidR="008C2BB4" w:rsidRPr="00CC60C0" w:rsidRDefault="00000000" w:rsidP="00AC383D">
      <w:pPr>
        <w:spacing w:line="360" w:lineRule="auto"/>
        <w:ind w:firstLine="708"/>
        <w:jc w:val="both"/>
        <w:rPr>
          <w:rFonts w:ascii="Arial" w:hAnsi="Arial" w:cs="Arial"/>
        </w:rPr>
      </w:pPr>
      <w:r>
        <w:rPr>
          <w:rFonts w:ascii="Arial" w:hAnsi="Arial" w:cs="Arial"/>
        </w:rPr>
        <w:t>In primo luogo, il Regolamento Comunale va letto in conformità con le disposizioni legislative di rango superiore e, in particolare, con l'art. 1, comma 831, della Legge n. 160/2019, come modificato dalla L. n. 178/2020: l'Ente Locale, nell'esercizio della propria potestà regolamentare, non può derogare a una norma di legge, né interpretarla in senso restrittivo rispetto a quanto stabilito dal Legislatore statale.</w:t>
      </w:r>
    </w:p>
    <w:p w14:paraId="757436CC" w14:textId="77777777" w:rsidR="00AC383D" w:rsidRDefault="00000000" w:rsidP="00AC383D">
      <w:pPr>
        <w:spacing w:line="360" w:lineRule="auto"/>
        <w:ind w:firstLine="708"/>
        <w:jc w:val="both"/>
        <w:rPr>
          <w:rFonts w:ascii="Arial" w:hAnsi="Arial" w:cs="Arial"/>
        </w:rPr>
      </w:pPr>
      <w:r>
        <w:rPr>
          <w:rFonts w:ascii="Arial" w:hAnsi="Arial" w:cs="Arial"/>
        </w:rPr>
        <w:t xml:space="preserve">In secondo luogo, le disposizioni regolamentari richiamate da FASTWEB S.p.A. devono essere lette in modo sistematico e non isolato: esse disciplinano le modalità di dichiarazione e versamento del canone da parte del concessionario, senza per questo escludere la soggettività passiva mediata degli altri utilizzatori della rete, espressamente prevista dalla legge. </w:t>
      </w:r>
    </w:p>
    <w:p w14:paraId="3D81D828" w14:textId="77777777" w:rsidR="00AC383D" w:rsidRDefault="00000000" w:rsidP="00AC383D">
      <w:pPr>
        <w:spacing w:line="360" w:lineRule="auto"/>
        <w:ind w:firstLine="708"/>
        <w:jc w:val="both"/>
        <w:rPr>
          <w:rFonts w:ascii="Arial" w:hAnsi="Arial" w:cs="Arial"/>
        </w:rPr>
      </w:pPr>
      <w:r>
        <w:rPr>
          <w:rFonts w:ascii="Arial" w:hAnsi="Arial" w:cs="Arial"/>
        </w:rPr>
        <w:t xml:space="preserve">In terzo luogo, e in ogni caso, anche a voler ritenere che il Regolamento Comunale contenga una previsione difforma dalla legge, essa sarebbe priva di efficacia giuridica in quanto adottata in contrasto con una norma di rango primario. </w:t>
      </w:r>
    </w:p>
    <w:p w14:paraId="1FB47702" w14:textId="066721A1" w:rsidR="008C2BB4" w:rsidRPr="00CC60C0" w:rsidRDefault="00000000" w:rsidP="00AC383D">
      <w:pPr>
        <w:spacing w:line="360" w:lineRule="auto"/>
        <w:ind w:firstLine="708"/>
        <w:jc w:val="both"/>
        <w:rPr>
          <w:rFonts w:ascii="Arial" w:hAnsi="Arial" w:cs="Arial"/>
        </w:rPr>
      </w:pPr>
      <w:r>
        <w:rPr>
          <w:rFonts w:ascii="Arial" w:hAnsi="Arial" w:cs="Arial"/>
        </w:rPr>
        <w:t>La legge statale prevale sul regolamento comunale, con la conseguenza che la soggettività passiva mediata di FASTWEB S.p.A. trova diretto fondamento nell'art. 1, comma 831, L. 160/2019, indipendentemente dal contenuto del Regolamento locale.</w:t>
      </w:r>
    </w:p>
    <w:p w14:paraId="1EFBB5AB" w14:textId="77777777" w:rsidR="008C2BB4" w:rsidRPr="00CC60C0" w:rsidRDefault="00000000" w:rsidP="00AC383D">
      <w:pPr>
        <w:spacing w:line="360" w:lineRule="auto"/>
        <w:ind w:firstLine="708"/>
        <w:jc w:val="both"/>
        <w:rPr>
          <w:rFonts w:ascii="Arial" w:hAnsi="Arial" w:cs="Arial"/>
        </w:rPr>
      </w:pPr>
      <w:r>
        <w:rPr>
          <w:rFonts w:ascii="Arial" w:hAnsi="Arial" w:cs="Arial"/>
          <w:b/>
          <w:bCs/>
        </w:rPr>
        <w:t>IV) Sulla pretesa "Nullità dell'avviso di accertamento esecutivo: violazione dell'art. 1, comma 792, della Legge n. 160/2019; mancanza di formale contestazione; difetto di motivazione."</w:t>
      </w:r>
    </w:p>
    <w:p w14:paraId="763BC12D" w14:textId="77777777" w:rsidR="008C3433" w:rsidRDefault="00000000" w:rsidP="008C3433">
      <w:pPr>
        <w:spacing w:line="360" w:lineRule="auto"/>
        <w:ind w:firstLine="709"/>
        <w:jc w:val="both"/>
        <w:rPr>
          <w:rFonts w:ascii="Arial" w:hAnsi="Arial" w:cs="Arial"/>
          <w:kern w:val="1"/>
          <w:lang w:eastAsia="ar-SA"/>
        </w:rPr>
      </w:pPr>
      <w:r>
        <w:rPr>
          <w:rFonts w:ascii="Arial" w:hAnsi="Arial" w:cs="Arial"/>
        </w:rPr>
        <w:t xml:space="preserve">L'avviso di accertamento n. 1 del 12/01/2026, per le ragioni innanzi illustrate, </w:t>
      </w:r>
      <w:r w:rsidRPr="00AC383D">
        <w:rPr>
          <w:rFonts w:ascii="Arial" w:hAnsi="Arial" w:cs="Arial"/>
          <w:kern w:val="1"/>
          <w:u w:val="single"/>
          <w:lang w:eastAsia="ar-SA"/>
        </w:rPr>
        <w:t>oltre ad essere legittimo non doveva di certo essere preceduto da alcuna formale contestazione, essendo quest'ultima prevista, dal regolamento comunale, nel solo caso di occupazione abusiva del suolo pubblico</w:t>
      </w:r>
      <w:r>
        <w:rPr>
          <w:rFonts w:ascii="Arial" w:hAnsi="Arial" w:cs="Arial"/>
          <w:kern w:val="1"/>
          <w:lang w:eastAsia="ar-SA"/>
        </w:rPr>
        <w:t>, circostanza non oggetto di contestazione da parte dell'Ente impositore nel caso di specie.</w:t>
      </w:r>
    </w:p>
    <w:p w14:paraId="2957A3E4" w14:textId="77777777" w:rsidR="00AC383D" w:rsidRPr="00AC383D" w:rsidRDefault="00AC383D" w:rsidP="00AC383D">
      <w:pPr>
        <w:spacing w:line="360" w:lineRule="auto"/>
        <w:ind w:firstLine="708"/>
        <w:contextualSpacing/>
        <w:jc w:val="both"/>
        <w:rPr>
          <w:rFonts w:ascii="Arial" w:hAnsi="Arial" w:cs="Arial"/>
        </w:rPr>
      </w:pPr>
      <w:r w:rsidRPr="00AC383D">
        <w:rPr>
          <w:rFonts w:ascii="Arial" w:hAnsi="Arial" w:cs="Arial"/>
        </w:rPr>
        <w:t>La fattispecie in esame, infatti, non riguarda un'occupazione “abusiva” nel senso tradizionale del termine (ad es. un'installazione fisica non autorizzata da rimuovere), bensì una fattispecie di “occupazione mediata” normativamente prevista, per la quale è dovuto un canone.</w:t>
      </w:r>
    </w:p>
    <w:p w14:paraId="22372052" w14:textId="25F1215B" w:rsidR="00AC383D" w:rsidRPr="00AC383D" w:rsidRDefault="00AC383D" w:rsidP="00AC383D">
      <w:pPr>
        <w:spacing w:line="360" w:lineRule="auto"/>
        <w:contextualSpacing/>
        <w:jc w:val="both"/>
        <w:rPr>
          <w:rFonts w:ascii="Arial" w:hAnsi="Arial" w:cs="Arial"/>
        </w:rPr>
      </w:pPr>
      <w:r w:rsidRPr="00AC383D">
        <w:rPr>
          <w:rFonts w:ascii="Arial" w:hAnsi="Arial" w:cs="Arial"/>
        </w:rPr>
        <w:tab/>
        <w:t>Ed infatti, a FASTWEB S.p.A., è stato contestato di aver “</w:t>
      </w:r>
      <w:r w:rsidRPr="00AC383D">
        <w:rPr>
          <w:rFonts w:ascii="Arial" w:hAnsi="Arial" w:cs="Arial"/>
          <w:i/>
          <w:iCs/>
        </w:rPr>
        <w:t xml:space="preserve">utilizzato in via mediata la rete telefonica del soggetto titolare della concessione nel Comune di Cazzano di </w:t>
      </w:r>
      <w:proofErr w:type="spellStart"/>
      <w:r w:rsidRPr="00AC383D">
        <w:rPr>
          <w:rFonts w:ascii="Arial" w:hAnsi="Arial" w:cs="Arial"/>
          <w:i/>
          <w:iCs/>
        </w:rPr>
        <w:t>Tramiglia</w:t>
      </w:r>
      <w:proofErr w:type="spellEnd"/>
      <w:r w:rsidRPr="00AC383D">
        <w:rPr>
          <w:rFonts w:ascii="Arial" w:hAnsi="Arial" w:cs="Arial"/>
          <w:i/>
          <w:iCs/>
        </w:rPr>
        <w:t xml:space="preserve"> per le annualità dal 2021 al 2024</w:t>
      </w:r>
      <w:r w:rsidRPr="00AC383D">
        <w:rPr>
          <w:rFonts w:ascii="Arial" w:hAnsi="Arial" w:cs="Arial"/>
        </w:rPr>
        <w:t xml:space="preserve">” attraverso collegamenti tecnologici, senza che sia quindi necessaria alcuna occupazione fisica o modificazione della realtà, </w:t>
      </w:r>
      <w:r w:rsidRPr="00AC383D">
        <w:rPr>
          <w:rFonts w:ascii="Arial" w:hAnsi="Arial" w:cs="Arial"/>
          <w:b/>
          <w:bCs/>
        </w:rPr>
        <w:t xml:space="preserve">e che la società, contattata a mezzo PEC, non ha inviato </w:t>
      </w:r>
      <w:r w:rsidRPr="00AC383D">
        <w:rPr>
          <w:rFonts w:ascii="Arial" w:hAnsi="Arial" w:cs="Arial"/>
          <w:b/>
          <w:bCs/>
        </w:rPr>
        <w:lastRenderedPageBreak/>
        <w:t>alcuna dichiarazione circa le utenze attive né ha effettuato alcun versamento del canone per le annualità 2021-2024.</w:t>
      </w:r>
    </w:p>
    <w:p w14:paraId="37DFAFFF" w14:textId="77777777" w:rsidR="00AC383D" w:rsidRPr="00AC383D" w:rsidRDefault="00AC383D" w:rsidP="00AC383D">
      <w:pPr>
        <w:spacing w:line="360" w:lineRule="auto"/>
        <w:contextualSpacing/>
        <w:jc w:val="both"/>
        <w:rPr>
          <w:rFonts w:ascii="Arial" w:hAnsi="Arial" w:cs="Arial"/>
        </w:rPr>
      </w:pPr>
      <w:r w:rsidRPr="00AC383D">
        <w:rPr>
          <w:rFonts w:ascii="Arial" w:hAnsi="Arial" w:cs="Arial"/>
        </w:rPr>
        <w:tab/>
        <w:t>Quindi, alla società è stato contestato l'omesso versamento e l'omessa dichiarazione.</w:t>
      </w:r>
    </w:p>
    <w:p w14:paraId="1B6FAB0C" w14:textId="77777777" w:rsidR="00AC383D" w:rsidRPr="00AC383D" w:rsidRDefault="00AC383D" w:rsidP="00AC383D">
      <w:pPr>
        <w:spacing w:line="360" w:lineRule="auto"/>
        <w:ind w:firstLine="709"/>
        <w:jc w:val="both"/>
        <w:rPr>
          <w:rFonts w:ascii="Arial" w:hAnsi="Arial" w:cs="Arial"/>
          <w:kern w:val="1"/>
          <w:lang w:eastAsia="ar-SA"/>
        </w:rPr>
      </w:pPr>
      <w:r w:rsidRPr="00AC383D">
        <w:rPr>
          <w:rFonts w:ascii="Arial" w:hAnsi="Arial" w:cs="Arial"/>
          <w:kern w:val="1"/>
          <w:lang w:eastAsia="ar-SA"/>
        </w:rPr>
        <w:t>In tal senso si è espressa, anche, la giurisprudenza citata.</w:t>
      </w:r>
    </w:p>
    <w:p w14:paraId="6BC533CA" w14:textId="72965CA2" w:rsidR="008C3433" w:rsidRPr="008C3433" w:rsidRDefault="008C3433" w:rsidP="008C3433">
      <w:pPr>
        <w:spacing w:line="360" w:lineRule="auto"/>
        <w:ind w:firstLine="709"/>
        <w:jc w:val="both"/>
        <w:rPr>
          <w:rFonts w:ascii="Arial" w:hAnsi="Arial" w:cs="Arial"/>
          <w:kern w:val="1"/>
          <w:lang w:eastAsia="ar-SA"/>
        </w:rPr>
      </w:pPr>
      <w:r>
        <w:rPr>
          <w:rFonts w:ascii="Arial" w:hAnsi="Arial" w:cs="Arial"/>
          <w:kern w:val="1"/>
          <w:lang w:eastAsia="ar-SA"/>
        </w:rPr>
        <w:t>Si ricorda</w:t>
      </w:r>
      <w:r w:rsidR="00AC383D">
        <w:rPr>
          <w:rFonts w:ascii="Arial" w:hAnsi="Arial" w:cs="Arial"/>
          <w:kern w:val="1"/>
          <w:lang w:eastAsia="ar-SA"/>
        </w:rPr>
        <w:t>,</w:t>
      </w:r>
      <w:r>
        <w:rPr>
          <w:rFonts w:ascii="Arial" w:hAnsi="Arial" w:cs="Arial"/>
          <w:kern w:val="1"/>
          <w:lang w:eastAsia="ar-SA"/>
        </w:rPr>
        <w:t xml:space="preserve"> poi</w:t>
      </w:r>
      <w:r w:rsidR="00AC383D">
        <w:rPr>
          <w:rFonts w:ascii="Arial" w:hAnsi="Arial" w:cs="Arial"/>
          <w:kern w:val="1"/>
          <w:lang w:eastAsia="ar-SA"/>
        </w:rPr>
        <w:t>,</w:t>
      </w:r>
      <w:r>
        <w:rPr>
          <w:rFonts w:ascii="Arial" w:hAnsi="Arial" w:cs="Arial"/>
          <w:b/>
          <w:kern w:val="1"/>
          <w:lang w:eastAsia="ar-SA"/>
        </w:rPr>
        <w:t xml:space="preserve"> </w:t>
      </w:r>
      <w:r>
        <w:rPr>
          <w:rFonts w:ascii="Arial" w:hAnsi="Arial" w:cs="Arial"/>
          <w:kern w:val="1"/>
          <w:lang w:eastAsia="ar-SA"/>
        </w:rPr>
        <w:t xml:space="preserve">che l’istituto dell’accertamento esecutivo, applicabile anche al Canone oggetto del presente contenzioso, è stato introdotto dal comma </w:t>
      </w:r>
      <w:r w:rsidRPr="00AC383D">
        <w:rPr>
          <w:rFonts w:ascii="Arial" w:hAnsi="Arial" w:cs="Arial"/>
          <w:b/>
          <w:bCs/>
          <w:kern w:val="1"/>
          <w:lang w:eastAsia="ar-SA"/>
        </w:rPr>
        <w:t>792</w:t>
      </w:r>
      <w:r>
        <w:rPr>
          <w:rFonts w:ascii="Arial" w:hAnsi="Arial" w:cs="Arial"/>
          <w:kern w:val="1"/>
          <w:lang w:eastAsia="ar-SA"/>
        </w:rPr>
        <w:t xml:space="preserve">, art. 1 della L. 160/2019 proprio al fine di potenziare l’attività di riscossione delle entrate comunali, sia di natura tributaria sia di natura patrimoniale come quella in esame </w:t>
      </w:r>
      <w:r>
        <w:rPr>
          <w:rFonts w:ascii="Arial" w:hAnsi="Arial" w:cs="Arial"/>
          <w:b/>
          <w:kern w:val="1"/>
          <w:lang w:eastAsia="ar-SA"/>
        </w:rPr>
        <w:t>(</w:t>
      </w:r>
      <w:r>
        <w:rPr>
          <w:rFonts w:ascii="Arial" w:hAnsi="Arial" w:cs="Arial"/>
          <w:b/>
          <w:bCs/>
          <w:kern w:val="1"/>
          <w:lang w:eastAsia="ar-SA"/>
        </w:rPr>
        <w:t>792.</w:t>
      </w:r>
      <w:r>
        <w:rPr>
          <w:rFonts w:ascii="Arial" w:hAnsi="Arial" w:cs="Arial"/>
          <w:b/>
          <w:bCs/>
          <w:i/>
          <w:iCs/>
          <w:kern w:val="1"/>
          <w:lang w:eastAsia="ar-SA"/>
        </w:rPr>
        <w:t> </w:t>
      </w:r>
      <w:r>
        <w:rPr>
          <w:rFonts w:ascii="Arial" w:hAnsi="Arial" w:cs="Arial"/>
          <w:i/>
          <w:iCs/>
          <w:kern w:val="1"/>
          <w:lang w:eastAsia="ar-SA"/>
        </w:rPr>
        <w:t>Le attività di riscossione relative agli atti degli enti, indicati nella lettera a), emessi a partire dal 1° gennaio 2020 anche con riferimento ai rapporti pendenti alla stessa data in base alle norme che regolano ciascuna entrata sono potenziate mediante le seguenti disposizioni:</w:t>
      </w:r>
    </w:p>
    <w:p w14:paraId="0760C492" w14:textId="77777777" w:rsidR="008C3433" w:rsidRPr="00F53384" w:rsidRDefault="008C3433" w:rsidP="008C3433">
      <w:pPr>
        <w:spacing w:line="360" w:lineRule="auto"/>
        <w:ind w:firstLine="709"/>
        <w:jc w:val="both"/>
        <w:rPr>
          <w:rFonts w:ascii="Arial" w:hAnsi="Arial" w:cs="Arial"/>
          <w:i/>
          <w:iCs/>
          <w:kern w:val="1"/>
          <w:lang w:eastAsia="ar-SA"/>
        </w:rPr>
      </w:pPr>
      <w:r w:rsidRPr="00AC383D">
        <w:rPr>
          <w:rFonts w:ascii="Arial" w:hAnsi="Arial" w:cs="Arial"/>
          <w:i/>
          <w:iCs/>
          <w:kern w:val="1"/>
          <w:lang w:eastAsia="ar-SA"/>
        </w:rPr>
        <w:t>a</w:t>
      </w:r>
      <w:r w:rsidRPr="00AC383D">
        <w:rPr>
          <w:rFonts w:ascii="Arial" w:hAnsi="Arial" w:cs="Arial"/>
          <w:b/>
          <w:bCs/>
          <w:i/>
          <w:iCs/>
          <w:kern w:val="1"/>
          <w:u w:val="single"/>
          <w:lang w:eastAsia="ar-SA"/>
        </w:rPr>
        <w:t xml:space="preserve">) l'avviso di accertamento relativo ai tributi degli enti e agli atti finalizzati alla riscossione delle entrate patrimoniali </w:t>
      </w:r>
      <w:r w:rsidRPr="00AC383D">
        <w:rPr>
          <w:rFonts w:ascii="Arial" w:hAnsi="Arial" w:cs="Arial"/>
          <w:i/>
          <w:iCs/>
          <w:kern w:val="1"/>
          <w:lang w:eastAsia="ar-SA"/>
        </w:rPr>
        <w:t>emessi dagli enti e dai soggetti affidatari di cui all'</w:t>
      </w:r>
      <w:hyperlink r:id="rId8" w:tgtFrame="_blank" w:history="1">
        <w:r w:rsidRPr="00AC383D">
          <w:rPr>
            <w:rStyle w:val="Collegamentoipertestuale"/>
            <w:rFonts w:ascii="Arial" w:hAnsi="Arial" w:cs="Arial"/>
            <w:i/>
            <w:iCs/>
            <w:color w:val="auto"/>
            <w:kern w:val="1"/>
            <w:lang w:eastAsia="ar-SA"/>
          </w:rPr>
          <w:t>articolo 52, comma 5, lettera b), del decreto legislativo n. 446 del 1997</w:t>
        </w:r>
      </w:hyperlink>
      <w:r w:rsidRPr="00AC383D">
        <w:rPr>
          <w:rFonts w:ascii="Arial" w:hAnsi="Arial" w:cs="Arial"/>
          <w:i/>
          <w:iCs/>
          <w:kern w:val="1"/>
          <w:lang w:eastAsia="ar-SA"/>
        </w:rPr>
        <w:t> e all'</w:t>
      </w:r>
      <w:hyperlink r:id="rId9" w:tgtFrame="_blank" w:history="1">
        <w:r w:rsidRPr="00AC383D">
          <w:rPr>
            <w:rStyle w:val="Collegamentoipertestuale"/>
            <w:rFonts w:ascii="Arial" w:hAnsi="Arial" w:cs="Arial"/>
            <w:i/>
            <w:iCs/>
            <w:color w:val="auto"/>
            <w:kern w:val="1"/>
            <w:lang w:eastAsia="ar-SA"/>
          </w:rPr>
          <w:t>articolo 1, comma 691, della legge n. 147 del 2013</w:t>
        </w:r>
      </w:hyperlink>
      <w:r w:rsidRPr="00AC383D">
        <w:rPr>
          <w:rFonts w:ascii="Arial" w:hAnsi="Arial" w:cs="Arial"/>
          <w:i/>
          <w:iCs/>
          <w:kern w:val="1"/>
          <w:lang w:eastAsia="ar-SA"/>
        </w:rPr>
        <w:t>, nonché il connesso provvedimento di irrogazione delle sanzioni devono contenere anche l'intimazione ad adempiere, entro il termine di presentazione del ricorso, ovvero, nel caso di entrate patrimoniali, entro sessanta giorni dalla notifica dell'atto finalizzato alla riscossione delle entrate patrimoniali, all'obbligo di pagamento degli importi negli stessi indicati, oppure, in caso di tempestiva proposizione del ricorso, l'indicazione dell'applicazione delle disposizioni di cui all'</w:t>
      </w:r>
      <w:hyperlink r:id="rId10" w:tgtFrame="_blank" w:history="1">
        <w:r w:rsidRPr="00AC383D">
          <w:rPr>
            <w:rStyle w:val="Collegamentoipertestuale"/>
            <w:rFonts w:ascii="Arial" w:hAnsi="Arial" w:cs="Arial"/>
            <w:i/>
            <w:iCs/>
            <w:color w:val="auto"/>
            <w:kern w:val="1"/>
            <w:lang w:eastAsia="ar-SA"/>
          </w:rPr>
          <w:t>articolo 19 del decreto legislativo 18 dicembre 1997, n. 472</w:t>
        </w:r>
      </w:hyperlink>
      <w:r w:rsidRPr="00AC383D">
        <w:rPr>
          <w:rFonts w:ascii="Arial" w:hAnsi="Arial" w:cs="Arial"/>
          <w:i/>
          <w:iCs/>
          <w:kern w:val="1"/>
          <w:lang w:eastAsia="ar-SA"/>
        </w:rPr>
        <w:t>, concernente l'esecuzione delle sanzioni, ovvero di cui all'</w:t>
      </w:r>
      <w:hyperlink r:id="rId11" w:tgtFrame="_blank" w:history="1">
        <w:r w:rsidRPr="00AC383D">
          <w:rPr>
            <w:rStyle w:val="Collegamentoipertestuale"/>
            <w:rFonts w:ascii="Arial" w:hAnsi="Arial" w:cs="Arial"/>
            <w:i/>
            <w:iCs/>
            <w:color w:val="auto"/>
            <w:kern w:val="1"/>
            <w:lang w:eastAsia="ar-SA"/>
          </w:rPr>
          <w:t>articolo 32 del decreto legislativo 1° settembre 2011, n. 150</w:t>
        </w:r>
      </w:hyperlink>
      <w:r w:rsidRPr="00AC383D">
        <w:rPr>
          <w:rFonts w:ascii="Arial" w:hAnsi="Arial" w:cs="Arial"/>
          <w:i/>
          <w:iCs/>
          <w:kern w:val="1"/>
          <w:lang w:eastAsia="ar-SA"/>
        </w:rPr>
        <w:t xml:space="preserve">. </w:t>
      </w:r>
      <w:r w:rsidRPr="00AC383D">
        <w:rPr>
          <w:rFonts w:ascii="Arial" w:hAnsi="Arial" w:cs="Arial"/>
          <w:b/>
          <w:bCs/>
          <w:i/>
          <w:iCs/>
          <w:kern w:val="1"/>
          <w:u w:val="single"/>
          <w:lang w:eastAsia="ar-SA"/>
        </w:rPr>
        <w:t xml:space="preserve">Gli atti devono altresì recare espressamente l'indicazione che gli stessi costituiscono titolo esecutivo idoneo ad attivare le procedure esecutive e </w:t>
      </w:r>
      <w:r>
        <w:rPr>
          <w:rFonts w:ascii="Arial" w:hAnsi="Arial" w:cs="Arial"/>
          <w:b/>
          <w:bCs/>
          <w:i/>
          <w:iCs/>
          <w:kern w:val="1"/>
          <w:u w:val="single"/>
          <w:lang w:eastAsia="ar-SA"/>
        </w:rPr>
        <w:t>cautelari … omissis</w:t>
      </w:r>
      <w:r>
        <w:rPr>
          <w:rFonts w:ascii="Arial" w:hAnsi="Arial" w:cs="Arial"/>
          <w:i/>
          <w:iCs/>
          <w:kern w:val="1"/>
          <w:lang w:eastAsia="ar-SA"/>
        </w:rPr>
        <w:t>;</w:t>
      </w:r>
    </w:p>
    <w:p w14:paraId="2661D601" w14:textId="77777777" w:rsidR="008C3433" w:rsidRPr="00F53384" w:rsidRDefault="008C3433" w:rsidP="008C3433">
      <w:pPr>
        <w:spacing w:line="360" w:lineRule="auto"/>
        <w:ind w:firstLine="709"/>
        <w:jc w:val="both"/>
        <w:rPr>
          <w:rFonts w:ascii="Arial" w:hAnsi="Arial" w:cs="Arial"/>
          <w:b/>
          <w:kern w:val="1"/>
          <w:lang w:eastAsia="ar-SA"/>
        </w:rPr>
      </w:pPr>
      <w:r>
        <w:rPr>
          <w:rFonts w:ascii="Arial" w:hAnsi="Arial" w:cs="Arial"/>
          <w:i/>
          <w:iCs/>
          <w:kern w:val="1"/>
          <w:lang w:eastAsia="ar-SA"/>
        </w:rPr>
        <w:t xml:space="preserve">b) </w:t>
      </w:r>
      <w:r>
        <w:rPr>
          <w:rFonts w:ascii="Arial" w:hAnsi="Arial" w:cs="Arial"/>
          <w:b/>
          <w:bCs/>
          <w:i/>
          <w:iCs/>
          <w:kern w:val="1"/>
          <w:u w:val="single"/>
          <w:lang w:eastAsia="ar-SA"/>
        </w:rPr>
        <w:t>gli atti di cui alla lettera a) acquistano efficacia di titolo esecutivo</w:t>
      </w:r>
      <w:r>
        <w:rPr>
          <w:rFonts w:ascii="Arial" w:hAnsi="Arial" w:cs="Arial"/>
          <w:i/>
          <w:iCs/>
          <w:kern w:val="1"/>
          <w:lang w:eastAsia="ar-SA"/>
        </w:rPr>
        <w:t xml:space="preserve"> decorso il termine utile per la proposizione del ricorso ovvero decorsi sessanta giorni dalla notifica dell'atto finalizzato alla riscossione delle entrate patrimoniali, senza la preventiva notifica della cartella di pagamento e dell'ingiunzione fiscale …omissis)</w:t>
      </w:r>
    </w:p>
    <w:p w14:paraId="125BAA59" w14:textId="4F31B5AE" w:rsidR="008C3433" w:rsidRPr="00F53384" w:rsidRDefault="008C3433" w:rsidP="00AC383D">
      <w:pPr>
        <w:spacing w:line="360" w:lineRule="auto"/>
        <w:ind w:firstLine="709"/>
        <w:jc w:val="both"/>
        <w:rPr>
          <w:rFonts w:ascii="Arial" w:hAnsi="Arial" w:cs="Arial"/>
          <w:b/>
          <w:bCs/>
          <w:kern w:val="1"/>
          <w:lang w:eastAsia="ar-SA"/>
        </w:rPr>
      </w:pPr>
      <w:r>
        <w:rPr>
          <w:rFonts w:ascii="Arial" w:hAnsi="Arial" w:cs="Arial"/>
          <w:b/>
          <w:bCs/>
          <w:kern w:val="1"/>
          <w:lang w:eastAsia="ar-SA"/>
        </w:rPr>
        <w:t xml:space="preserve">A monte dell’accertamento, pertanto, non è certo richiesto un titolo esecutivo, come nella disciplina civilistica (trattandosi di entrate dell’Ente locale disciplinate dalla L. 160/2019), ma una situazione di evasione e/o morosità da recuperare nei confronti del contribuente/utente, sarà poi proprio </w:t>
      </w:r>
      <w:r>
        <w:rPr>
          <w:rFonts w:ascii="Arial" w:hAnsi="Arial" w:cs="Arial"/>
          <w:b/>
          <w:bCs/>
          <w:kern w:val="1"/>
          <w:lang w:eastAsia="ar-SA"/>
        </w:rPr>
        <w:lastRenderedPageBreak/>
        <w:t>l’accertamento il titolo esecutivo che, in caso di mancato pagamento, legittimerà l’eventuale azione esecutiva.</w:t>
      </w:r>
    </w:p>
    <w:p w14:paraId="61A2E4D5" w14:textId="77777777" w:rsidR="008C3433" w:rsidRPr="00F53384" w:rsidRDefault="008C3433" w:rsidP="00AC383D">
      <w:pPr>
        <w:suppressAutoHyphens/>
        <w:overflowPunct w:val="0"/>
        <w:autoSpaceDE w:val="0"/>
        <w:spacing w:line="360" w:lineRule="auto"/>
        <w:ind w:firstLine="709"/>
        <w:jc w:val="both"/>
        <w:textAlignment w:val="baseline"/>
        <w:rPr>
          <w:rFonts w:ascii="Arial" w:hAnsi="Arial" w:cs="Arial"/>
          <w:kern w:val="1"/>
          <w:lang w:eastAsia="ar-SA"/>
        </w:rPr>
      </w:pPr>
      <w:r>
        <w:rPr>
          <w:rFonts w:ascii="Arial" w:hAnsi="Arial" w:cs="Arial"/>
          <w:kern w:val="1"/>
          <w:lang w:eastAsia="ar-SA"/>
        </w:rPr>
        <w:t xml:space="preserve">In ogni caso, nell’ipotesi, che ci occupa, di accertamento/individuazione di soggetti che usano, anche in via mediata, infrastrutture </w:t>
      </w:r>
      <w:proofErr w:type="spellStart"/>
      <w:r>
        <w:rPr>
          <w:rFonts w:ascii="Arial" w:hAnsi="Arial" w:cs="Arial"/>
          <w:kern w:val="1"/>
          <w:lang w:eastAsia="ar-SA"/>
        </w:rPr>
        <w:t>concessionate</w:t>
      </w:r>
      <w:proofErr w:type="spellEnd"/>
      <w:r>
        <w:rPr>
          <w:rFonts w:ascii="Arial" w:hAnsi="Arial" w:cs="Arial"/>
          <w:kern w:val="1"/>
          <w:lang w:eastAsia="ar-SA"/>
        </w:rPr>
        <w:t xml:space="preserve"> ad altri, è sufficiente la rilevazione statistica delle utenze riconducibili ad un determinato operatore (oltre quella del titolare della concessione) per la liquidazione del tributo.</w:t>
      </w:r>
    </w:p>
    <w:p w14:paraId="1E6B8E6B" w14:textId="77777777" w:rsidR="00AC383D" w:rsidRDefault="008C3433" w:rsidP="00AC383D">
      <w:pPr>
        <w:spacing w:line="360" w:lineRule="auto"/>
        <w:ind w:firstLine="708"/>
        <w:jc w:val="both"/>
        <w:rPr>
          <w:rFonts w:ascii="Arial" w:hAnsi="Arial" w:cs="Arial"/>
        </w:rPr>
      </w:pPr>
      <w:r>
        <w:rPr>
          <w:rFonts w:ascii="Arial" w:hAnsi="Arial" w:cs="Arial"/>
        </w:rPr>
        <w:t xml:space="preserve">È principio consolidato in materia di verifiche che l'Amministrazione possa ricorrere a metodi di accertamento induttivo o presuntivo quando la dichiarazione del contribuente appaia assente, incompleta, inattendibile o infedele. </w:t>
      </w:r>
    </w:p>
    <w:p w14:paraId="7752F420" w14:textId="77777777" w:rsidR="00AC383D" w:rsidRDefault="008C3433" w:rsidP="00AC383D">
      <w:pPr>
        <w:spacing w:line="360" w:lineRule="auto"/>
        <w:ind w:firstLine="708"/>
        <w:jc w:val="both"/>
        <w:rPr>
          <w:rFonts w:ascii="Arial" w:hAnsi="Arial" w:cs="Arial"/>
        </w:rPr>
      </w:pPr>
      <w:r>
        <w:rPr>
          <w:rFonts w:ascii="Arial" w:hAnsi="Arial" w:cs="Arial"/>
        </w:rPr>
        <w:t xml:space="preserve">Nel caso di specie, prima di emettere l'avviso di accertamento il Comune, per il tramite della società Archivia Solution S.p.A., ha formalmente invitato FASTWEB S.p.A. a fornire i dati relativi alle proprie utenze attive nel territorio comunale, dapprima con nota del 17/07/2025 e poi, a seguito del riscontro negativo del 04/08/2025, con ulteriore sollecito del 04/09/2025. A tali richieste, FASTWEB S.p.A. non ha fornito alcuna collaborazione utile ai fini della dichiarazione delle utenze e della regolarizzazione del canone, limitandosi a contestare in astratto la propria soggettività passiva, adducendo di non aver mai richiesto permessi o concessioni per scavi. </w:t>
      </w:r>
    </w:p>
    <w:p w14:paraId="072EAE9A" w14:textId="77777777" w:rsidR="00AC383D" w:rsidRPr="00AC383D" w:rsidRDefault="00AC383D" w:rsidP="00AC383D">
      <w:pPr>
        <w:spacing w:line="360" w:lineRule="auto"/>
        <w:ind w:firstLine="709"/>
        <w:jc w:val="both"/>
        <w:rPr>
          <w:rFonts w:ascii="Arial" w:eastAsia="Aptos" w:hAnsi="Arial" w:cs="Arial"/>
          <w:b/>
          <w:bCs/>
          <w:kern w:val="2"/>
          <w:u w:val="single"/>
          <w:lang w:eastAsia="en-US"/>
          <w14:ligatures w14:val="standardContextual"/>
        </w:rPr>
      </w:pPr>
      <w:r w:rsidRPr="00AC383D">
        <w:rPr>
          <w:rFonts w:ascii="Arial" w:eastAsia="Aptos" w:hAnsi="Arial" w:cs="Arial"/>
          <w:b/>
          <w:bCs/>
          <w:kern w:val="2"/>
          <w:lang w:eastAsia="en-US"/>
          <w14:ligatures w14:val="standardContextual"/>
        </w:rPr>
        <w:t>Il ricorso al metodo induttivo – basato sulle quote di mercato AGCOM applicate alla popolazione residente – costituisce, dunque, la diretta ed inevitabile conseguenza di tale comportamento omissivo, ed è stato espressamente previsto e motivato nel provvedimento impugnato</w:t>
      </w:r>
      <w:r w:rsidRPr="00AC383D">
        <w:rPr>
          <w:rFonts w:ascii="Arial" w:eastAsia="Aptos" w:hAnsi="Arial" w:cs="Arial"/>
          <w:kern w:val="2"/>
          <w:lang w:eastAsia="en-US"/>
          <w14:ligatures w14:val="standardContextual"/>
        </w:rPr>
        <w:t xml:space="preserve">. </w:t>
      </w:r>
      <w:r w:rsidRPr="00AC383D">
        <w:rPr>
          <w:rFonts w:ascii="Arial" w:eastAsia="Aptos" w:hAnsi="Arial" w:cs="Arial"/>
          <w:b/>
          <w:bCs/>
          <w:kern w:val="2"/>
          <w:u w:val="single"/>
          <w:lang w:eastAsia="en-US"/>
          <w14:ligatures w14:val="standardContextual"/>
        </w:rPr>
        <w:t xml:space="preserve">In tal senso anche Tribunale di Napoli n. 5948 del 13.4.2026. </w:t>
      </w:r>
    </w:p>
    <w:p w14:paraId="39752C33" w14:textId="1C1E03DB" w:rsidR="008C2BB4" w:rsidRDefault="008C3433" w:rsidP="00AC383D">
      <w:pPr>
        <w:spacing w:line="360" w:lineRule="auto"/>
        <w:ind w:firstLine="709"/>
        <w:jc w:val="both"/>
        <w:rPr>
          <w:rFonts w:ascii="Arial" w:hAnsi="Arial" w:cs="Arial"/>
        </w:rPr>
      </w:pPr>
      <w:r>
        <w:rPr>
          <w:rFonts w:ascii="Arial" w:hAnsi="Arial" w:cs="Arial"/>
          <w:b/>
          <w:u w:val="single"/>
        </w:rPr>
        <w:t>Si rileva, in ogni caso, che non v'è stata contestazione, in questa sede, da parte di FASTWEB sul numero di utenze sulle quali è stato calcolato l'importo del canone unico</w:t>
      </w:r>
      <w:r>
        <w:rPr>
          <w:rFonts w:ascii="Arial" w:hAnsi="Arial" w:cs="Arial"/>
        </w:rPr>
        <w:t>, anche perché tale volume è stato determinato sulla base dei dati ufficiali AGCOM come esplicitato nel testo dell'avviso di accertamento.</w:t>
      </w:r>
    </w:p>
    <w:p w14:paraId="27148816" w14:textId="77777777" w:rsidR="00AC383D" w:rsidRPr="00AC383D" w:rsidRDefault="00AC383D" w:rsidP="00AC383D">
      <w:pPr>
        <w:spacing w:line="360" w:lineRule="auto"/>
        <w:ind w:firstLine="708"/>
        <w:jc w:val="both"/>
        <w:rPr>
          <w:rFonts w:ascii="Arial" w:hAnsi="Arial" w:cs="Arial"/>
        </w:rPr>
      </w:pPr>
      <w:r w:rsidRPr="00AC383D">
        <w:rPr>
          <w:rFonts w:ascii="Arial" w:hAnsi="Arial" w:cs="Arial"/>
        </w:rPr>
        <w:t>Spetta dunque a FASTWEB S.p.A., che ha causato con la propria inadempienza la necessità di ricorrere al metodo induttivo, fornire la prova contraria, dimostrando documentalmente il numero esatto delle utenze servite nel Comune di Cazzano di Tramigna per gli anni 2021-2024.</w:t>
      </w:r>
    </w:p>
    <w:p w14:paraId="7CF881EE" w14:textId="77777777" w:rsidR="008C2BB4" w:rsidRPr="00CC60C0" w:rsidRDefault="00000000" w:rsidP="00AC383D">
      <w:pPr>
        <w:spacing w:line="360" w:lineRule="auto"/>
        <w:ind w:firstLine="708"/>
        <w:jc w:val="both"/>
        <w:rPr>
          <w:rFonts w:ascii="Arial" w:hAnsi="Arial" w:cs="Arial"/>
        </w:rPr>
      </w:pPr>
      <w:r>
        <w:rPr>
          <w:rFonts w:ascii="Arial" w:hAnsi="Arial" w:cs="Arial"/>
        </w:rPr>
        <w:t>Anche il quarto motivo di opposizione è infondato e va rigettato.</w:t>
      </w:r>
    </w:p>
    <w:p w14:paraId="649D8DE1" w14:textId="77777777" w:rsidR="008C2BB4" w:rsidRPr="00CC60C0" w:rsidRDefault="008C2BB4" w:rsidP="00AC383D">
      <w:pPr>
        <w:spacing w:line="360" w:lineRule="auto"/>
        <w:rPr>
          <w:rFonts w:ascii="Arial" w:hAnsi="Arial" w:cs="Arial"/>
        </w:rPr>
      </w:pPr>
    </w:p>
    <w:p w14:paraId="6D56E846" w14:textId="308AC57B" w:rsidR="008C2BB4" w:rsidRPr="00CC60C0" w:rsidRDefault="00000000" w:rsidP="007E78FF">
      <w:pPr>
        <w:spacing w:before="60" w:after="60" w:line="360" w:lineRule="auto"/>
        <w:jc w:val="center"/>
        <w:rPr>
          <w:rFonts w:ascii="Arial" w:hAnsi="Arial" w:cs="Arial"/>
        </w:rPr>
      </w:pPr>
      <w:r>
        <w:rPr>
          <w:rFonts w:ascii="Arial" w:hAnsi="Arial" w:cs="Arial"/>
        </w:rPr>
        <w:t>***</w:t>
      </w:r>
    </w:p>
    <w:p w14:paraId="3A19B2C0" w14:textId="77777777" w:rsidR="008C2BB4" w:rsidRPr="00AC383D" w:rsidRDefault="00000000" w:rsidP="00024C8B">
      <w:pPr>
        <w:spacing w:before="120" w:after="120" w:line="360" w:lineRule="auto"/>
        <w:ind w:firstLine="708"/>
        <w:jc w:val="both"/>
        <w:rPr>
          <w:rFonts w:ascii="Arial" w:hAnsi="Arial" w:cs="Arial"/>
        </w:rPr>
      </w:pPr>
      <w:r>
        <w:rPr>
          <w:rFonts w:ascii="Arial" w:hAnsi="Arial" w:cs="Arial"/>
        </w:rPr>
        <w:t xml:space="preserve">Per tutto quanto sopra esposto, il Comune di Cazzano di Tramigna, in persona del Sindaco e legale rappresentante pro tempore, come in epigrafe rappresentato e </w:t>
      </w:r>
      <w:r>
        <w:rPr>
          <w:rFonts w:ascii="Arial" w:hAnsi="Arial" w:cs="Arial"/>
        </w:rPr>
        <w:lastRenderedPageBreak/>
        <w:t xml:space="preserve">domiciliato, </w:t>
      </w:r>
      <w:r w:rsidRPr="00AC383D">
        <w:rPr>
          <w:rFonts w:ascii="Arial" w:hAnsi="Arial" w:cs="Arial"/>
        </w:rPr>
        <w:t>con espressa riserva di ogni integrazione, anche istruttoria, che dovesse rendersi necessaria,</w:t>
      </w:r>
    </w:p>
    <w:p w14:paraId="0B89F67F" w14:textId="77777777" w:rsidR="008C2BB4" w:rsidRPr="00CC60C0" w:rsidRDefault="00000000" w:rsidP="00CC60C0">
      <w:pPr>
        <w:spacing w:before="120" w:after="120" w:line="360" w:lineRule="auto"/>
        <w:jc w:val="center"/>
        <w:rPr>
          <w:rFonts w:ascii="Arial" w:hAnsi="Arial" w:cs="Arial"/>
        </w:rPr>
      </w:pPr>
      <w:r>
        <w:rPr>
          <w:rFonts w:ascii="Arial" w:hAnsi="Arial" w:cs="Arial"/>
          <w:b/>
          <w:bCs/>
        </w:rPr>
        <w:t>conclude</w:t>
      </w:r>
    </w:p>
    <w:p w14:paraId="201B252C" w14:textId="77777777" w:rsidR="008C2BB4" w:rsidRPr="00CC60C0" w:rsidRDefault="00000000" w:rsidP="00AC383D">
      <w:pPr>
        <w:spacing w:before="120" w:after="120" w:line="360" w:lineRule="auto"/>
        <w:ind w:firstLine="708"/>
        <w:jc w:val="both"/>
        <w:rPr>
          <w:rFonts w:ascii="Arial" w:hAnsi="Arial" w:cs="Arial"/>
        </w:rPr>
      </w:pPr>
      <w:r>
        <w:rPr>
          <w:rFonts w:ascii="Arial" w:hAnsi="Arial" w:cs="Arial"/>
        </w:rPr>
        <w:t>affinché l'Ill.mo Giudice adito, disattesa ogni contraria istanza ed eccezione, voglia:</w:t>
      </w:r>
    </w:p>
    <w:p w14:paraId="4C6DDEED" w14:textId="77777777" w:rsidR="008C2BB4" w:rsidRPr="007E78FF" w:rsidRDefault="00000000" w:rsidP="00AC383D">
      <w:pPr>
        <w:spacing w:before="120" w:after="120" w:line="360" w:lineRule="auto"/>
        <w:ind w:firstLine="708"/>
        <w:jc w:val="both"/>
        <w:rPr>
          <w:rFonts w:ascii="Arial" w:hAnsi="Arial" w:cs="Arial"/>
          <w:b/>
          <w:bCs/>
        </w:rPr>
      </w:pPr>
      <w:r>
        <w:rPr>
          <w:rFonts w:ascii="Arial" w:hAnsi="Arial" w:cs="Arial"/>
          <w:b/>
          <w:bCs/>
        </w:rPr>
        <w:t>Accertare e dichiarare la legittimità e fondatezza dell'Avviso di Accertamento Esecutivo n. 1 del 12/01/2026 emesso dal Comune di Cazzano di Tramigna nei confronti di FASTWEB S.p.A. e, per l'effetto, respingere l'opposizione proposta, con ogni conseguenziale statuizione di legge.</w:t>
      </w:r>
    </w:p>
    <w:p w14:paraId="2E0E110D" w14:textId="77777777" w:rsidR="008C2BB4" w:rsidRPr="00CC60C0" w:rsidRDefault="00000000" w:rsidP="00AC383D">
      <w:pPr>
        <w:spacing w:before="120" w:after="120" w:line="360" w:lineRule="auto"/>
        <w:ind w:firstLine="708"/>
        <w:jc w:val="both"/>
        <w:rPr>
          <w:rFonts w:ascii="Arial" w:hAnsi="Arial" w:cs="Arial"/>
        </w:rPr>
      </w:pPr>
      <w:r>
        <w:rPr>
          <w:rFonts w:ascii="Arial" w:hAnsi="Arial" w:cs="Arial"/>
        </w:rPr>
        <w:t xml:space="preserve">In via gradata, rideterminare il Canone e la sanzione nella misura che risulterà a seguito dell'eventuale fase istruttoria sulla base delle prove offerte da FASTWEB </w:t>
      </w:r>
      <w:proofErr w:type="gramStart"/>
      <w:r>
        <w:rPr>
          <w:rFonts w:ascii="Arial" w:hAnsi="Arial" w:cs="Arial"/>
        </w:rPr>
        <w:t>S.p.A..</w:t>
      </w:r>
      <w:proofErr w:type="gramEnd"/>
    </w:p>
    <w:p w14:paraId="6CB0E93A" w14:textId="77777777" w:rsidR="008C2BB4" w:rsidRPr="00CC60C0" w:rsidRDefault="00000000" w:rsidP="00024C8B">
      <w:pPr>
        <w:spacing w:before="120" w:after="120" w:line="360" w:lineRule="auto"/>
        <w:ind w:firstLine="708"/>
        <w:jc w:val="both"/>
        <w:rPr>
          <w:rFonts w:ascii="Arial" w:hAnsi="Arial" w:cs="Arial"/>
        </w:rPr>
      </w:pPr>
      <w:r>
        <w:rPr>
          <w:rFonts w:ascii="Arial" w:hAnsi="Arial" w:cs="Arial"/>
        </w:rPr>
        <w:t>Con vittoria di spese e competenze di giudizio.</w:t>
      </w:r>
    </w:p>
    <w:p w14:paraId="59F0372D" w14:textId="77777777" w:rsidR="008C2BB4" w:rsidRPr="00CC60C0" w:rsidRDefault="00000000" w:rsidP="00024C8B">
      <w:pPr>
        <w:spacing w:before="120" w:after="120" w:line="360" w:lineRule="auto"/>
        <w:ind w:firstLine="708"/>
        <w:jc w:val="both"/>
        <w:rPr>
          <w:rFonts w:ascii="Arial" w:hAnsi="Arial" w:cs="Arial"/>
        </w:rPr>
      </w:pPr>
      <w:r>
        <w:rPr>
          <w:rFonts w:ascii="Arial" w:hAnsi="Arial" w:cs="Arial"/>
        </w:rPr>
        <w:t xml:space="preserve">Con riserva di ulteriore produzione documentale negli </w:t>
      </w:r>
      <w:proofErr w:type="spellStart"/>
      <w:r>
        <w:rPr>
          <w:rFonts w:ascii="Arial" w:hAnsi="Arial" w:cs="Arial"/>
        </w:rPr>
        <w:t>assegnandi</w:t>
      </w:r>
      <w:proofErr w:type="spellEnd"/>
      <w:r>
        <w:rPr>
          <w:rFonts w:ascii="Arial" w:hAnsi="Arial" w:cs="Arial"/>
        </w:rPr>
        <w:t xml:space="preserve"> termini processuali.</w:t>
      </w:r>
    </w:p>
    <w:p w14:paraId="5B4E4F35" w14:textId="77777777" w:rsidR="008C2BB4" w:rsidRDefault="00000000" w:rsidP="00CC60C0">
      <w:pPr>
        <w:spacing w:before="120" w:after="120" w:line="360" w:lineRule="auto"/>
        <w:jc w:val="both"/>
        <w:rPr>
          <w:rFonts w:ascii="Arial" w:hAnsi="Arial" w:cs="Arial"/>
        </w:rPr>
      </w:pPr>
      <w:r>
        <w:rPr>
          <w:rFonts w:ascii="Arial" w:hAnsi="Arial" w:cs="Arial"/>
        </w:rPr>
        <w:t>Si produce:</w:t>
      </w:r>
    </w:p>
    <w:p w14:paraId="297EC3BE" w14:textId="77777777" w:rsidR="000115A3" w:rsidRPr="000115A3" w:rsidRDefault="000115A3" w:rsidP="000115A3">
      <w:pPr>
        <w:numPr>
          <w:ilvl w:val="0"/>
          <w:numId w:val="9"/>
        </w:numPr>
        <w:spacing w:line="360" w:lineRule="auto"/>
        <w:contextualSpacing/>
        <w:jc w:val="both"/>
        <w:rPr>
          <w:rFonts w:ascii="Arial" w:eastAsia="Aptos" w:hAnsi="Arial" w:cs="Arial"/>
          <w:kern w:val="2"/>
          <w:lang w:eastAsia="en-US"/>
          <w14:ligatures w14:val="standardContextual"/>
        </w:rPr>
      </w:pPr>
      <w:r w:rsidRPr="000115A3">
        <w:rPr>
          <w:rFonts w:ascii="Arial" w:eastAsia="Aptos" w:hAnsi="Arial" w:cs="Arial"/>
          <w:kern w:val="2"/>
          <w:lang w:eastAsia="en-US"/>
          <w14:ligatures w14:val="standardContextual"/>
        </w:rPr>
        <w:t>Atto di citazione in opposizione FASTWEB S.p.A., quale incorporante Vodafone Italia spa.</w:t>
      </w:r>
    </w:p>
    <w:p w14:paraId="7F281148" w14:textId="77777777" w:rsidR="000115A3" w:rsidRPr="000115A3" w:rsidRDefault="000115A3" w:rsidP="000115A3">
      <w:pPr>
        <w:numPr>
          <w:ilvl w:val="0"/>
          <w:numId w:val="9"/>
        </w:numPr>
        <w:spacing w:line="360" w:lineRule="auto"/>
        <w:contextualSpacing/>
        <w:jc w:val="both"/>
        <w:rPr>
          <w:rFonts w:ascii="Arial" w:eastAsia="Aptos" w:hAnsi="Arial" w:cs="Arial"/>
          <w:kern w:val="2"/>
          <w:lang w:eastAsia="en-US"/>
          <w14:ligatures w14:val="standardContextual"/>
        </w:rPr>
      </w:pPr>
      <w:r w:rsidRPr="000115A3">
        <w:rPr>
          <w:rFonts w:ascii="Arial" w:eastAsia="Aptos" w:hAnsi="Arial" w:cs="Arial"/>
          <w:kern w:val="2"/>
          <w:lang w:eastAsia="en-US"/>
          <w14:ligatures w14:val="standardContextual"/>
        </w:rPr>
        <w:t>Delibera di Costituzione in giudizio</w:t>
      </w:r>
    </w:p>
    <w:p w14:paraId="3F2BFF60" w14:textId="77777777" w:rsidR="000115A3" w:rsidRPr="000115A3" w:rsidRDefault="000115A3" w:rsidP="000115A3">
      <w:pPr>
        <w:numPr>
          <w:ilvl w:val="3"/>
          <w:numId w:val="8"/>
        </w:numPr>
        <w:spacing w:line="360" w:lineRule="auto"/>
        <w:ind w:left="0" w:firstLine="426"/>
        <w:jc w:val="both"/>
        <w:rPr>
          <w:rFonts w:ascii="Arial" w:hAnsi="Arial" w:cs="Arial"/>
          <w:color w:val="000000"/>
        </w:rPr>
      </w:pPr>
      <w:r w:rsidRPr="000115A3">
        <w:rPr>
          <w:rFonts w:ascii="Arial" w:hAnsi="Arial" w:cs="Arial"/>
        </w:rPr>
        <w:t>Delibera del Consiglio Comunale di Cazzano di Tramigna n. 2 del 24/03/2021 (Regolamento CUP)</w:t>
      </w:r>
    </w:p>
    <w:p w14:paraId="15F0E869" w14:textId="77777777" w:rsidR="000115A3" w:rsidRPr="000115A3" w:rsidRDefault="000115A3" w:rsidP="000115A3">
      <w:pPr>
        <w:numPr>
          <w:ilvl w:val="3"/>
          <w:numId w:val="8"/>
        </w:numPr>
        <w:spacing w:line="360" w:lineRule="auto"/>
        <w:ind w:left="0" w:firstLine="426"/>
        <w:contextualSpacing/>
        <w:jc w:val="both"/>
        <w:rPr>
          <w:rFonts w:ascii="Arial" w:hAnsi="Arial" w:cs="Arial"/>
        </w:rPr>
      </w:pPr>
      <w:r w:rsidRPr="000115A3">
        <w:rPr>
          <w:rFonts w:ascii="Arial" w:hAnsi="Arial" w:cs="Arial"/>
        </w:rPr>
        <w:t>Determinazione n. 76 del 04/04/2025 – affidamento servizio Archivia Solution S.p.A.</w:t>
      </w:r>
    </w:p>
    <w:p w14:paraId="2C04C5A3" w14:textId="77777777" w:rsidR="008C2BB4" w:rsidRPr="00CC60C0" w:rsidRDefault="00000000" w:rsidP="000115A3">
      <w:pPr>
        <w:pStyle w:val="Paragrafoelenco"/>
        <w:numPr>
          <w:ilvl w:val="3"/>
          <w:numId w:val="8"/>
        </w:numPr>
        <w:spacing w:before="60" w:after="60" w:line="360" w:lineRule="auto"/>
        <w:ind w:left="0" w:firstLine="426"/>
        <w:rPr>
          <w:rFonts w:ascii="Arial" w:hAnsi="Arial" w:cs="Arial"/>
        </w:rPr>
      </w:pPr>
      <w:r>
        <w:rPr>
          <w:rFonts w:ascii="Arial" w:hAnsi="Arial" w:cs="Arial"/>
        </w:rPr>
        <w:t>Richiesta di dichiarazione utenze del 17/07/2025 (Archivia Solution S.p.A.)</w:t>
      </w:r>
    </w:p>
    <w:p w14:paraId="4E1ED50E" w14:textId="77777777" w:rsidR="008C2BB4" w:rsidRPr="00CC60C0" w:rsidRDefault="00000000" w:rsidP="000115A3">
      <w:pPr>
        <w:pStyle w:val="Paragrafoelenco"/>
        <w:numPr>
          <w:ilvl w:val="3"/>
          <w:numId w:val="8"/>
        </w:numPr>
        <w:spacing w:before="60" w:after="60" w:line="360" w:lineRule="auto"/>
        <w:ind w:left="0" w:firstLine="426"/>
        <w:rPr>
          <w:rFonts w:ascii="Arial" w:hAnsi="Arial" w:cs="Arial"/>
        </w:rPr>
      </w:pPr>
      <w:r>
        <w:rPr>
          <w:rFonts w:ascii="Arial" w:hAnsi="Arial" w:cs="Arial"/>
        </w:rPr>
        <w:t>Riscontro di FASTWEB S.p.A. del 04/08/2025</w:t>
      </w:r>
    </w:p>
    <w:p w14:paraId="6908D540" w14:textId="77777777" w:rsidR="000115A3" w:rsidRDefault="00000000" w:rsidP="000115A3">
      <w:pPr>
        <w:pStyle w:val="Paragrafoelenco"/>
        <w:numPr>
          <w:ilvl w:val="3"/>
          <w:numId w:val="8"/>
        </w:numPr>
        <w:spacing w:before="60" w:after="60" w:line="360" w:lineRule="auto"/>
        <w:ind w:left="0" w:firstLine="426"/>
        <w:rPr>
          <w:rFonts w:ascii="Arial" w:hAnsi="Arial" w:cs="Arial"/>
        </w:rPr>
      </w:pPr>
      <w:r>
        <w:rPr>
          <w:rFonts w:ascii="Arial" w:hAnsi="Arial" w:cs="Arial"/>
        </w:rPr>
        <w:t>Replica di Archivia Solution S.p.A. del 04/09/2025</w:t>
      </w:r>
    </w:p>
    <w:p w14:paraId="44972464" w14:textId="7ABAC984" w:rsidR="000115A3" w:rsidRPr="000115A3" w:rsidRDefault="000115A3" w:rsidP="000115A3">
      <w:pPr>
        <w:pStyle w:val="Paragrafoelenco"/>
        <w:numPr>
          <w:ilvl w:val="3"/>
          <w:numId w:val="8"/>
        </w:numPr>
        <w:spacing w:before="60" w:after="60" w:line="360" w:lineRule="auto"/>
        <w:ind w:left="0" w:firstLine="426"/>
        <w:rPr>
          <w:rFonts w:ascii="Arial" w:hAnsi="Arial" w:cs="Arial"/>
        </w:rPr>
      </w:pPr>
      <w:r w:rsidRPr="000115A3">
        <w:rPr>
          <w:rFonts w:ascii="Arial" w:hAnsi="Arial" w:cs="Arial"/>
        </w:rPr>
        <w:t>Avviso di Accertamento Esecutivo n. 1 del 12/01/2026</w:t>
      </w:r>
    </w:p>
    <w:p w14:paraId="2D2FDBC4" w14:textId="77777777" w:rsidR="008C2BB4" w:rsidRPr="00CC60C0" w:rsidRDefault="00000000" w:rsidP="000115A3">
      <w:pPr>
        <w:pStyle w:val="Paragrafoelenco"/>
        <w:numPr>
          <w:ilvl w:val="3"/>
          <w:numId w:val="8"/>
        </w:numPr>
        <w:spacing w:before="60" w:after="60" w:line="360" w:lineRule="auto"/>
        <w:ind w:left="0" w:firstLine="426"/>
        <w:rPr>
          <w:rFonts w:ascii="Arial" w:hAnsi="Arial" w:cs="Arial"/>
        </w:rPr>
      </w:pPr>
      <w:r>
        <w:rPr>
          <w:rFonts w:ascii="Arial" w:hAnsi="Arial" w:cs="Arial"/>
        </w:rPr>
        <w:t>Dati dell'Osservatorio sulle Comunicazioni AGCOM 2024</w:t>
      </w:r>
    </w:p>
    <w:p w14:paraId="200EAD5F" w14:textId="77777777" w:rsidR="008C2BB4" w:rsidRDefault="00000000" w:rsidP="000115A3">
      <w:pPr>
        <w:pStyle w:val="Paragrafoelenco"/>
        <w:numPr>
          <w:ilvl w:val="3"/>
          <w:numId w:val="8"/>
        </w:numPr>
        <w:spacing w:before="60" w:after="60" w:line="360" w:lineRule="auto"/>
        <w:ind w:left="0" w:firstLine="426"/>
        <w:rPr>
          <w:rFonts w:ascii="Arial" w:hAnsi="Arial" w:cs="Arial"/>
        </w:rPr>
      </w:pPr>
      <w:r>
        <w:rPr>
          <w:rFonts w:ascii="Arial" w:hAnsi="Arial" w:cs="Arial"/>
        </w:rPr>
        <w:t>Circolare MEF n. 1/DF del 20.01.2009</w:t>
      </w:r>
    </w:p>
    <w:p w14:paraId="5364B49F" w14:textId="77777777" w:rsidR="000115A3" w:rsidRPr="000115A3" w:rsidRDefault="000115A3" w:rsidP="000115A3">
      <w:pPr>
        <w:pStyle w:val="Paragrafoelenco"/>
        <w:numPr>
          <w:ilvl w:val="3"/>
          <w:numId w:val="8"/>
        </w:numPr>
        <w:spacing w:before="60" w:after="60" w:line="360" w:lineRule="auto"/>
        <w:ind w:left="142" w:firstLine="284"/>
        <w:rPr>
          <w:rFonts w:ascii="Arial" w:hAnsi="Arial" w:cs="Arial"/>
        </w:rPr>
      </w:pPr>
      <w:r w:rsidRPr="000115A3">
        <w:rPr>
          <w:rFonts w:ascii="Arial" w:hAnsi="Arial" w:cs="Arial"/>
        </w:rPr>
        <w:t>Sentenza Tribunale di Bergamo n. 1523/2025</w:t>
      </w:r>
    </w:p>
    <w:p w14:paraId="59722A7A" w14:textId="77777777" w:rsidR="000115A3" w:rsidRPr="000115A3" w:rsidRDefault="000115A3" w:rsidP="000115A3">
      <w:pPr>
        <w:pStyle w:val="Paragrafoelenco"/>
        <w:numPr>
          <w:ilvl w:val="3"/>
          <w:numId w:val="8"/>
        </w:numPr>
        <w:spacing w:before="60" w:after="60" w:line="360" w:lineRule="auto"/>
        <w:ind w:left="142" w:firstLine="142"/>
        <w:rPr>
          <w:rFonts w:ascii="Arial" w:hAnsi="Arial" w:cs="Arial"/>
        </w:rPr>
      </w:pPr>
      <w:r w:rsidRPr="000115A3">
        <w:rPr>
          <w:rFonts w:ascii="Arial" w:hAnsi="Arial" w:cs="Arial"/>
        </w:rPr>
        <w:t>Sentenza Tribunale di Bergamo n. 289/2026</w:t>
      </w:r>
    </w:p>
    <w:p w14:paraId="0BD467AF" w14:textId="77777777" w:rsidR="000115A3" w:rsidRPr="000115A3" w:rsidRDefault="000115A3" w:rsidP="000115A3">
      <w:pPr>
        <w:pStyle w:val="Paragrafoelenco"/>
        <w:numPr>
          <w:ilvl w:val="3"/>
          <w:numId w:val="8"/>
        </w:numPr>
        <w:spacing w:before="60" w:after="60" w:line="360" w:lineRule="auto"/>
        <w:ind w:left="142" w:firstLine="142"/>
        <w:rPr>
          <w:rFonts w:ascii="Arial" w:hAnsi="Arial" w:cs="Arial"/>
        </w:rPr>
      </w:pPr>
      <w:r w:rsidRPr="000115A3">
        <w:rPr>
          <w:rFonts w:ascii="Arial" w:hAnsi="Arial" w:cs="Arial"/>
        </w:rPr>
        <w:lastRenderedPageBreak/>
        <w:t>Sentenza Tribunale di Napoli 5948 del 13.4.2026</w:t>
      </w:r>
    </w:p>
    <w:p w14:paraId="6E9A647C" w14:textId="77777777" w:rsidR="000115A3" w:rsidRPr="000115A3" w:rsidRDefault="000115A3" w:rsidP="000115A3">
      <w:pPr>
        <w:pStyle w:val="Paragrafoelenco"/>
        <w:numPr>
          <w:ilvl w:val="3"/>
          <w:numId w:val="8"/>
        </w:numPr>
        <w:spacing w:before="60" w:after="60" w:line="360" w:lineRule="auto"/>
        <w:ind w:left="142" w:firstLine="142"/>
        <w:rPr>
          <w:rFonts w:ascii="Arial" w:hAnsi="Arial" w:cs="Arial"/>
        </w:rPr>
      </w:pPr>
      <w:r w:rsidRPr="000115A3">
        <w:rPr>
          <w:rFonts w:ascii="Arial" w:hAnsi="Arial" w:cs="Arial"/>
        </w:rPr>
        <w:t>Sentenza Tribunale di Treviso n. 240/2025 del 20/02/2025 – appello</w:t>
      </w:r>
    </w:p>
    <w:p w14:paraId="340DE6ED" w14:textId="77777777" w:rsidR="000115A3" w:rsidRPr="000115A3" w:rsidRDefault="000115A3" w:rsidP="000115A3">
      <w:pPr>
        <w:pStyle w:val="Paragrafoelenco"/>
        <w:numPr>
          <w:ilvl w:val="3"/>
          <w:numId w:val="8"/>
        </w:numPr>
        <w:spacing w:before="60" w:after="60" w:line="360" w:lineRule="auto"/>
        <w:ind w:left="142" w:firstLine="142"/>
        <w:rPr>
          <w:rFonts w:ascii="Arial" w:hAnsi="Arial" w:cs="Arial"/>
        </w:rPr>
      </w:pPr>
      <w:r w:rsidRPr="000115A3">
        <w:rPr>
          <w:rFonts w:ascii="Arial" w:hAnsi="Arial" w:cs="Arial"/>
        </w:rPr>
        <w:t>Sentenza Tribunale di Piacenza n. 207 del 06.05.2025</w:t>
      </w:r>
    </w:p>
    <w:p w14:paraId="1460F1EF" w14:textId="77777777" w:rsidR="000115A3" w:rsidRPr="000115A3" w:rsidRDefault="000115A3" w:rsidP="000115A3">
      <w:pPr>
        <w:pStyle w:val="Paragrafoelenco"/>
        <w:numPr>
          <w:ilvl w:val="3"/>
          <w:numId w:val="8"/>
        </w:numPr>
        <w:spacing w:before="60" w:after="60" w:line="360" w:lineRule="auto"/>
        <w:ind w:left="142" w:firstLine="142"/>
        <w:rPr>
          <w:rFonts w:ascii="Arial" w:hAnsi="Arial" w:cs="Arial"/>
        </w:rPr>
      </w:pPr>
      <w:r w:rsidRPr="000115A3">
        <w:rPr>
          <w:rFonts w:ascii="Arial" w:hAnsi="Arial" w:cs="Arial"/>
        </w:rPr>
        <w:t>Sentenza Tribunale di Piacenza – II grado, 350 del 16.07.2025, R.G. 1562/2024</w:t>
      </w:r>
    </w:p>
    <w:p w14:paraId="662E1D83" w14:textId="77777777" w:rsidR="000115A3" w:rsidRPr="000115A3" w:rsidRDefault="000115A3" w:rsidP="000115A3">
      <w:pPr>
        <w:pStyle w:val="Paragrafoelenco"/>
        <w:numPr>
          <w:ilvl w:val="3"/>
          <w:numId w:val="8"/>
        </w:numPr>
        <w:spacing w:before="60" w:after="60" w:line="360" w:lineRule="auto"/>
        <w:ind w:left="142" w:firstLine="142"/>
        <w:rPr>
          <w:rFonts w:ascii="Arial" w:hAnsi="Arial" w:cs="Arial"/>
        </w:rPr>
      </w:pPr>
      <w:r w:rsidRPr="000115A3">
        <w:rPr>
          <w:rFonts w:ascii="Arial" w:hAnsi="Arial" w:cs="Arial"/>
        </w:rPr>
        <w:t>Sentenza Tribunale di Ivrea – II grado, 29.09.2025, n. 1255</w:t>
      </w:r>
    </w:p>
    <w:p w14:paraId="122F1391" w14:textId="77777777" w:rsidR="000115A3" w:rsidRPr="000115A3" w:rsidRDefault="000115A3" w:rsidP="000115A3">
      <w:pPr>
        <w:pStyle w:val="Paragrafoelenco"/>
        <w:numPr>
          <w:ilvl w:val="3"/>
          <w:numId w:val="8"/>
        </w:numPr>
        <w:spacing w:before="60" w:after="60" w:line="360" w:lineRule="auto"/>
        <w:ind w:left="142" w:firstLine="142"/>
        <w:rPr>
          <w:rFonts w:ascii="Arial" w:hAnsi="Arial" w:cs="Arial"/>
        </w:rPr>
      </w:pPr>
      <w:r w:rsidRPr="000115A3">
        <w:rPr>
          <w:rFonts w:ascii="Arial" w:hAnsi="Arial" w:cs="Arial"/>
        </w:rPr>
        <w:t>Sentenza Tribunale di Bolzano, 08.04.2024, n. 431</w:t>
      </w:r>
    </w:p>
    <w:p w14:paraId="763ABB8F" w14:textId="14BD9400" w:rsidR="000115A3" w:rsidRPr="000115A3" w:rsidRDefault="000115A3" w:rsidP="000115A3">
      <w:pPr>
        <w:pStyle w:val="Paragrafoelenco"/>
        <w:numPr>
          <w:ilvl w:val="3"/>
          <w:numId w:val="8"/>
        </w:numPr>
        <w:spacing w:before="60" w:after="60" w:line="360" w:lineRule="auto"/>
        <w:ind w:left="142" w:firstLine="142"/>
        <w:rPr>
          <w:rFonts w:ascii="Arial" w:hAnsi="Arial" w:cs="Arial"/>
        </w:rPr>
      </w:pPr>
      <w:r w:rsidRPr="000115A3">
        <w:rPr>
          <w:rFonts w:ascii="Arial" w:hAnsi="Arial" w:cs="Arial"/>
        </w:rPr>
        <w:t>Sentenza Tribunale di Bolzano n. 908/2025</w:t>
      </w:r>
    </w:p>
    <w:p w14:paraId="5F8ECC4F" w14:textId="77777777" w:rsidR="000115A3" w:rsidRDefault="000115A3" w:rsidP="000115A3">
      <w:pPr>
        <w:spacing w:line="360" w:lineRule="auto"/>
        <w:contextualSpacing/>
        <w:jc w:val="both"/>
        <w:rPr>
          <w:rFonts w:ascii="Arial" w:hAnsi="Arial" w:cs="Arial"/>
        </w:rPr>
      </w:pPr>
      <w:r>
        <w:rPr>
          <w:rFonts w:ascii="Arial" w:hAnsi="Arial" w:cs="Arial"/>
        </w:rPr>
        <w:t xml:space="preserve">Salerno - </w:t>
      </w:r>
      <w:r w:rsidRPr="00D20535">
        <w:rPr>
          <w:rFonts w:ascii="Arial" w:hAnsi="Arial" w:cs="Arial"/>
        </w:rPr>
        <w:t xml:space="preserve">Cazzano di Tramigna, lì </w:t>
      </w:r>
      <w:r>
        <w:rPr>
          <w:rFonts w:ascii="Arial" w:hAnsi="Arial" w:cs="Arial"/>
        </w:rPr>
        <w:t>28.04.2026</w:t>
      </w:r>
    </w:p>
    <w:p w14:paraId="3BDAAECB" w14:textId="77777777" w:rsidR="008C2BB4" w:rsidRPr="00CC60C0" w:rsidRDefault="00000000" w:rsidP="00CC60C0">
      <w:pPr>
        <w:spacing w:before="120" w:after="120" w:line="360" w:lineRule="auto"/>
        <w:jc w:val="right"/>
        <w:rPr>
          <w:rFonts w:ascii="Arial" w:hAnsi="Arial" w:cs="Arial"/>
        </w:rPr>
      </w:pPr>
      <w:r>
        <w:rPr>
          <w:rFonts w:ascii="Arial" w:hAnsi="Arial" w:cs="Arial"/>
          <w:b/>
          <w:bCs/>
        </w:rPr>
        <w:t>Avv. Maria Voccia De Felice</w:t>
      </w:r>
    </w:p>
    <w:sectPr w:rsidR="008C2BB4" w:rsidRPr="00CC60C0" w:rsidSect="003D2882">
      <w:pgSz w:w="11906" w:h="16838"/>
      <w:pgMar w:top="851"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0A062822"/>
    <w:multiLevelType w:val="hybridMultilevel"/>
    <w:tmpl w:val="92380DB2"/>
    <w:lvl w:ilvl="0" w:tplc="DD2A531E">
      <w:start w:val="1"/>
      <w:numFmt w:val="bullet"/>
      <w:lvlText w:val="●"/>
      <w:lvlJc w:val="left"/>
      <w:pPr>
        <w:ind w:left="720" w:hanging="360"/>
      </w:pPr>
    </w:lvl>
    <w:lvl w:ilvl="1" w:tplc="30BC2B4E">
      <w:start w:val="1"/>
      <w:numFmt w:val="bullet"/>
      <w:lvlText w:val="○"/>
      <w:lvlJc w:val="left"/>
      <w:pPr>
        <w:ind w:left="1440" w:hanging="360"/>
      </w:pPr>
    </w:lvl>
    <w:lvl w:ilvl="2" w:tplc="CFAA4216">
      <w:start w:val="1"/>
      <w:numFmt w:val="bullet"/>
      <w:lvlText w:val="■"/>
      <w:lvlJc w:val="left"/>
      <w:pPr>
        <w:ind w:left="2160" w:hanging="360"/>
      </w:pPr>
    </w:lvl>
    <w:lvl w:ilvl="3" w:tplc="CBCE49E8">
      <w:start w:val="1"/>
      <w:numFmt w:val="bullet"/>
      <w:lvlText w:val="●"/>
      <w:lvlJc w:val="left"/>
      <w:pPr>
        <w:ind w:left="2880" w:hanging="360"/>
      </w:pPr>
    </w:lvl>
    <w:lvl w:ilvl="4" w:tplc="AF9EF30A">
      <w:start w:val="1"/>
      <w:numFmt w:val="bullet"/>
      <w:lvlText w:val="○"/>
      <w:lvlJc w:val="left"/>
      <w:pPr>
        <w:ind w:left="3600" w:hanging="360"/>
      </w:pPr>
    </w:lvl>
    <w:lvl w:ilvl="5" w:tplc="5DDE7A54">
      <w:start w:val="1"/>
      <w:numFmt w:val="bullet"/>
      <w:lvlText w:val="■"/>
      <w:lvlJc w:val="left"/>
      <w:pPr>
        <w:ind w:left="4320" w:hanging="360"/>
      </w:pPr>
    </w:lvl>
    <w:lvl w:ilvl="6" w:tplc="4B8A6088">
      <w:start w:val="1"/>
      <w:numFmt w:val="bullet"/>
      <w:lvlText w:val="●"/>
      <w:lvlJc w:val="left"/>
      <w:pPr>
        <w:ind w:left="5040" w:hanging="360"/>
      </w:pPr>
    </w:lvl>
    <w:lvl w:ilvl="7" w:tplc="951AB284">
      <w:start w:val="1"/>
      <w:numFmt w:val="bullet"/>
      <w:lvlText w:val="●"/>
      <w:lvlJc w:val="left"/>
      <w:pPr>
        <w:ind w:left="5760" w:hanging="360"/>
      </w:pPr>
    </w:lvl>
    <w:lvl w:ilvl="8" w:tplc="0902E6B4">
      <w:start w:val="1"/>
      <w:numFmt w:val="bullet"/>
      <w:lvlText w:val="●"/>
      <w:lvlJc w:val="left"/>
      <w:pPr>
        <w:ind w:left="6480" w:hanging="360"/>
      </w:pPr>
    </w:lvl>
  </w:abstractNum>
  <w:abstractNum w:abstractNumId="2" w15:restartNumberingAfterBreak="0">
    <w:nsid w:val="1A125E2C"/>
    <w:multiLevelType w:val="hybridMultilevel"/>
    <w:tmpl w:val="FB3CE1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D4157B1"/>
    <w:multiLevelType w:val="hybridMultilevel"/>
    <w:tmpl w:val="0D94266E"/>
    <w:lvl w:ilvl="0" w:tplc="0410000F">
      <w:start w:val="1"/>
      <w:numFmt w:val="decimal"/>
      <w:lvlText w:val="%1."/>
      <w:lvlJc w:val="left"/>
      <w:pPr>
        <w:ind w:left="644"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D047CDA"/>
    <w:multiLevelType w:val="hybridMultilevel"/>
    <w:tmpl w:val="6E2895B2"/>
    <w:lvl w:ilvl="0" w:tplc="833622CC">
      <w:start w:val="1"/>
      <w:numFmt w:val="upperRoman"/>
      <w:lvlText w:val="%1)"/>
      <w:lvlJc w:val="left"/>
      <w:pPr>
        <w:ind w:left="1440" w:hanging="72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 w15:restartNumberingAfterBreak="0">
    <w:nsid w:val="4465106B"/>
    <w:multiLevelType w:val="hybridMultilevel"/>
    <w:tmpl w:val="36F0E58C"/>
    <w:lvl w:ilvl="0" w:tplc="CEEE30A2">
      <w:start w:val="1"/>
      <w:numFmt w:val="decimal"/>
      <w:lvlText w:val="%1."/>
      <w:lvlJc w:val="left"/>
      <w:pPr>
        <w:ind w:left="720" w:hanging="360"/>
      </w:pPr>
    </w:lvl>
    <w:lvl w:ilvl="1" w:tplc="2B06F7DC">
      <w:numFmt w:val="decimal"/>
      <w:lvlText w:val=""/>
      <w:lvlJc w:val="left"/>
    </w:lvl>
    <w:lvl w:ilvl="2" w:tplc="3CD29604">
      <w:numFmt w:val="decimal"/>
      <w:lvlText w:val=""/>
      <w:lvlJc w:val="left"/>
    </w:lvl>
    <w:lvl w:ilvl="3" w:tplc="7ADCDDEE">
      <w:numFmt w:val="decimal"/>
      <w:lvlText w:val=""/>
      <w:lvlJc w:val="left"/>
    </w:lvl>
    <w:lvl w:ilvl="4" w:tplc="B5D42EB6">
      <w:numFmt w:val="decimal"/>
      <w:lvlText w:val=""/>
      <w:lvlJc w:val="left"/>
    </w:lvl>
    <w:lvl w:ilvl="5" w:tplc="6352B8C8">
      <w:numFmt w:val="decimal"/>
      <w:lvlText w:val=""/>
      <w:lvlJc w:val="left"/>
    </w:lvl>
    <w:lvl w:ilvl="6" w:tplc="5D109500">
      <w:numFmt w:val="decimal"/>
      <w:lvlText w:val=""/>
      <w:lvlJc w:val="left"/>
    </w:lvl>
    <w:lvl w:ilvl="7" w:tplc="AA668CF0">
      <w:numFmt w:val="decimal"/>
      <w:lvlText w:val=""/>
      <w:lvlJc w:val="left"/>
    </w:lvl>
    <w:lvl w:ilvl="8" w:tplc="409AC0D0">
      <w:numFmt w:val="decimal"/>
      <w:lvlText w:val=""/>
      <w:lvlJc w:val="left"/>
    </w:lvl>
  </w:abstractNum>
  <w:abstractNum w:abstractNumId="6" w15:restartNumberingAfterBreak="0">
    <w:nsid w:val="4DC37C93"/>
    <w:multiLevelType w:val="multilevel"/>
    <w:tmpl w:val="FE0E156E"/>
    <w:lvl w:ilvl="0">
      <w:start w:val="1"/>
      <w:numFmt w:val="decimal"/>
      <w:lvlText w:val="%1."/>
      <w:lvlJc w:val="left"/>
      <w:pPr>
        <w:tabs>
          <w:tab w:val="num" w:pos="928"/>
        </w:tabs>
        <w:ind w:left="928" w:hanging="360"/>
      </w:pPr>
      <w:rPr>
        <w:rFonts w:ascii="Arial" w:eastAsia="Times New Roman"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317219"/>
    <w:multiLevelType w:val="hybridMultilevel"/>
    <w:tmpl w:val="214E280A"/>
    <w:lvl w:ilvl="0" w:tplc="DC9ABE82">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22293071">
    <w:abstractNumId w:val="1"/>
    <w:lvlOverride w:ilvl="0">
      <w:startOverride w:val="1"/>
    </w:lvlOverride>
  </w:num>
  <w:num w:numId="2" w16cid:durableId="428166172">
    <w:abstractNumId w:val="5"/>
    <w:lvlOverride w:ilvl="0">
      <w:startOverride w:val="1"/>
    </w:lvlOverride>
  </w:num>
  <w:num w:numId="3"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8706164">
    <w:abstractNumId w:val="6"/>
  </w:num>
  <w:num w:numId="5" w16cid:durableId="1227258112">
    <w:abstractNumId w:val="4"/>
  </w:num>
  <w:num w:numId="6" w16cid:durableId="1785684289">
    <w:abstractNumId w:val="0"/>
  </w:num>
  <w:num w:numId="7" w16cid:durableId="184249334">
    <w:abstractNumId w:val="2"/>
  </w:num>
  <w:num w:numId="8" w16cid:durableId="459809020">
    <w:abstractNumId w:val="3"/>
  </w:num>
  <w:num w:numId="9" w16cid:durableId="111288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BB4"/>
    <w:rsid w:val="000079D8"/>
    <w:rsid w:val="000115A3"/>
    <w:rsid w:val="00024C8B"/>
    <w:rsid w:val="000C681D"/>
    <w:rsid w:val="000F6937"/>
    <w:rsid w:val="00122C1B"/>
    <w:rsid w:val="001679BB"/>
    <w:rsid w:val="001B22BE"/>
    <w:rsid w:val="002D6969"/>
    <w:rsid w:val="002F1045"/>
    <w:rsid w:val="00335E2D"/>
    <w:rsid w:val="00392BB5"/>
    <w:rsid w:val="003D2882"/>
    <w:rsid w:val="003D441A"/>
    <w:rsid w:val="003D7CF5"/>
    <w:rsid w:val="004B1EC8"/>
    <w:rsid w:val="00505548"/>
    <w:rsid w:val="00567A53"/>
    <w:rsid w:val="005E5333"/>
    <w:rsid w:val="005F43FF"/>
    <w:rsid w:val="00607F2A"/>
    <w:rsid w:val="006E5D5D"/>
    <w:rsid w:val="0075555C"/>
    <w:rsid w:val="007B76B9"/>
    <w:rsid w:val="007E78FF"/>
    <w:rsid w:val="00811F91"/>
    <w:rsid w:val="00812875"/>
    <w:rsid w:val="00851464"/>
    <w:rsid w:val="008C2BB4"/>
    <w:rsid w:val="008C3433"/>
    <w:rsid w:val="00943CCF"/>
    <w:rsid w:val="009848D0"/>
    <w:rsid w:val="00A43811"/>
    <w:rsid w:val="00A91EF3"/>
    <w:rsid w:val="00AC383D"/>
    <w:rsid w:val="00B674B9"/>
    <w:rsid w:val="00B9260A"/>
    <w:rsid w:val="00BD509C"/>
    <w:rsid w:val="00C240E0"/>
    <w:rsid w:val="00CB6A74"/>
    <w:rsid w:val="00CC60C0"/>
    <w:rsid w:val="00D35074"/>
    <w:rsid w:val="00D473C6"/>
    <w:rsid w:val="00D661D9"/>
    <w:rsid w:val="00D9481B"/>
    <w:rsid w:val="00DA16CA"/>
    <w:rsid w:val="00DA622F"/>
    <w:rsid w:val="00DB2463"/>
    <w:rsid w:val="00E3507A"/>
    <w:rsid w:val="00E452B1"/>
    <w:rsid w:val="00E8512B"/>
    <w:rsid w:val="00EF4C80"/>
    <w:rsid w:val="00EF7C0B"/>
    <w:rsid w:val="00F82A72"/>
    <w:rsid w:val="00FF79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E7C5B"/>
  <w15:docId w15:val="{96B4CE0B-C568-E44A-9609-CA29A52E0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uiPriority w:val="34"/>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ormattiva.it/uri-res/N2Ls?urn:nir:stato:decreto.legislativo:1997;446~art52-com5-letb"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vocciaordsa@pec.giuffre.i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vocciaordsa@pec.giuffre.it" TargetMode="External"/><Relationship Id="rId11" Type="http://schemas.openxmlformats.org/officeDocument/2006/relationships/hyperlink" Target="https://www.normattiva.it/uri-res/N2Ls?urn:nir:stato:decreto.legislativo:2011-09-01;150~art32" TargetMode="External"/><Relationship Id="rId5" Type="http://schemas.openxmlformats.org/officeDocument/2006/relationships/hyperlink" Target="mailto:mvoccia@vocciaspa.com" TargetMode="External"/><Relationship Id="rId10" Type="http://schemas.openxmlformats.org/officeDocument/2006/relationships/hyperlink" Target="https://www.normattiva.it/uri-res/N2Ls?urn:nir:stato:decreto.legislativo:1997-12-18;472~art19" TargetMode="External"/><Relationship Id="rId4" Type="http://schemas.openxmlformats.org/officeDocument/2006/relationships/webSettings" Target="webSettings.xml"/><Relationship Id="rId9" Type="http://schemas.openxmlformats.org/officeDocument/2006/relationships/hyperlink" Target="https://www.normattiva.it/uri-res/N2Ls?urn:nir:stato:legge:2013;147~art1-com691"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7459</Words>
  <Characters>42522</Characters>
  <Application>Microsoft Office Word</Application>
  <DocSecurity>0</DocSecurity>
  <Lines>354</Lines>
  <Paragraphs>99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dcterms:created xsi:type="dcterms:W3CDTF">2026-04-29T16:57:00Z</dcterms:created>
  <dcterms:modified xsi:type="dcterms:W3CDTF">2026-04-29T16:57:00Z</dcterms:modified>
</cp:coreProperties>
</file>