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8ABC99" w14:textId="77777777" w:rsidR="0054082B" w:rsidRPr="00286E13" w:rsidRDefault="0054082B" w:rsidP="0054082B">
      <w:pPr>
        <w:spacing w:line="360" w:lineRule="auto"/>
        <w:jc w:val="center"/>
      </w:pPr>
      <w:r>
        <w:rPr>
          <w:b/>
          <w:bCs/>
        </w:rPr>
        <w:t>ON.LE CORTE DI GIUSTIZIA TRIBUTARIA DI PRIMO GRADO DI MILANO</w:t>
      </w:r>
    </w:p>
    <w:p w14:paraId="0BFFE30F" w14:textId="77777777" w:rsidR="00860D8C" w:rsidRDefault="00860D8C" w:rsidP="00FA7217">
      <w:pPr>
        <w:spacing w:line="360" w:lineRule="auto"/>
        <w:ind w:firstLine="567"/>
        <w:jc w:val="center"/>
        <w:rPr>
          <w:b/>
          <w:bCs/>
        </w:rPr>
      </w:pPr>
    </w:p>
    <w:p w14:paraId="12169F7B" w14:textId="070DBCDF" w:rsidR="00FA7217" w:rsidRDefault="00FA7217" w:rsidP="00FA7217">
      <w:pPr>
        <w:spacing w:line="360" w:lineRule="auto"/>
        <w:ind w:firstLine="567"/>
        <w:jc w:val="center"/>
      </w:pPr>
      <w:r>
        <w:rPr>
          <w:b/>
          <w:bCs/>
        </w:rPr>
        <w:t xml:space="preserve">Memoria di costituzione </w:t>
      </w:r>
      <w:r w:rsidR="00860D8C">
        <w:rPr>
          <w:b/>
          <w:bCs/>
        </w:rPr>
        <w:t xml:space="preserve">in giudizio </w:t>
      </w:r>
    </w:p>
    <w:p w14:paraId="469B6759" w14:textId="351367DE" w:rsidR="00316FB2" w:rsidRPr="00056E89" w:rsidRDefault="00F4102F" w:rsidP="00316FB2">
      <w:pPr>
        <w:snapToGrid w:val="0"/>
        <w:spacing w:line="360" w:lineRule="auto"/>
        <w:ind w:firstLine="708"/>
        <w:jc w:val="both"/>
        <w:rPr>
          <w:b/>
        </w:rPr>
      </w:pPr>
      <w:r>
        <w:tab/>
        <w:t xml:space="preserve">Per il </w:t>
      </w:r>
      <w:r>
        <w:rPr>
          <w:b/>
          <w:bCs/>
        </w:rPr>
        <w:t>COMUNE DI CINISELLO BALSAMO (MI)</w:t>
      </w:r>
      <w:r>
        <w:t xml:space="preserve">, in persona del Sindaco pro tempore, C.F. 01971350150, con sede in Via XXV Aprile n. 4 – 20092 Cinisello Balsamo (MI), </w:t>
      </w:r>
      <w:proofErr w:type="spellStart"/>
      <w:r>
        <w:t>pec</w:t>
      </w:r>
      <w:proofErr w:type="spellEnd"/>
      <w:r>
        <w:t xml:space="preserve"> comune.cinisellobalsamo@pec.regione.lombardia.it, rappresentato e difeso</w:t>
      </w:r>
      <w:r w:rsidR="00316FB2" w:rsidRPr="00056E89">
        <w:rPr>
          <w:b/>
        </w:rPr>
        <w:t>;</w:t>
      </w:r>
    </w:p>
    <w:p w14:paraId="1B71EBA2" w14:textId="52D8A6EF" w:rsidR="00075369" w:rsidRDefault="00000000" w:rsidP="00316FB2">
      <w:pPr>
        <w:spacing w:line="360" w:lineRule="auto"/>
        <w:jc w:val="right"/>
      </w:pPr>
      <w:r>
        <w:rPr>
          <w:b/>
          <w:bCs/>
        </w:rPr>
        <w:t>– RESISTENTE –</w:t>
      </w:r>
    </w:p>
    <w:p w14:paraId="7C697067" w14:textId="77777777" w:rsidR="00075369" w:rsidRPr="00BF6D20" w:rsidRDefault="00000000" w:rsidP="00BF6D20">
      <w:pPr>
        <w:spacing w:after="60" w:line="360" w:lineRule="auto"/>
        <w:rPr>
          <w:b/>
          <w:bCs/>
        </w:rPr>
      </w:pPr>
      <w:r>
        <w:rPr>
          <w:b/>
          <w:bCs/>
        </w:rPr>
        <w:t>contro</w:t>
      </w:r>
    </w:p>
    <w:p w14:paraId="740A155A" w14:textId="1B0316FD" w:rsidR="00075369" w:rsidRDefault="00F4102F" w:rsidP="00864A21">
      <w:pPr>
        <w:spacing w:line="360" w:lineRule="auto"/>
        <w:jc w:val="both"/>
      </w:pPr>
      <w:r>
        <w:rPr>
          <w:b/>
          <w:bCs/>
        </w:rPr>
        <w:tab/>
        <w:t>FASTWEB S.p.A.</w:t>
      </w:r>
      <w:r>
        <w:t xml:space="preserve"> (C.F. e P.IVA 12878470157), Società a socio unico e soggetta all’attività di direzione e coordinamento di Swisscom A.G., con sede legale in Piazza Adriano Olivetti n. 1, 20139 – Milano (MI), </w:t>
      </w:r>
      <w:r w:rsidRPr="00860D8C">
        <w:rPr>
          <w:b/>
          <w:bCs/>
        </w:rPr>
        <w:t>in qualità di incorporante di VODAFONE ITALIA S.p.A.</w:t>
      </w:r>
      <w:r>
        <w:t xml:space="preserve"> (giusta fusione per incorporazione con efficacia dal 1° gennaio 2026), per il tramite della società procuratrice Lindam s.r.l., con sede in Roma, via Trionfale n. 6551, C.F. e P.IVA 12468191007, in persona del legale rappresentante pro tempore Dott. Adriano De Angeli, rappresentata e difesa dall’Avv. Daniela Mazzagreco, C.F. MZZDNL74D67G642Z, PEC danielamazzagreco@pecavvpa.it, e dall’Avv. Alessandra Alaimo, C.F. LMALSN74L53G273L, PEC alessandraalaimo@pecavvpa.it, con domicilio eletto presso lo studio della prima in Palermo, via Messina n. 4.</w:t>
      </w:r>
    </w:p>
    <w:p w14:paraId="41E21A4D" w14:textId="77777777" w:rsidR="00075369" w:rsidRDefault="00000000" w:rsidP="00BF6D20">
      <w:pPr>
        <w:spacing w:before="60" w:after="80" w:line="360" w:lineRule="auto"/>
        <w:jc w:val="right"/>
      </w:pPr>
      <w:r>
        <w:rPr>
          <w:b/>
          <w:bCs/>
        </w:rPr>
        <w:t>– RICORRENTE –</w:t>
      </w:r>
    </w:p>
    <w:p w14:paraId="1A17D883" w14:textId="77777777" w:rsidR="00075369" w:rsidRDefault="00000000" w:rsidP="00864A21">
      <w:pPr>
        <w:spacing w:before="120" w:after="120" w:line="360" w:lineRule="auto"/>
        <w:jc w:val="center"/>
      </w:pPr>
      <w:r>
        <w:t>* * *</w:t>
      </w:r>
    </w:p>
    <w:p w14:paraId="1FD9D995" w14:textId="77777777" w:rsidR="00075369" w:rsidRDefault="00000000" w:rsidP="0054082B">
      <w:pPr>
        <w:spacing w:after="80" w:line="360" w:lineRule="auto"/>
      </w:pPr>
      <w:r>
        <w:rPr>
          <w:b/>
          <w:bCs/>
        </w:rPr>
        <w:t>Si premette</w:t>
      </w:r>
    </w:p>
    <w:p w14:paraId="037CE141" w14:textId="77777777" w:rsidR="00075369" w:rsidRDefault="00000000" w:rsidP="00864A21">
      <w:pPr>
        <w:spacing w:line="360" w:lineRule="auto"/>
        <w:ind w:firstLine="567"/>
        <w:jc w:val="both"/>
      </w:pPr>
      <w:r>
        <w:t xml:space="preserve">Il Comune di Cinisello Balsamo (MI), con Delibera del Consiglio Comunale n. 18 del 15.04.2021, ha approvato il Regolamento per l’applicazione del </w:t>
      </w:r>
      <w:r>
        <w:rPr>
          <w:b/>
          <w:bCs/>
        </w:rPr>
        <w:t>Canone Patrimoniale di Concessione, Autorizzazione o Esposizione Pubblicitaria</w:t>
      </w:r>
      <w:r>
        <w:t xml:space="preserve"> (di seguito anche solo CUP), ai sensi dell’art. 1, commi da 816 a 836, della Legge n. 160/2019, successivamente modificato ed integrato con Delibera del Consiglio Comunale n. 24 del 23.05.2022 </w:t>
      </w:r>
      <w:r>
        <w:rPr>
          <w:b/>
          <w:bCs/>
        </w:rPr>
        <w:t>(cfr. doc. 1)</w:t>
      </w:r>
      <w:r>
        <w:t>.</w:t>
      </w:r>
    </w:p>
    <w:p w14:paraId="68DA2FF6" w14:textId="77777777" w:rsidR="00075369" w:rsidRDefault="00000000" w:rsidP="00864A21">
      <w:pPr>
        <w:spacing w:line="360" w:lineRule="auto"/>
        <w:ind w:firstLine="567"/>
        <w:jc w:val="both"/>
      </w:pPr>
      <w:r>
        <w:t>Su incarico del Comune di Cinisello Balsamo – giusto affidamento del servizio di supporto di cui alla Determinazione n</w:t>
      </w:r>
      <w:r w:rsidRPr="003015CF">
        <w:t xml:space="preserve">. 709 dell’11.06.2025 del Settore Risorse e Patrimonio </w:t>
      </w:r>
      <w:r w:rsidRPr="003015CF">
        <w:rPr>
          <w:b/>
          <w:bCs/>
        </w:rPr>
        <w:t>(doc. 2)</w:t>
      </w:r>
      <w:r w:rsidRPr="003015CF">
        <w:t xml:space="preserve"> – la società Archivia Solution S.</w:t>
      </w:r>
      <w:r>
        <w:t>p.A. ha avviato la verifica della congruità dei versamenti del Canone Unico Patrimoniale dovuto, ai sensi del comma 831, art. 1, L. 160/2019, dalle aziende che gestiscono i c.d. servizi di rete nel territorio comunale.</w:t>
      </w:r>
    </w:p>
    <w:p w14:paraId="385800F2" w14:textId="77777777" w:rsidR="00860D8C" w:rsidRDefault="00000000" w:rsidP="00864A21">
      <w:pPr>
        <w:spacing w:line="360" w:lineRule="auto"/>
        <w:ind w:firstLine="567"/>
        <w:jc w:val="both"/>
      </w:pPr>
      <w:r>
        <w:lastRenderedPageBreak/>
        <w:t>Quindi, con nota dell’</w:t>
      </w:r>
      <w:r>
        <w:rPr>
          <w:b/>
          <w:bCs/>
        </w:rPr>
        <w:t>11 novembre 2025</w:t>
      </w:r>
      <w:r>
        <w:t xml:space="preserve"> </w:t>
      </w:r>
      <w:r>
        <w:rPr>
          <w:b/>
          <w:bCs/>
        </w:rPr>
        <w:t>(doc. 3)</w:t>
      </w:r>
      <w:r>
        <w:t xml:space="preserve">, la società Archivia Solution S.p.A. ha trasmesso </w:t>
      </w:r>
      <w:r>
        <w:rPr>
          <w:b/>
          <w:bCs/>
        </w:rPr>
        <w:t>a VODAFONE ITALIA S.p.A.</w:t>
      </w:r>
      <w:r>
        <w:t xml:space="preserve"> – a mezzo PEC una richiesta di dichiarazione delle utenze attive nel Comune di Cinisello Balsamo e dei versamenti effettuati a titolo di CUP per gli anni dal 2021 al 2024, evidenziando che, dai primi controlli eseguiti sulla piattaforma PagoPA e sugli altri canali di pagamento attivi, la società non risultava aver versato il Canone per alcuna delle annualità in verifica, </w:t>
      </w:r>
      <w:r>
        <w:t xml:space="preserve">invitando la stessa a regolarizzare la propria posizione entro quindici giorni, pena il ricorso alla procedura di accertamento su stima presuntiva. </w:t>
      </w:r>
    </w:p>
    <w:p w14:paraId="7A843100" w14:textId="77777777" w:rsidR="00860D8C" w:rsidRDefault="00000000" w:rsidP="00864A21">
      <w:pPr>
        <w:spacing w:line="360" w:lineRule="auto"/>
        <w:ind w:firstLine="567"/>
        <w:jc w:val="both"/>
      </w:pPr>
      <w:r>
        <w:t>Con PEC del 12 novembre 2025 (</w:t>
      </w:r>
      <w:r w:rsidRPr="00860D8C">
        <w:rPr>
          <w:b/>
          <w:bCs/>
        </w:rPr>
        <w:t>doc. 4</w:t>
      </w:r>
      <w:r>
        <w:t xml:space="preserve">), la società VODAFONE ITALIA S.p.A. riscontrava la richiesta, trasmettendo le dichiarazioni delle utenze attive </w:t>
      </w:r>
      <w:r w:rsidR="005677E8">
        <w:t xml:space="preserve">per le annualità oggetto di verifica </w:t>
      </w:r>
      <w:r>
        <w:t xml:space="preserve">e le ricevute dei versamenti eseguiti </w:t>
      </w:r>
      <w:r w:rsidRPr="005677E8">
        <w:rPr>
          <w:u w:val="single"/>
        </w:rPr>
        <w:t>per le sole annualità 2023, 2024 e 2025</w:t>
      </w:r>
      <w:r>
        <w:t xml:space="preserve"> e chiedendo, per le annualità 2021 e 2022, la trasmissione dei bollettini PagoPA per procedere al pagamento. </w:t>
      </w:r>
    </w:p>
    <w:p w14:paraId="58330F33" w14:textId="232917D6" w:rsidR="00075369" w:rsidRDefault="00000000" w:rsidP="00864A21">
      <w:pPr>
        <w:spacing w:line="360" w:lineRule="auto"/>
        <w:ind w:firstLine="567"/>
        <w:jc w:val="both"/>
      </w:pPr>
      <w:r>
        <w:t xml:space="preserve">Le dichiarazioni così trasmesse, tuttavia, risultavano strutturalmente parziali, in quanto riferite – per espressa impostazione della società, ribadita nel successivo ricorso – alle sole utenze servite mediante infrastrutture proprie, con esclusione di tutte le utenze servite attraverso l’utilizzo, </w:t>
      </w:r>
      <w:r w:rsidRPr="00B41968">
        <w:rPr>
          <w:u w:val="single"/>
        </w:rPr>
        <w:t>in via mediata</w:t>
      </w:r>
      <w:r>
        <w:t>, delle infrastrutture di altri operatori.</w:t>
      </w:r>
    </w:p>
    <w:p w14:paraId="6B4EB922" w14:textId="77777777" w:rsidR="00B41968" w:rsidRDefault="00000000" w:rsidP="00864A21">
      <w:pPr>
        <w:spacing w:line="360" w:lineRule="auto"/>
        <w:ind w:firstLine="567"/>
        <w:jc w:val="both"/>
      </w:pPr>
      <w:r>
        <w:t>Successivamente, intervenuta la fusione per incorporazione di VODAFONE ITALIA S.p.A. in FASTWEB S.p.A., con efficacia dal 1° gennaio 2026, la società Archivia Solution S.p</w:t>
      </w:r>
      <w:r w:rsidRPr="009A3D0F">
        <w:t xml:space="preserve">.A. – giusto affidamento del servizio di supporto di cui alla Determinazione </w:t>
      </w:r>
      <w:r w:rsidR="009A3D0F" w:rsidRPr="009A3D0F">
        <w:t xml:space="preserve">integrativa </w:t>
      </w:r>
      <w:r w:rsidRPr="009A3D0F">
        <w:t>n. 152 del 17.02.2026 del Settore Risorse e Patrimonio</w:t>
      </w:r>
      <w:r w:rsidR="009A3D0F" w:rsidRPr="009A3D0F">
        <w:t xml:space="preserve">, </w:t>
      </w:r>
      <w:r w:rsidR="009A3D0F">
        <w:t xml:space="preserve">concernente </w:t>
      </w:r>
      <w:r w:rsidR="009A3D0F" w:rsidRPr="009A3D0F">
        <w:t xml:space="preserve">l’ estensione del servizio all’annualità 2025 </w:t>
      </w:r>
      <w:r w:rsidRPr="009A3D0F">
        <w:t>(</w:t>
      </w:r>
      <w:r w:rsidRPr="00B41968">
        <w:rPr>
          <w:b/>
          <w:bCs/>
        </w:rPr>
        <w:t>doc. 5</w:t>
      </w:r>
      <w:r w:rsidRPr="009A3D0F">
        <w:t>) – con nota del 23 febbraio 2026 (</w:t>
      </w:r>
      <w:r w:rsidRPr="00B41968">
        <w:rPr>
          <w:b/>
          <w:bCs/>
        </w:rPr>
        <w:t>doc. 6</w:t>
      </w:r>
      <w:r w:rsidRPr="009A3D0F">
        <w:t xml:space="preserve">) trasmetteva a FASTWEB S.p.A., quale incorporante </w:t>
      </w:r>
      <w:r>
        <w:t xml:space="preserve">di VODAFONE ITALIA S.p.A., una nuova richiesta di dichiarazione delle utenze attive e dei versamenti per gli anni dal 2021 al 2025, segnalando il versamento solo parziale per le annualità 2023, 2024 e 2025 e l’assenza di qualsivoglia versamento per le annualità 2021 e 2022, e assegnando il termine di dieci giorni per il riscontro. </w:t>
      </w:r>
    </w:p>
    <w:p w14:paraId="1F1438B4" w14:textId="77777777" w:rsidR="00075369" w:rsidRDefault="00000000" w:rsidP="00864A21">
      <w:pPr>
        <w:spacing w:line="360" w:lineRule="auto"/>
        <w:ind w:firstLine="567"/>
        <w:jc w:val="both"/>
      </w:pPr>
      <w:r>
        <w:t xml:space="preserve">Nonostante il regolare ricevimento della </w:t>
      </w:r>
      <w:proofErr w:type="gramStart"/>
      <w:r>
        <w:t>predetta</w:t>
      </w:r>
      <w:proofErr w:type="gramEnd"/>
      <w:r>
        <w:t xml:space="preserve"> richiesta, la società non forniva alcun riscontro, né provvedeva alla dichiarazione integrale delle utenze attive nel territorio comunale, </w:t>
      </w:r>
      <w:r w:rsidRPr="00B41968">
        <w:rPr>
          <w:b/>
          <w:bCs/>
          <w:u w:val="single"/>
        </w:rPr>
        <w:t>né tantomeno al versamento di quanto dovuto per le annualità 2021 e 2022, pur oggetto di dichiarazione</w:t>
      </w:r>
      <w:r>
        <w:t>.</w:t>
      </w:r>
    </w:p>
    <w:p w14:paraId="65D00CF5" w14:textId="77777777" w:rsidR="00075369" w:rsidRDefault="00000000" w:rsidP="00864A21">
      <w:pPr>
        <w:spacing w:line="360" w:lineRule="auto"/>
        <w:ind w:firstLine="567"/>
        <w:jc w:val="both"/>
      </w:pPr>
      <w:r>
        <w:t>Attesa la mancata collaborazione della società, il Comune di Cinisello Balsamo emetteva l’</w:t>
      </w:r>
      <w:r>
        <w:rPr>
          <w:b/>
          <w:bCs/>
        </w:rPr>
        <w:t>Avviso di Accertamento Esecutivo n. 16 del 05.03.2026</w:t>
      </w:r>
      <w:r>
        <w:t xml:space="preserve"> </w:t>
      </w:r>
      <w:r>
        <w:rPr>
          <w:b/>
          <w:bCs/>
        </w:rPr>
        <w:t>(doc. 7)</w:t>
      </w:r>
      <w:r>
        <w:t xml:space="preserve">, notificato in data 24.03.2026, avente ad oggetto l’omesso/parziale versamento del </w:t>
      </w:r>
      <w:r>
        <w:rPr>
          <w:b/>
          <w:bCs/>
        </w:rPr>
        <w:t>CUP</w:t>
      </w:r>
      <w:r>
        <w:t xml:space="preserve"> – ai sensi dell’art. 1, comma 831, L. 160/2019 – per le annualità 2021, 2022, </w:t>
      </w:r>
      <w:r>
        <w:lastRenderedPageBreak/>
        <w:t>2023, 2024 e 2025, nei confronti di FASTWEB S.p.A., quale incorporante di VODAFONE ITALIA S.p.A., per un importo complessivo di euro 18.610,00.</w:t>
      </w:r>
    </w:p>
    <w:p w14:paraId="798DFC5A" w14:textId="77777777" w:rsidR="00075369" w:rsidRDefault="00000000" w:rsidP="00864A21">
      <w:pPr>
        <w:spacing w:line="360" w:lineRule="auto"/>
        <w:ind w:firstLine="567"/>
        <w:jc w:val="both"/>
      </w:pPr>
      <w:r>
        <w:t>Il Canone è stato determinato in via induttiva, così come previsto dalle norme vigenti, sulla base delle risultanze di Punto Fisco, confermate dai dati nazionali forniti dall’Osservatorio sulle Comunicazioni pubblicato trimestralmente da AGCOM (</w:t>
      </w:r>
      <w:r w:rsidRPr="00B41968">
        <w:rPr>
          <w:b/>
          <w:bCs/>
        </w:rPr>
        <w:t>doc. 8</w:t>
      </w:r>
      <w:r>
        <w:t>), dal quale si assumono le quote di mercato – espressamente indicate nell’atto per ciascuna annualità – attribuite alla società quale gestore di telefonia fissa, stante l’omessa dichiarazione integrale delle utenze attive.</w:t>
      </w:r>
    </w:p>
    <w:p w14:paraId="5716F15E" w14:textId="77777777" w:rsidR="00075369" w:rsidRDefault="00000000" w:rsidP="00864A21">
      <w:pPr>
        <w:spacing w:line="360" w:lineRule="auto"/>
        <w:ind w:firstLine="567"/>
        <w:jc w:val="both"/>
      </w:pPr>
      <w:r>
        <w:t xml:space="preserve">Avverso tale avviso di accertamento FASTWEB S.p.A. ha proposto ricorso dinanzi a codesta </w:t>
      </w:r>
      <w:proofErr w:type="spellStart"/>
      <w:r>
        <w:t>On.le</w:t>
      </w:r>
      <w:proofErr w:type="spellEnd"/>
      <w:r>
        <w:t xml:space="preserve"> Corte, deducendo: 1) l’illegittimità dell’avviso di accertamento per violazione dell’art. 7 della L. n. 212/2000, atteso che la motivazione sarebbe </w:t>
      </w:r>
      <w:r>
        <w:t xml:space="preserve">carente di alcuni elementi essenziali; 2) l’illegittimità dell’avviso di accertamento per violazione dell’art. 6-bis della L. n. 212/2000, atteso che il Comune resistente, pur essendo obbligato, avrebbe omesso di comunicare lo schema d’atto; 3) l’illegittimità dell’avviso di accertamento per aperta violazione dell’art. 1, comma 831, della L. n. 160/2019 e dell’art. 5, comma 14-quinquies, del </w:t>
      </w:r>
      <w:proofErr w:type="spellStart"/>
      <w:r>
        <w:t>d.l.</w:t>
      </w:r>
      <w:proofErr w:type="spellEnd"/>
      <w:r>
        <w:t xml:space="preserve"> n. 146/2021, con conseguente illegittimità dell’art. 54 del Regolamento approvato con Deliberazione del Consigli</w:t>
      </w:r>
      <w:r>
        <w:t>o Comunale n. 18 del 15.04.2021 e difetto di legittimazione passiva di Fastweb S.p.A.; 4) l’illegittimità e l’infondatezza dell’avviso di accertamento, perché il CUP dovuto in relazione al numero delle utenze attive servite direttamente, in tutto o in parte, da Vodafone non supererebbe, per ciascuna annualità, l’importo corrispondente al numero delle utenze dichiarate.</w:t>
      </w:r>
    </w:p>
    <w:p w14:paraId="263699E9" w14:textId="77777777" w:rsidR="00075369" w:rsidRDefault="00000000" w:rsidP="00864A21">
      <w:pPr>
        <w:spacing w:before="120" w:after="120" w:line="360" w:lineRule="auto"/>
        <w:jc w:val="center"/>
      </w:pPr>
      <w:r>
        <w:t>* * *</w:t>
      </w:r>
    </w:p>
    <w:p w14:paraId="17BB55AA" w14:textId="5924ED1F" w:rsidR="00075369" w:rsidRDefault="00000000" w:rsidP="00864A21">
      <w:pPr>
        <w:spacing w:line="360" w:lineRule="auto"/>
        <w:ind w:firstLine="567"/>
        <w:jc w:val="both"/>
      </w:pPr>
      <w:r>
        <w:t>Con il presente atto il Comune di Cinisello Balsamo si costituisce in giudizio, contestando le domande, le eccezioni e le deduzioni avversarie, delle quali chiede il rigetto</w:t>
      </w:r>
      <w:r w:rsidR="000E5200">
        <w:t xml:space="preserve">, </w:t>
      </w:r>
      <w:r w:rsidR="000E5200" w:rsidRPr="000E5200">
        <w:rPr>
          <w:b/>
          <w:bCs/>
          <w:u w:val="single"/>
        </w:rPr>
        <w:t>anche alla luce della recente sentenz</w:t>
      </w:r>
      <w:r w:rsidR="000E5200">
        <w:rPr>
          <w:b/>
          <w:bCs/>
          <w:u w:val="single"/>
        </w:rPr>
        <w:t>a</w:t>
      </w:r>
      <w:r w:rsidR="000E5200" w:rsidRPr="000E5200">
        <w:rPr>
          <w:b/>
          <w:bCs/>
          <w:u w:val="single"/>
        </w:rPr>
        <w:t xml:space="preserve"> della Corte di Cassazione sez. III n. 11479 del 28.4.2026</w:t>
      </w:r>
      <w:r w:rsidR="000E5200">
        <w:t xml:space="preserve">, </w:t>
      </w:r>
      <w:r>
        <w:t>per i seguenti</w:t>
      </w:r>
    </w:p>
    <w:p w14:paraId="08D22251" w14:textId="77777777" w:rsidR="00075369" w:rsidRDefault="00000000" w:rsidP="00864A21">
      <w:pPr>
        <w:spacing w:before="120" w:after="80" w:line="360" w:lineRule="auto"/>
        <w:jc w:val="center"/>
      </w:pPr>
      <w:r>
        <w:rPr>
          <w:b/>
          <w:bCs/>
        </w:rPr>
        <w:t>MOTIVI</w:t>
      </w:r>
    </w:p>
    <w:p w14:paraId="007B42D0" w14:textId="77777777" w:rsidR="00075369" w:rsidRDefault="00000000" w:rsidP="00864A21">
      <w:pPr>
        <w:spacing w:before="240" w:after="120" w:line="360" w:lineRule="auto"/>
        <w:jc w:val="both"/>
      </w:pPr>
      <w:r>
        <w:rPr>
          <w:b/>
          <w:bCs/>
        </w:rPr>
        <w:t>I) Sulla pretesa “Illegittimità dell’avviso di accertamento per violazione dell’art. 7 della L. n. 212/2000”. Infondatezza.</w:t>
      </w:r>
    </w:p>
    <w:p w14:paraId="13BEE0AF" w14:textId="77777777" w:rsidR="00075369" w:rsidRDefault="00000000" w:rsidP="00864A21">
      <w:pPr>
        <w:spacing w:line="360" w:lineRule="auto"/>
        <w:ind w:firstLine="567"/>
        <w:jc w:val="both"/>
      </w:pPr>
      <w:r>
        <w:t>L’eccezione è infondata e va rigettata.</w:t>
      </w:r>
    </w:p>
    <w:p w14:paraId="1D84CBE3" w14:textId="77777777" w:rsidR="000E5200" w:rsidRDefault="00000000" w:rsidP="00864A21">
      <w:pPr>
        <w:spacing w:line="360" w:lineRule="auto"/>
        <w:ind w:firstLine="567"/>
        <w:jc w:val="both"/>
      </w:pPr>
      <w:r>
        <w:t xml:space="preserve">Contrariamente a quanto dedotto da controparte, l’avviso di accertamento impugnato contiene tutti gli elementi richiesti dall’art. 7 della L. n. 212/2000, indicando </w:t>
      </w:r>
      <w:r>
        <w:lastRenderedPageBreak/>
        <w:t xml:space="preserve">specificamente i presupposti di fatto, i mezzi di prova e le ragioni giuridiche su cui si fonda la pretesa. </w:t>
      </w:r>
    </w:p>
    <w:p w14:paraId="1CBE591E" w14:textId="2763F274" w:rsidR="00075369" w:rsidRDefault="00000000" w:rsidP="00864A21">
      <w:pPr>
        <w:spacing w:line="360" w:lineRule="auto"/>
        <w:ind w:firstLine="567"/>
        <w:jc w:val="both"/>
      </w:pPr>
      <w:r>
        <w:t xml:space="preserve">L’atto, infatti: </w:t>
      </w:r>
      <w:r w:rsidR="000E5200">
        <w:t xml:space="preserve">a) </w:t>
      </w:r>
      <w:r>
        <w:t xml:space="preserve">individua la norma applicata (art. 1, comma 831, L. n. 160/2019) e il presupposto impositivo, costituito dall’occupazione permanente, anche in via mediata, del suolo pubblico con impianti direttamente funzionali all’erogazione del servizio a rete; </w:t>
      </w:r>
      <w:r w:rsidR="000E5200">
        <w:t xml:space="preserve">b) </w:t>
      </w:r>
      <w:r>
        <w:t xml:space="preserve">dà atto della richiesta di dichiarazione delle utenze attive trasmessa alla società e del mancato adeguato riscontro; esplicita il metodo di determinazione induttiva del numero delle utenze, fondato sulle risultanze di Punto Fisco confermate dai dati nazionali dell’Osservatorio sulle Comunicazioni pubblicato trimestralmente da AGCOM; </w:t>
      </w:r>
      <w:r w:rsidR="000E5200">
        <w:t xml:space="preserve">c) </w:t>
      </w:r>
      <w:r>
        <w:t>riporta espressamente, per ciascuna annualità, le quote di mercato attribuite alla società quale gestore di telefonia fissa; espone, sotto la voce “Dettaglio Canone”, gli importi dovuti, i versamenti eseguiti e le relative differenze per ciascuna annualità, oltre ai criteri di calcolo delle sanzioni e degli interessi, con puntuale indicazione delle norme di riferimento.</w:t>
      </w:r>
    </w:p>
    <w:p w14:paraId="4D6D9413" w14:textId="355DF384" w:rsidR="00075369" w:rsidRPr="000E5200" w:rsidRDefault="00000000" w:rsidP="00864A21">
      <w:pPr>
        <w:spacing w:line="360" w:lineRule="auto"/>
        <w:ind w:firstLine="567"/>
        <w:jc w:val="both"/>
        <w:rPr>
          <w:u w:val="single"/>
        </w:rPr>
      </w:pPr>
      <w:r>
        <w:t>Il contribuente è stato</w:t>
      </w:r>
      <w:r w:rsidR="000E5200">
        <w:t>,</w:t>
      </w:r>
      <w:r>
        <w:t xml:space="preserve"> dunque</w:t>
      </w:r>
      <w:r w:rsidR="000E5200">
        <w:t>,</w:t>
      </w:r>
      <w:r>
        <w:t xml:space="preserve"> posto nella piena condizione di conoscere la pretesa e le sue ragioni giustificative, come del resto dimostra lo stesso ricorso avversario, che contesta diffusamente, nel merito, tanto il presupposto impositivo quanto il metodo di determinazione del canone: circostanza che </w:t>
      </w:r>
      <w:r w:rsidRPr="000E5200">
        <w:rPr>
          <w:u w:val="single"/>
        </w:rPr>
        <w:t>esclude in radice qualsivoglia lesione del diritto di difesa.</w:t>
      </w:r>
    </w:p>
    <w:p w14:paraId="5A2872AE" w14:textId="77777777" w:rsidR="000E5200" w:rsidRDefault="00000000" w:rsidP="00864A21">
      <w:pPr>
        <w:spacing w:line="360" w:lineRule="auto"/>
        <w:ind w:firstLine="567"/>
        <w:jc w:val="both"/>
      </w:pPr>
      <w:r>
        <w:t>Né può fondatamente sostenersi che la motivazione sarebbe carente per non avere l’atto riprodotto l’intero sviluppo aritmetico del calcolo: i dati assunti a fondamento della determinazione induttiva – le quote di mercato desunte dall’Osservatorio sulle Comunicazioni AGCOM, espressamente riportate nell’atto per ciascuna annualità, e la tariffa unitaria stabilita direttamente dalla legge – provengono da fonti pubbliche, liberamente accessibili, sicché la ricorrente era pienamente in grado di verificare la cor</w:t>
      </w:r>
      <w:r>
        <w:t xml:space="preserve">rettezza della liquidazione. </w:t>
      </w:r>
    </w:p>
    <w:p w14:paraId="7FD6799F" w14:textId="7053CE91" w:rsidR="00075369" w:rsidRDefault="00000000" w:rsidP="00864A21">
      <w:pPr>
        <w:spacing w:line="360" w:lineRule="auto"/>
        <w:ind w:firstLine="567"/>
        <w:jc w:val="both"/>
      </w:pPr>
      <w:r>
        <w:t>Peraltro, le tariffe unitarie di riferimento per ciascuna annualità erano già state comunicate alla società con le richieste di dichiarazione trasmesse in fase precontenziosa (</w:t>
      </w:r>
      <w:proofErr w:type="spellStart"/>
      <w:r w:rsidRPr="000E5200">
        <w:rPr>
          <w:b/>
          <w:bCs/>
        </w:rPr>
        <w:t>docc</w:t>
      </w:r>
      <w:proofErr w:type="spellEnd"/>
      <w:r w:rsidRPr="000E5200">
        <w:rPr>
          <w:b/>
          <w:bCs/>
        </w:rPr>
        <w:t>. 3 e 6</w:t>
      </w:r>
      <w:r>
        <w:t>).</w:t>
      </w:r>
    </w:p>
    <w:p w14:paraId="6204D3AD" w14:textId="77777777" w:rsidR="00075369" w:rsidRDefault="00000000" w:rsidP="00864A21">
      <w:pPr>
        <w:spacing w:line="360" w:lineRule="auto"/>
        <w:ind w:firstLine="567"/>
        <w:jc w:val="both"/>
      </w:pPr>
      <w:r>
        <w:t>L’eccezione va pertanto rigettata.</w:t>
      </w:r>
    </w:p>
    <w:p w14:paraId="6E398B0E" w14:textId="77777777" w:rsidR="00075369" w:rsidRDefault="00000000" w:rsidP="00864A21">
      <w:pPr>
        <w:spacing w:before="240" w:after="120" w:line="360" w:lineRule="auto"/>
        <w:jc w:val="both"/>
      </w:pPr>
      <w:r>
        <w:rPr>
          <w:b/>
          <w:bCs/>
        </w:rPr>
        <w:t>II) Sulla pretesa “Illegittimità dell’avviso di accertamento per violazione dell’art. 6-bis della L. n. 212/2000”. Infondatezza.</w:t>
      </w:r>
    </w:p>
    <w:p w14:paraId="309897EA" w14:textId="77777777" w:rsidR="00075369" w:rsidRDefault="00000000" w:rsidP="00864A21">
      <w:pPr>
        <w:spacing w:line="360" w:lineRule="auto"/>
        <w:ind w:firstLine="567"/>
        <w:jc w:val="both"/>
      </w:pPr>
      <w:r>
        <w:t>L’eccezione è infondata e va rigettata.</w:t>
      </w:r>
    </w:p>
    <w:p w14:paraId="6908C159" w14:textId="77777777" w:rsidR="00075369" w:rsidRDefault="00000000" w:rsidP="00864A21">
      <w:pPr>
        <w:spacing w:line="360" w:lineRule="auto"/>
        <w:ind w:firstLine="567"/>
        <w:jc w:val="both"/>
      </w:pPr>
      <w:r>
        <w:t xml:space="preserve">Va preliminarmente osservato che la sentenza delle Sezioni Unite della Corte di Cassazione n. 12225 del 1° maggio 2026, che ha definitivamente sancito la </w:t>
      </w:r>
      <w:r>
        <w:rPr>
          <w:b/>
          <w:bCs/>
        </w:rPr>
        <w:t xml:space="preserve">natura </w:t>
      </w:r>
      <w:r>
        <w:rPr>
          <w:b/>
          <w:bCs/>
        </w:rPr>
        <w:lastRenderedPageBreak/>
        <w:t>tributaria del CUP</w:t>
      </w:r>
      <w:r>
        <w:t xml:space="preserve"> – con la conseguente applicabilità del contraddittorio preventivo di cui all’art. 6-bis L. n. 212/2000, come novellato dal </w:t>
      </w:r>
      <w:proofErr w:type="spellStart"/>
      <w:r>
        <w:t>D.Lgs.</w:t>
      </w:r>
      <w:proofErr w:type="spellEnd"/>
      <w:r>
        <w:t xml:space="preserve"> n. 219/2023 – è </w:t>
      </w:r>
      <w:r>
        <w:rPr>
          <w:b/>
          <w:bCs/>
        </w:rPr>
        <w:t>successiva</w:t>
      </w:r>
      <w:r>
        <w:t xml:space="preserve"> sia all’avvio del procedimento precontenzioso (novembre 2025) sia all’emissione dell’avviso di accertamento n. 16 (5 marzo 2026) e alla sua notifica (24 marzo 2026): al momento in cui il Comune ha operato, la natura tributaria del CUP era ancora oggetto di acceso dibattito giurisprudenziale e dottrinale, e l’obbligo del contraddittorio preventivo non era pacificamente ritenuto applicabile alle entrate di natura patrimoniale.</w:t>
      </w:r>
    </w:p>
    <w:p w14:paraId="3D8805D0" w14:textId="77777777" w:rsidR="001630E1" w:rsidRDefault="00000000" w:rsidP="00864A21">
      <w:pPr>
        <w:spacing w:line="360" w:lineRule="auto"/>
        <w:ind w:firstLine="567"/>
        <w:jc w:val="both"/>
      </w:pPr>
      <w:r>
        <w:t xml:space="preserve">Ciò nondimeno, e a prescindere dalla qualificazione giuridica dell’entrata vigente all’epoca dei fatti, </w:t>
      </w:r>
      <w:r w:rsidRPr="001630E1">
        <w:rPr>
          <w:b/>
          <w:bCs/>
          <w:u w:val="single"/>
        </w:rPr>
        <w:t>il Comune di Cinisello Balsamo ha comunque garantito al contribuente una tutela procedimentale del tutto equivalente a quella imposta dall’art. 6-bis L. n. 212/2000</w:t>
      </w:r>
      <w:r>
        <w:t xml:space="preserve">, anzi sovrapponibile nella sostanza allo schema d’atto ivi previsto. </w:t>
      </w:r>
    </w:p>
    <w:p w14:paraId="7AA27016" w14:textId="77777777" w:rsidR="001630E1" w:rsidRDefault="00000000" w:rsidP="00864A21">
      <w:pPr>
        <w:spacing w:line="360" w:lineRule="auto"/>
        <w:ind w:firstLine="567"/>
        <w:jc w:val="both"/>
      </w:pPr>
      <w:r>
        <w:t>Con la nota dell’11 novembre 2025 (doc. 3) e, quindi, con la nota del 23 febbraio 2026 (doc. 6), Archivia Solution S.p.A. – per conto del Comune, giusti gli affidamenti del servizio di supporto sopra richiamati (</w:t>
      </w:r>
      <w:proofErr w:type="spellStart"/>
      <w:r>
        <w:t>docc</w:t>
      </w:r>
      <w:proofErr w:type="spellEnd"/>
      <w:r>
        <w:t>. 2 e 5) – ha trasmesso alla società, a mezzo PEC, comunicazioni con le quali segnalava l’esito dei controlli eseguiti sulla piattaforma PagoPA e sugli altri canali di pagamento attivi, richiedeva la dichiarazione delle utenze attive e dei versamenti per le annualità in verifica, indicava le tar</w:t>
      </w:r>
      <w:r>
        <w:t xml:space="preserve">iffe unitarie di riferimento ed assegnava un termine per presentare la dichiarazione e/o documentazione integrativa. </w:t>
      </w:r>
    </w:p>
    <w:p w14:paraId="0FEE6F44" w14:textId="2653DF18" w:rsidR="00075369" w:rsidRPr="001630E1" w:rsidRDefault="00000000" w:rsidP="00864A21">
      <w:pPr>
        <w:spacing w:line="360" w:lineRule="auto"/>
        <w:ind w:firstLine="567"/>
        <w:jc w:val="both"/>
        <w:rPr>
          <w:u w:val="single"/>
        </w:rPr>
      </w:pPr>
      <w:r w:rsidRPr="001630E1">
        <w:rPr>
          <w:u w:val="single"/>
        </w:rPr>
        <w:t>Tali comunicazioni hanno posto il contribuente nelle condizioni di conoscere integralmente la pretesa e di interloquire con l’ente prima dell’adozione dell’atto definitivo: esattamente ciò che l’art. 6-bis L. n. 212/2000 mira a garantire.</w:t>
      </w:r>
    </w:p>
    <w:p w14:paraId="5C3DAF5A" w14:textId="77777777" w:rsidR="008C403F" w:rsidRDefault="00000000" w:rsidP="00864A21">
      <w:pPr>
        <w:spacing w:line="360" w:lineRule="auto"/>
        <w:ind w:firstLine="567"/>
        <w:jc w:val="both"/>
      </w:pPr>
      <w:r>
        <w:t xml:space="preserve">A fronte di tali comunicazioni, regolarmente ricevute, la società si limitava a trasmettere, con il riscontro del 12 novembre 2025 (doc. 4), </w:t>
      </w:r>
      <w:r w:rsidRPr="008C403F">
        <w:rPr>
          <w:u w:val="single"/>
        </w:rPr>
        <w:t>dichiarazioni solo parziali delle utenze attive – riferite, per sua stessa ammissione, alle sole utenze servite mediante infrastrutture proprie – mentre alla successiva richiesta del 23 febbraio 2026 (doc. 6) non forniva alcun riscontro</w:t>
      </w:r>
      <w:r>
        <w:t>, riservando ogni ulteriore contestazione alla sola sede contenziosa.</w:t>
      </w:r>
    </w:p>
    <w:p w14:paraId="492F47D0" w14:textId="457CF66C" w:rsidR="00075369" w:rsidRDefault="00000000" w:rsidP="00864A21">
      <w:pPr>
        <w:spacing w:line="360" w:lineRule="auto"/>
        <w:ind w:firstLine="567"/>
        <w:jc w:val="both"/>
      </w:pPr>
      <w:r>
        <w:t>Il contribuente è stato dunque posto nelle condizioni di conoscere integralmente la pretesa e di interloquire con l’ente prima dell’adozione dell’atto definitivo, di guisa che non può ora lamentare in giudizio la violazione di una garanzia procedimentale che, nella sostanza, gli è stata pienamente assicurata.</w:t>
      </w:r>
    </w:p>
    <w:p w14:paraId="35E2D4AC" w14:textId="77777777" w:rsidR="00E5697E" w:rsidRPr="008C403F" w:rsidRDefault="00000000" w:rsidP="00864A21">
      <w:pPr>
        <w:spacing w:line="360" w:lineRule="auto"/>
        <w:ind w:firstLine="567"/>
        <w:jc w:val="both"/>
        <w:rPr>
          <w:b/>
          <w:bCs/>
          <w:u w:val="single"/>
        </w:rPr>
      </w:pPr>
      <w:r w:rsidRPr="008C403F">
        <w:rPr>
          <w:b/>
          <w:bCs/>
          <w:u w:val="single"/>
        </w:rPr>
        <w:lastRenderedPageBreak/>
        <w:t xml:space="preserve">In ogni caso, l’art. 6-bis, comma 3, L. n. 212/2000 subordina l’annullabilità dell’atto alla dimostrazione, da parte del contribuente, delle ragioni che avrebbe potuto far valere se il contraddittorio fosse stato regolarmente attivato. </w:t>
      </w:r>
    </w:p>
    <w:p w14:paraId="5A05A9B8" w14:textId="77777777" w:rsidR="00E5697E" w:rsidRDefault="00000000" w:rsidP="00864A21">
      <w:pPr>
        <w:spacing w:line="360" w:lineRule="auto"/>
        <w:ind w:firstLine="567"/>
        <w:jc w:val="both"/>
      </w:pPr>
      <w:r w:rsidRPr="008C403F">
        <w:rPr>
          <w:b/>
          <w:bCs/>
          <w:u w:val="single"/>
        </w:rPr>
        <w:t>La Ricorrente non ha allegato quali concrete ragioni, ove il contraddittorio fosse stato formalmente attivato nelle forme di cui all’art. 6-bis, avrebbe potuto rappresentare all’Ufficio, idonee a mutare l’esito del procedimento</w:t>
      </w:r>
      <w:r>
        <w:t xml:space="preserve">: le difese articolate in ricorso ripropongono, infatti, contestazioni in punto di diritto sulla soggettività passiva che ben avrebbero potuto essere formulate in riscontro alle richieste ricevute e che, comunque, sono infondate nel merito, come di seguito dimostrato. </w:t>
      </w:r>
    </w:p>
    <w:p w14:paraId="264CCC84" w14:textId="77777777" w:rsidR="00075369" w:rsidRDefault="00000000" w:rsidP="00864A21">
      <w:pPr>
        <w:spacing w:line="360" w:lineRule="auto"/>
        <w:ind w:firstLine="567"/>
        <w:jc w:val="both"/>
      </w:pPr>
      <w:r>
        <w:t>L’eccezione è dunque infondata anche sotto tale ulteriore profilo.</w:t>
      </w:r>
    </w:p>
    <w:p w14:paraId="6B4EA12B" w14:textId="77777777" w:rsidR="00075369" w:rsidRDefault="00000000" w:rsidP="00864A21">
      <w:pPr>
        <w:spacing w:before="240" w:after="120" w:line="360" w:lineRule="auto"/>
        <w:jc w:val="both"/>
      </w:pPr>
      <w:r>
        <w:rPr>
          <w:b/>
          <w:bCs/>
        </w:rPr>
        <w:t xml:space="preserve">III) Sulla pretesa “Illegittimità dell’avviso di accertamento per aperta violazione dell’art. 1, comma 831, della L. n. 160/2019, dell’art. 5, comma 14-quinquies, del </w:t>
      </w:r>
      <w:proofErr w:type="spellStart"/>
      <w:r>
        <w:rPr>
          <w:b/>
          <w:bCs/>
        </w:rPr>
        <w:t>d.l.</w:t>
      </w:r>
      <w:proofErr w:type="spellEnd"/>
      <w:r>
        <w:rPr>
          <w:b/>
          <w:bCs/>
        </w:rPr>
        <w:t xml:space="preserve"> n. 146/2021 e conseguente illegittimità dell’art. 54 del Regolamento comunale. Difetto di legittimazione passiva di Fastweb s.p.a.”.</w:t>
      </w:r>
    </w:p>
    <w:p w14:paraId="4289D7D2" w14:textId="77777777" w:rsidR="00075369" w:rsidRPr="008B530B" w:rsidRDefault="00000000" w:rsidP="00864A21">
      <w:pPr>
        <w:spacing w:line="360" w:lineRule="auto"/>
        <w:ind w:firstLine="567"/>
        <w:jc w:val="both"/>
        <w:rPr>
          <w:b/>
          <w:bCs/>
          <w:u w:val="single"/>
        </w:rPr>
      </w:pPr>
      <w:r>
        <w:t xml:space="preserve">Con riferimento alle doglianze in epigrafe riportate, va in primo luogo riferito che di recente la </w:t>
      </w:r>
      <w:r>
        <w:rPr>
          <w:b/>
          <w:bCs/>
        </w:rPr>
        <w:t>CORTE SUPREMA DI CASSAZIONE, Sezione Terza Civile, sentenza n. 11479 del 28 aprile 2026</w:t>
      </w:r>
      <w:r>
        <w:t xml:space="preserve"> </w:t>
      </w:r>
      <w:r>
        <w:rPr>
          <w:b/>
          <w:bCs/>
        </w:rPr>
        <w:t>(doc. 9)</w:t>
      </w:r>
      <w:r>
        <w:t xml:space="preserve"> ha chiarito – per la prima volta a livello di legittimità – le questioni giuridiche che costituiscono il nucleo del presente contenzioso, enunciando il seguente principio di diritto: </w:t>
      </w:r>
      <w:r w:rsidRPr="008B530B">
        <w:rPr>
          <w:b/>
          <w:bCs/>
          <w:i/>
          <w:iCs/>
          <w:u w:val="single"/>
        </w:rPr>
        <w:t>“il gestore di servizi telefonici il quale si avvalga dell’accesso ‘virtuale’ ad una rete di proprietà altrui (ad es., mediante tecnologia VULA) è obbligato al pagamento del CUP”</w:t>
      </w:r>
      <w:r w:rsidRPr="008B530B">
        <w:rPr>
          <w:b/>
          <w:bCs/>
          <w:u w:val="single"/>
        </w:rPr>
        <w:t xml:space="preserve"> (Cass. </w:t>
      </w:r>
      <w:proofErr w:type="spellStart"/>
      <w:r w:rsidRPr="008B530B">
        <w:rPr>
          <w:b/>
          <w:bCs/>
          <w:u w:val="single"/>
        </w:rPr>
        <w:t>Civ</w:t>
      </w:r>
      <w:proofErr w:type="spellEnd"/>
      <w:r w:rsidRPr="008B530B">
        <w:rPr>
          <w:b/>
          <w:bCs/>
          <w:u w:val="single"/>
        </w:rPr>
        <w:t>., Sez. III, n. 11479/2026).</w:t>
      </w:r>
    </w:p>
    <w:p w14:paraId="0C0A1619" w14:textId="77777777" w:rsidR="008B530B" w:rsidRDefault="00000000" w:rsidP="00864A21">
      <w:pPr>
        <w:spacing w:line="360" w:lineRule="auto"/>
        <w:ind w:firstLine="567"/>
        <w:jc w:val="both"/>
      </w:pPr>
      <w:r>
        <w:t xml:space="preserve">Ed infatti, la Corte ha statuito che la </w:t>
      </w:r>
      <w:r>
        <w:rPr>
          <w:b/>
          <w:bCs/>
        </w:rPr>
        <w:t>distinzione tra uso materiale e uso virtuale</w:t>
      </w:r>
      <w:r>
        <w:t xml:space="preserve"> dell’infrastruttura di rete, su cui si fonda la tesi della Ricorrente, </w:t>
      </w:r>
      <w:r>
        <w:rPr>
          <w:b/>
          <w:bCs/>
        </w:rPr>
        <w:t>è erronea in diritto</w:t>
      </w:r>
      <w:r>
        <w:t xml:space="preserve">: i segnali delle linee telefoniche si propagano per legge fisica sempre attraverso un supporto materiale, sicché l’accesso VULA è virtuale unicamente nella modalità tecnica di accesso, non nell’utilizzo della rete, che </w:t>
      </w:r>
      <w:r>
        <w:rPr>
          <w:b/>
          <w:bCs/>
        </w:rPr>
        <w:t>rimane in ogni caso materiale</w:t>
      </w:r>
      <w:r>
        <w:t xml:space="preserve"> e costituisce pertanto </w:t>
      </w:r>
      <w:r>
        <w:rPr>
          <w:b/>
          <w:bCs/>
        </w:rPr>
        <w:t>occupazione mediata</w:t>
      </w:r>
      <w:r>
        <w:t xml:space="preserve"> ai sensi dell’art. 1, comma 831, L. 160/2019. </w:t>
      </w:r>
    </w:p>
    <w:p w14:paraId="2F7EFA25" w14:textId="77777777" w:rsidR="008B530B" w:rsidRDefault="00000000" w:rsidP="00864A21">
      <w:pPr>
        <w:spacing w:line="360" w:lineRule="auto"/>
        <w:ind w:firstLine="567"/>
        <w:jc w:val="both"/>
        <w:rPr>
          <w:b/>
          <w:bCs/>
          <w:u w:val="single"/>
        </w:rPr>
      </w:pPr>
      <w:r w:rsidRPr="008B530B">
        <w:rPr>
          <w:b/>
          <w:bCs/>
          <w:u w:val="single"/>
        </w:rPr>
        <w:t xml:space="preserve">La Suprema Corte ha altresì definitivamente chiarito che l’art. 5, comma 14-quinquies, D.L. 146/2021 non è applicabile al settore delle telecomunicazioni: l’esenzione ivi prevista opera esclusivamente a favore di chi vende beni ai sensi dell’art. 1470 c.c. e non a favore di chi, come l’operatore telefonico, eroga un servizio. </w:t>
      </w:r>
    </w:p>
    <w:p w14:paraId="3D296E07" w14:textId="79FE653E" w:rsidR="00075369" w:rsidRPr="008B530B" w:rsidRDefault="00000000" w:rsidP="00864A21">
      <w:pPr>
        <w:spacing w:line="360" w:lineRule="auto"/>
        <w:ind w:firstLine="567"/>
        <w:jc w:val="both"/>
        <w:rPr>
          <w:b/>
          <w:bCs/>
          <w:u w:val="single"/>
        </w:rPr>
      </w:pPr>
      <w:r w:rsidRPr="008B530B">
        <w:rPr>
          <w:b/>
          <w:bCs/>
          <w:u w:val="single"/>
        </w:rPr>
        <w:lastRenderedPageBreak/>
        <w:t>Trattandosi di norma eccezionale, essa è di stretta interpretazione e non è suscettibile di applicazione estensiva al settore TLC.</w:t>
      </w:r>
    </w:p>
    <w:p w14:paraId="796EDB1B" w14:textId="77777777" w:rsidR="00075369" w:rsidRDefault="00000000" w:rsidP="00864A21">
      <w:pPr>
        <w:spacing w:line="360" w:lineRule="auto"/>
        <w:ind w:firstLine="567"/>
        <w:jc w:val="both"/>
      </w:pPr>
      <w:r>
        <w:rPr>
          <w:b/>
          <w:bCs/>
        </w:rPr>
        <w:t>Questi i fatti e la normativa di riferimento.</w:t>
      </w:r>
    </w:p>
    <w:p w14:paraId="2CD88F79" w14:textId="77777777" w:rsidR="00075369" w:rsidRDefault="00000000" w:rsidP="00864A21">
      <w:pPr>
        <w:spacing w:line="360" w:lineRule="auto"/>
        <w:ind w:firstLine="567"/>
        <w:jc w:val="both"/>
      </w:pPr>
      <w:r>
        <w:t xml:space="preserve">Nella narrativa avversaria, sostanzialmente, Fastweb S.p.A. richiama una normativa oltre che non più attuale, anche recisamente disattesa dallo stesso Legislatore oltre che afferente a diverse fattispecie normativamente regolamentate. </w:t>
      </w:r>
      <w:r>
        <w:tab/>
        <w:t xml:space="preserve">Pertanto, per meglio inquadrare la fattispecie, si impone un breve </w:t>
      </w:r>
      <w:r>
        <w:rPr>
          <w:i/>
          <w:iCs/>
        </w:rPr>
        <w:t>excursus</w:t>
      </w:r>
      <w:r>
        <w:t xml:space="preserve"> normativo in tema di legittimazione passiva, al fine di individuare il/i soggetto/i passivamente tenuti al pagamento del canone patrimoniale unico, anche nell’ipotesi di uso in via mediata, in condivisione, delle infrastrutture </w:t>
      </w:r>
      <w:proofErr w:type="spellStart"/>
      <w:r>
        <w:t>concessionate</w:t>
      </w:r>
      <w:proofErr w:type="spellEnd"/>
      <w:r>
        <w:t xml:space="preserve"> ad un unico Operatore.</w:t>
      </w:r>
    </w:p>
    <w:p w14:paraId="0B04E7C2"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Ebbene, la legge n. 160/2019 ha previsto che, in sostituzione dei precedenti prelievi Tosap e </w:t>
      </w:r>
      <w:proofErr w:type="spellStart"/>
      <w:r>
        <w:rPr>
          <w:rFonts w:eastAsia="Times New Roman"/>
          <w:kern w:val="1"/>
          <w:lang w:eastAsia="ar-SA"/>
        </w:rPr>
        <w:t>Cosap</w:t>
      </w:r>
      <w:proofErr w:type="spellEnd"/>
      <w:r>
        <w:rPr>
          <w:rFonts w:eastAsia="Times New Roman"/>
          <w:kern w:val="1"/>
          <w:lang w:eastAsia="ar-SA"/>
        </w:rPr>
        <w:t>, a partire dall'anno 2021 ogni Comune potesse e dovesse riscuotere attraverso il canone unico patrimoniale (d'ora in poi solo Cup) gli oneri derivanti dall'occupazione del suolo pubblico da parte dei singoli soggetti utilizzatori.</w:t>
      </w:r>
    </w:p>
    <w:p w14:paraId="563BA5F0"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Parallelamente all'istituzione di tale nuovo strumento di riscossione, la nuova disciplina normativa ha recepito anche tutta la casistica relativa alle occupazioni permanenti, realizzate attraverso la posa sul territorio comunale di cavi e condutture per la fornitura di servizi di pubblica utilità tra cui, evidentemente, i servizi di telecomunicazione e trasferimento dati.</w:t>
      </w:r>
    </w:p>
    <w:p w14:paraId="4959C553"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E ciò ha fatto fornendo un'interpretazione che ora possiamo definire definitiva dell'art. 1 comma 831 della </w:t>
      </w:r>
      <w:proofErr w:type="gramStart"/>
      <w:r>
        <w:rPr>
          <w:rFonts w:eastAsia="Times New Roman"/>
          <w:kern w:val="1"/>
          <w:lang w:eastAsia="ar-SA"/>
        </w:rPr>
        <w:t>predetta</w:t>
      </w:r>
      <w:proofErr w:type="gramEnd"/>
      <w:r>
        <w:rPr>
          <w:rFonts w:eastAsia="Times New Roman"/>
          <w:kern w:val="1"/>
          <w:lang w:eastAsia="ar-SA"/>
        </w:rPr>
        <w:t xml:space="preserve"> Legge.</w:t>
      </w:r>
    </w:p>
    <w:p w14:paraId="13F3D287" w14:textId="77777777" w:rsidR="007E79BC" w:rsidRDefault="00000000" w:rsidP="00864A21">
      <w:pPr>
        <w:spacing w:line="360" w:lineRule="auto"/>
        <w:ind w:firstLine="567"/>
        <w:jc w:val="both"/>
      </w:pPr>
      <w:r>
        <w:t>Nella sua versione originaria, l’art. 1, comma 831, della Legge 160/2019 prevedeva che le società fornitrici di servizi pubblici e titolari di concessioni per l’occupazione del sottosuolo pubblico, attraverso cavi e condutture, dovessero versare il relativo canone in base al numero delle utenze ivi transitanti, sommando ad esse quelle delle altre aziende che, di fatto, usufruivano delle medesime infrastrutture.</w:t>
      </w:r>
    </w:p>
    <w:p w14:paraId="0BE04290" w14:textId="77777777" w:rsidR="007E79BC" w:rsidRDefault="007E79BC" w:rsidP="00864A21">
      <w:pPr>
        <w:spacing w:line="360" w:lineRule="auto"/>
        <w:ind w:firstLine="567"/>
        <w:jc w:val="both"/>
        <w:rPr>
          <w:rFonts w:eastAsia="Times New Roman"/>
          <w:kern w:val="1"/>
          <w:lang w:eastAsia="ar-SA"/>
        </w:rPr>
      </w:pPr>
      <w:r>
        <w:rPr>
          <w:rFonts w:eastAsia="Times New Roman"/>
          <w:kern w:val="1"/>
          <w:lang w:eastAsia="ar-SA"/>
        </w:rPr>
        <w:t xml:space="preserve">Il titolare della concessione comunale avrebbe, poi, esercitato rivalsa sulle aziende che utilizzavano la stessa rete, per quanto complessivamente ed obbligatoriamente da esso anticipato al locale Comune anche in loro vece e favore.   </w:t>
      </w:r>
    </w:p>
    <w:p w14:paraId="356646A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Nella vigenza di tale normativa o, meglio, prassi applicativa (</w:t>
      </w:r>
      <w:r>
        <w:rPr>
          <w:rFonts w:eastAsia="Times New Roman"/>
          <w:b/>
          <w:bCs/>
          <w:kern w:val="1"/>
          <w:lang w:eastAsia="ar-SA"/>
        </w:rPr>
        <w:t>poiché tale</w:t>
      </w:r>
      <w:r>
        <w:rPr>
          <w:rFonts w:eastAsia="Times New Roman"/>
          <w:kern w:val="1"/>
          <w:lang w:eastAsia="ar-SA"/>
        </w:rPr>
        <w:t xml:space="preserve"> </w:t>
      </w:r>
      <w:r>
        <w:rPr>
          <w:rFonts w:eastAsia="Times New Roman"/>
          <w:b/>
          <w:bCs/>
          <w:kern w:val="1"/>
          <w:lang w:eastAsia="ar-SA"/>
        </w:rPr>
        <w:t>indirizzo normativo mai è entrato in vigore)</w:t>
      </w:r>
      <w:r>
        <w:rPr>
          <w:rFonts w:eastAsia="Times New Roman"/>
          <w:kern w:val="1"/>
          <w:lang w:eastAsia="ar-SA"/>
        </w:rPr>
        <w:t xml:space="preserve"> il soggetto chiamato a corrispondere il canone sarebbe stato esclusivamente Tim/Telecom s.p.a., quale unico soggetto </w:t>
      </w:r>
      <w:proofErr w:type="spellStart"/>
      <w:r>
        <w:rPr>
          <w:rFonts w:eastAsia="Times New Roman"/>
          <w:kern w:val="1"/>
          <w:lang w:eastAsia="ar-SA"/>
        </w:rPr>
        <w:t>concessionato</w:t>
      </w:r>
      <w:proofErr w:type="spellEnd"/>
      <w:r>
        <w:rPr>
          <w:rFonts w:eastAsia="Times New Roman"/>
          <w:kern w:val="1"/>
          <w:lang w:eastAsia="ar-SA"/>
        </w:rPr>
        <w:t xml:space="preserve"> all'uso del sottosuolo pubblico salvo, come anticipato, il suo diritto alla rivalsa / regresso nei confronti degli altri utilizzatori tra cui, </w:t>
      </w:r>
      <w:r>
        <w:rPr>
          <w:rFonts w:eastAsia="Times New Roman"/>
        </w:rPr>
        <w:t xml:space="preserve">evidentemente, anche </w:t>
      </w:r>
      <w:r>
        <w:rPr>
          <w:rFonts w:eastAsia="Times New Roman"/>
          <w:b/>
          <w:bCs/>
        </w:rPr>
        <w:t>FASTWEB S.p.A., che pacificamente utilizza, mediante le reti altrui, collegamenti</w:t>
      </w:r>
      <w:r>
        <w:rPr>
          <w:rFonts w:eastAsia="Times New Roman"/>
        </w:rPr>
        <w:t xml:space="preserve"> </w:t>
      </w:r>
      <w:r>
        <w:rPr>
          <w:rFonts w:eastAsia="Times New Roman"/>
        </w:rPr>
        <w:lastRenderedPageBreak/>
        <w:t xml:space="preserve">VULA (Virtual </w:t>
      </w:r>
      <w:proofErr w:type="spellStart"/>
      <w:r>
        <w:rPr>
          <w:rFonts w:eastAsia="Times New Roman"/>
        </w:rPr>
        <w:t>Unbundled</w:t>
      </w:r>
      <w:proofErr w:type="spellEnd"/>
      <w:r>
        <w:rPr>
          <w:rFonts w:eastAsia="Times New Roman"/>
        </w:rPr>
        <w:t xml:space="preserve"> Local Access), NGA (Next Generation Access) e SLU (Sub Loop </w:t>
      </w:r>
      <w:proofErr w:type="spellStart"/>
      <w:r>
        <w:rPr>
          <w:rFonts w:eastAsia="Times New Roman"/>
        </w:rPr>
        <w:t>Unbundling</w:t>
      </w:r>
      <w:proofErr w:type="spellEnd"/>
      <w:r>
        <w:rPr>
          <w:rFonts w:eastAsia="Times New Roman"/>
        </w:rPr>
        <w:t xml:space="preserve">); per chiarezza espositiva si evidenzia che con tali acronimi si indicano le modalità che gli operatori di rete hanno a disposizione per accedere alla rete dell’operatore </w:t>
      </w:r>
      <w:proofErr w:type="spellStart"/>
      <w:r>
        <w:rPr>
          <w:rFonts w:eastAsia="Times New Roman"/>
        </w:rPr>
        <w:t>concessionato</w:t>
      </w:r>
      <w:proofErr w:type="spellEnd"/>
      <w:r>
        <w:rPr>
          <w:rFonts w:eastAsia="Times New Roman"/>
        </w:rPr>
        <w:t xml:space="preserve"> Tim/Telecom s.p.a./Open Fiber, ex monopolista delle infrastrutture nazionali</w:t>
      </w:r>
      <w:r>
        <w:rPr>
          <w:rFonts w:eastAsia="Times New Roman"/>
          <w:kern w:val="1"/>
          <w:lang w:eastAsia="ar-SA"/>
        </w:rPr>
        <w:t>.</w:t>
      </w:r>
    </w:p>
    <w:p w14:paraId="2FB18BA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t xml:space="preserve">Tuttavia, </w:t>
      </w:r>
      <w:r>
        <w:rPr>
          <w:rFonts w:eastAsia="Times New Roman"/>
          <w:kern w:val="1"/>
          <w:lang w:eastAsia="ar-SA"/>
        </w:rPr>
        <w:t xml:space="preserve">poi, il Legislatore con il </w:t>
      </w:r>
      <w:r>
        <w:rPr>
          <w:rFonts w:eastAsia="Times New Roman"/>
          <w:b/>
          <w:bCs/>
          <w:kern w:val="1"/>
          <w:u w:val="single"/>
          <w:lang w:eastAsia="ar-SA"/>
        </w:rPr>
        <w:t>comma 848 della Legge 178/2020</w:t>
      </w:r>
      <w:r>
        <w:rPr>
          <w:rFonts w:eastAsia="Times New Roman"/>
          <w:kern w:val="1"/>
          <w:lang w:eastAsia="ar-SA"/>
        </w:rPr>
        <w:t xml:space="preserve"> ha apportato radicali modifiche, stravolgendola, alla disciplina riscrivendo il comma 831 ed introducendo il concetto della c.d. </w:t>
      </w:r>
      <w:r>
        <w:rPr>
          <w:rFonts w:eastAsia="Times New Roman"/>
          <w:b/>
          <w:bCs/>
          <w:kern w:val="1"/>
          <w:u w:val="single"/>
          <w:lang w:eastAsia="ar-SA"/>
        </w:rPr>
        <w:t>soggettività passiva in via mediata</w:t>
      </w:r>
      <w:r>
        <w:rPr>
          <w:rFonts w:eastAsia="Times New Roman"/>
          <w:kern w:val="1"/>
          <w:lang w:eastAsia="ar-SA"/>
        </w:rPr>
        <w:t xml:space="preserve"> quale presupposto per l'applicazione della norma di cui, di seguito, riportiamo la sintesi.</w:t>
      </w:r>
    </w:p>
    <w:p w14:paraId="4947395E" w14:textId="77777777" w:rsidR="007E79BC" w:rsidRDefault="00000000" w:rsidP="00864A21">
      <w:pPr>
        <w:spacing w:line="360" w:lineRule="auto"/>
        <w:ind w:firstLine="567"/>
        <w:jc w:val="both"/>
      </w:pPr>
      <w:r>
        <w:t>Ad oggi, quindi, il criterio informatore della fattispecie risulta il seguente: “</w:t>
      </w:r>
      <w:r>
        <w:rPr>
          <w:i/>
          <w:iCs/>
        </w:rPr>
        <w:t xml:space="preserve">il canone è dovuto dal soggetto titolare dell’atto di concessione dell’occupazione del suolo pubblico e dai soggetti che occupano il suolo pubblico </w:t>
      </w:r>
      <w:r>
        <w:rPr>
          <w:i/>
          <w:iCs/>
          <w:u w:val="single"/>
        </w:rPr>
        <w:t>anche in via mediata</w:t>
      </w:r>
      <w:r>
        <w:rPr>
          <w:i/>
          <w:iCs/>
        </w:rPr>
        <w:t xml:space="preserve"> attraverso l’utilizzo materiale delle infrastrutture del soggetto titolare della concessione </w:t>
      </w:r>
      <w:r>
        <w:rPr>
          <w:i/>
          <w:iCs/>
          <w:u w:val="single"/>
        </w:rPr>
        <w:t>sulla base del numero delle rispettive utenze</w:t>
      </w:r>
      <w:r>
        <w:rPr>
          <w:i/>
          <w:iCs/>
        </w:rPr>
        <w:t xml:space="preserve"> moltiplicate per la seguente tariffa forfettaria … omissis …</w:t>
      </w:r>
      <w:r>
        <w:t xml:space="preserve">”. </w:t>
      </w:r>
    </w:p>
    <w:p w14:paraId="4C70B1BA" w14:textId="77777777" w:rsidR="007E79BC" w:rsidRPr="00E65BA3" w:rsidRDefault="007E79BC" w:rsidP="007E79BC">
      <w:pPr>
        <w:spacing w:line="360" w:lineRule="auto"/>
        <w:ind w:firstLine="708"/>
        <w:contextualSpacing/>
        <w:jc w:val="both"/>
        <w:rPr>
          <w:rFonts w:eastAsia="Times New Roman"/>
        </w:rPr>
      </w:pPr>
      <w:r>
        <w:rPr>
          <w:rFonts w:eastAsia="Times New Roman"/>
          <w:kern w:val="1"/>
          <w:lang w:eastAsia="ar-SA"/>
        </w:rPr>
        <w:t>Evidenti le conseguenze: oltre al formale concessionario Tim/Telecom s.p.a. saranno tenuti al pagamento del canone anche tutti gli altri operatori telefonici i quali, sebbene non intestatari di concessione amministrativa alcuna, di fatto, utilizzano le reti in virtù di accordi privati con la</w:t>
      </w:r>
      <w:r>
        <w:rPr>
          <w:rFonts w:eastAsia="Times New Roman"/>
          <w:i/>
          <w:iCs/>
          <w:kern w:val="1"/>
          <w:lang w:eastAsia="ar-SA"/>
        </w:rPr>
        <w:t xml:space="preserve"> </w:t>
      </w:r>
      <w:r>
        <w:rPr>
          <w:rFonts w:eastAsia="Times New Roman"/>
          <w:kern w:val="1"/>
          <w:lang w:eastAsia="ar-SA"/>
        </w:rPr>
        <w:t>stessa Tim/Telecom s.p.a.</w:t>
      </w:r>
      <w:r>
        <w:rPr>
          <w:rFonts w:eastAsia="Times New Roman"/>
          <w:i/>
          <w:iCs/>
          <w:kern w:val="1"/>
          <w:lang w:eastAsia="ar-SA"/>
        </w:rPr>
        <w:t xml:space="preserve"> </w:t>
      </w:r>
      <w:r>
        <w:rPr>
          <w:rFonts w:eastAsia="Times New Roman"/>
          <w:kern w:val="1"/>
          <w:lang w:eastAsia="ar-SA"/>
        </w:rPr>
        <w:t xml:space="preserve">al fine di erogare il servizio al proprio Cliente finale, rappresentato dalle singole abitazioni private e/o aziende del territorio nazionale. </w:t>
      </w:r>
      <w:r>
        <w:rPr>
          <w:rFonts w:eastAsia="Times New Roman"/>
        </w:rPr>
        <w:t xml:space="preserve">È questo, in piena evidenza, il caso di </w:t>
      </w:r>
      <w:r>
        <w:rPr>
          <w:rFonts w:eastAsia="Times New Roman"/>
          <w:b/>
          <w:bCs/>
        </w:rPr>
        <w:t>FASTWEB S.p.A.</w:t>
      </w:r>
      <w:r>
        <w:rPr>
          <w:rFonts w:eastAsia="Times New Roman"/>
        </w:rPr>
        <w:t>, per gli anni 2021-2025.</w:t>
      </w:r>
    </w:p>
    <w:p w14:paraId="1A5EF99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Si noti che: il principio cristallizzato nella nuova formulazione ed interpretazione dell'art. 1 comma 831 è stato mutuato da una risalente Circolare interpretativa del Mef pubblicata nell'anno 2009 (che si produce – </w:t>
      </w:r>
      <w:r>
        <w:rPr>
          <w:rFonts w:eastAsia="Times New Roman"/>
          <w:b/>
          <w:bCs/>
          <w:kern w:val="1"/>
          <w:lang w:eastAsia="ar-SA"/>
        </w:rPr>
        <w:t>doc. 10</w:t>
      </w:r>
      <w:r>
        <w:rPr>
          <w:rFonts w:eastAsia="Times New Roman"/>
          <w:kern w:val="1"/>
          <w:lang w:eastAsia="ar-SA"/>
        </w:rPr>
        <w:t>) nella quale, per l'appunto, già veniva indicato il criterio per la corretta applicazione / imputazione del canone relativo all'utilizzo di suolo pubblico, in caso di plurimo e contemporaneo utilizzo delle condutture / infrastrutture, da parte dei vari operatori telefonici in conseguenza dell'avvenuta liberalizzazione del mercato delle telecomunicazioni.</w:t>
      </w:r>
    </w:p>
    <w:p w14:paraId="489A31EE"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Da subito, comunque, pare doveroso evidenziare che la multipla e contestuale utilizzazione delle reti poste nel sottosuolo pubblico da parte di più operatori non ha di certo, come sostiene controparte, portato ad una duplicazione del prelievo a favore del Comune, anzi è proprio vero il contrario!</w:t>
      </w:r>
    </w:p>
    <w:p w14:paraId="5E7A5F03"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Risulta, infatti, che, alla luce della precedente normativa, il criterio applicativo della Tosap o </w:t>
      </w:r>
      <w:proofErr w:type="spellStart"/>
      <w:r>
        <w:rPr>
          <w:rFonts w:eastAsia="Times New Roman"/>
          <w:kern w:val="1"/>
          <w:lang w:eastAsia="ar-SA"/>
        </w:rPr>
        <w:t>Cosap</w:t>
      </w:r>
      <w:proofErr w:type="spellEnd"/>
      <w:r>
        <w:rPr>
          <w:rFonts w:eastAsia="Times New Roman"/>
          <w:kern w:val="1"/>
          <w:lang w:eastAsia="ar-SA"/>
        </w:rPr>
        <w:t xml:space="preserve"> si realizzava in base al numero delle singole utenze attive, </w:t>
      </w:r>
      <w:r>
        <w:rPr>
          <w:rFonts w:eastAsia="Times New Roman"/>
          <w:kern w:val="1"/>
          <w:lang w:eastAsia="ar-SA"/>
        </w:rPr>
        <w:lastRenderedPageBreak/>
        <w:t xml:space="preserve">rilevate al 31 </w:t>
      </w:r>
      <w:proofErr w:type="gramStart"/>
      <w:r>
        <w:rPr>
          <w:rFonts w:eastAsia="Times New Roman"/>
          <w:kern w:val="1"/>
          <w:lang w:eastAsia="ar-SA"/>
        </w:rPr>
        <w:t>Dicembre</w:t>
      </w:r>
      <w:proofErr w:type="gramEnd"/>
      <w:r>
        <w:rPr>
          <w:rFonts w:eastAsia="Times New Roman"/>
          <w:kern w:val="1"/>
          <w:lang w:eastAsia="ar-SA"/>
        </w:rPr>
        <w:t xml:space="preserve"> dell'anno precedente, moltiplicato per la relativa tariffa forfettaria che veniva stabilita dal Legislatore per ogni utenza. </w:t>
      </w:r>
    </w:p>
    <w:p w14:paraId="179BD0FB" w14:textId="77777777" w:rsidR="0049336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Pertanto, fino a che vi era monopolio Tim/Telecom s.p.a. era la stessa Tim/ Telecom s.p.a. a versare il canone per tutte le utenze attive nel territorio comunale; allorquando, invece, a seguito della liberalizzazione del mercato delle telecomunicazioni con conseguente obbligatoria condivisione delle reti con gli altri operatori del settore (tra cui Fastweb S.p.A.), il numero delle utenze riconducibili all'ex monopolista si è evidentemente e drasticamente ridotto, con speculare decremento delle entrate comunali, posto che il concessionario versa ora solo la quota di propria spettanza e non più l’intero del dovuto. </w:t>
      </w:r>
    </w:p>
    <w:p w14:paraId="4FACED52" w14:textId="77777777" w:rsidR="007E79BC" w:rsidRPr="00D20535" w:rsidRDefault="007349B6"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Da qui l’incontestabile individuazione, da parte del Comune di Cinisello Balsamo, in FASTWEB S.p.A. di uno dei soggetti passivamente tenuti al versamento del canone, per la parte legata ad occupazioni in via mediata tramite le infrastrutture di altri soggetti.</w:t>
      </w:r>
    </w:p>
    <w:p w14:paraId="38194F3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Pr>
          <w:rFonts w:eastAsia="Times New Roman"/>
          <w:kern w:val="1"/>
          <w:lang w:eastAsia="ar-SA"/>
        </w:rPr>
        <w:t xml:space="preserve">Invero, la norma richiamata da </w:t>
      </w:r>
      <w:r>
        <w:rPr>
          <w:rFonts w:eastAsia="Times New Roman"/>
          <w:bCs/>
          <w:kern w:val="1"/>
          <w:lang w:eastAsia="ar-SA"/>
        </w:rPr>
        <w:t>FASTWEB S.p.A</w:t>
      </w:r>
      <w:r>
        <w:rPr>
          <w:rFonts w:eastAsia="Times New Roman"/>
          <w:kern w:val="1"/>
          <w:lang w:eastAsia="ar-SA"/>
        </w:rPr>
        <w:t xml:space="preserve">., secondo la quale la casistica della condivisione delle reti, come sopra esposta, ricadrebbe nell'ambito applicativo dell'interpretazione autentica del comma 831, successivamente introdotta dal Legislatore, riguarda altra e diversa fattispecie, </w:t>
      </w:r>
      <w:r>
        <w:rPr>
          <w:rFonts w:eastAsia="Times New Roman"/>
          <w:kern w:val="1"/>
          <w:u w:val="single"/>
          <w:lang w:eastAsia="ar-SA"/>
        </w:rPr>
        <w:t>ben distinta di quella oggi portata all'attenzione del Giudice.</w:t>
      </w:r>
    </w:p>
    <w:p w14:paraId="3E009E1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Essa, infatti, è applicabile esclusivamente al caso in cui vi sia una </w:t>
      </w:r>
      <w:r>
        <w:rPr>
          <w:rFonts w:eastAsia="Times New Roman"/>
          <w:kern w:val="1"/>
          <w:u w:val="single"/>
          <w:lang w:eastAsia="ar-SA"/>
        </w:rPr>
        <w:t>netta separazione tra il soggetto proprietario delle infrastrutture ed il soggetto titolare del contratto di somministrazione del bene distribuito</w:t>
      </w:r>
      <w:r>
        <w:rPr>
          <w:rFonts w:eastAsia="Times New Roman"/>
          <w:kern w:val="1"/>
          <w:lang w:eastAsia="ar-SA"/>
        </w:rPr>
        <w:t xml:space="preserve"> attraverso le medesime infrastrutture.</w:t>
      </w:r>
    </w:p>
    <w:p w14:paraId="38BD992B"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Per meglio rappresentare come la disciplina novellata, dietro la quale </w:t>
      </w:r>
      <w:r>
        <w:rPr>
          <w:rFonts w:eastAsia="Times New Roman"/>
          <w:bCs/>
          <w:kern w:val="1"/>
          <w:lang w:eastAsia="ar-SA"/>
        </w:rPr>
        <w:t xml:space="preserve">FASTWEB S.p.A. </w:t>
      </w:r>
      <w:r>
        <w:rPr>
          <w:rFonts w:eastAsia="Times New Roman"/>
          <w:kern w:val="1"/>
          <w:lang w:eastAsia="ar-SA"/>
        </w:rPr>
        <w:t xml:space="preserve">vorrebbe trincerarsi, sia applicabile a diversa casistica richiamiamo la normativa di cui all'art. 21 del </w:t>
      </w:r>
      <w:proofErr w:type="spellStart"/>
      <w:r>
        <w:rPr>
          <w:rFonts w:eastAsia="Times New Roman"/>
          <w:kern w:val="1"/>
          <w:lang w:eastAsia="ar-SA"/>
        </w:rPr>
        <w:t>D.lgs</w:t>
      </w:r>
      <w:proofErr w:type="spellEnd"/>
      <w:r>
        <w:rPr>
          <w:rFonts w:eastAsia="Times New Roman"/>
          <w:kern w:val="1"/>
          <w:lang w:eastAsia="ar-SA"/>
        </w:rPr>
        <w:t xml:space="preserve"> 23 Maggio 2000 n. 164 concernente le disposizioni di attuazione della direttiva  n. 98/30/CE inerente la </w:t>
      </w:r>
      <w:r>
        <w:rPr>
          <w:rFonts w:eastAsia="Times New Roman"/>
          <w:kern w:val="1"/>
          <w:u w:val="single"/>
          <w:lang w:eastAsia="ar-SA"/>
        </w:rPr>
        <w:t>distribuzione del gas</w:t>
      </w:r>
      <w:r>
        <w:rPr>
          <w:rFonts w:eastAsia="Times New Roman"/>
          <w:kern w:val="1"/>
          <w:lang w:eastAsia="ar-SA"/>
        </w:rPr>
        <w:t xml:space="preserve"> naturale e la normativa di cui all'art. 1 del </w:t>
      </w:r>
      <w:proofErr w:type="spellStart"/>
      <w:r>
        <w:rPr>
          <w:rFonts w:eastAsia="Times New Roman"/>
          <w:kern w:val="1"/>
          <w:lang w:eastAsia="ar-SA"/>
        </w:rPr>
        <w:t>D.lgs</w:t>
      </w:r>
      <w:proofErr w:type="spellEnd"/>
      <w:r>
        <w:rPr>
          <w:rFonts w:eastAsia="Times New Roman"/>
          <w:kern w:val="1"/>
          <w:lang w:eastAsia="ar-SA"/>
        </w:rPr>
        <w:t xml:space="preserve"> 18 Giugno 2007 n. 73 convertita in legge n. 125 del 3 Agosto 2007, con la quale sono state disposte “misure urgenti per l'attuazione di disposizioni comunitarie </w:t>
      </w:r>
      <w:r>
        <w:rPr>
          <w:rFonts w:eastAsia="Times New Roman"/>
          <w:kern w:val="1"/>
          <w:u w:val="single"/>
          <w:lang w:eastAsia="ar-SA"/>
        </w:rPr>
        <w:t>in materia di</w:t>
      </w:r>
      <w:r>
        <w:rPr>
          <w:rFonts w:eastAsia="Times New Roman"/>
          <w:kern w:val="1"/>
          <w:lang w:eastAsia="ar-SA"/>
        </w:rPr>
        <w:t xml:space="preserve"> </w:t>
      </w:r>
      <w:r>
        <w:rPr>
          <w:rFonts w:eastAsia="Times New Roman"/>
          <w:kern w:val="1"/>
          <w:u w:val="single"/>
          <w:lang w:eastAsia="ar-SA"/>
        </w:rPr>
        <w:t>liberalizzazione dei mercati dell'energia</w:t>
      </w:r>
      <w:r>
        <w:rPr>
          <w:rFonts w:eastAsia="Times New Roman"/>
          <w:kern w:val="1"/>
          <w:lang w:eastAsia="ar-SA"/>
        </w:rPr>
        <w:t xml:space="preserve">”.     </w:t>
      </w:r>
    </w:p>
    <w:p w14:paraId="5CA9E508"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In tali tipi di distribuzione si assiste ad un </w:t>
      </w:r>
      <w:r>
        <w:rPr>
          <w:rFonts w:eastAsia="Times New Roman"/>
          <w:kern w:val="1"/>
          <w:u w:val="single"/>
          <w:lang w:eastAsia="ar-SA"/>
        </w:rPr>
        <w:t>netta separazione tra l'attività di</w:t>
      </w:r>
      <w:r>
        <w:rPr>
          <w:rFonts w:eastAsia="Times New Roman"/>
          <w:kern w:val="1"/>
          <w:lang w:eastAsia="ar-SA"/>
        </w:rPr>
        <w:t xml:space="preserve">  </w:t>
      </w:r>
      <w:r>
        <w:rPr>
          <w:rFonts w:eastAsia="Times New Roman"/>
          <w:kern w:val="1"/>
          <w:u w:val="single"/>
          <w:lang w:eastAsia="ar-SA"/>
        </w:rPr>
        <w:t>distribuzione e quella di vendita</w:t>
      </w:r>
      <w:r>
        <w:rPr>
          <w:rFonts w:eastAsia="Times New Roman"/>
          <w:kern w:val="1"/>
          <w:lang w:eastAsia="ar-SA"/>
        </w:rPr>
        <w:t xml:space="preserve"> che si concreta nel fatto che il </w:t>
      </w:r>
      <w:r>
        <w:rPr>
          <w:rFonts w:eastAsia="Times New Roman"/>
          <w:kern w:val="1"/>
          <w:u w:val="single"/>
          <w:lang w:eastAsia="ar-SA"/>
        </w:rPr>
        <w:t>gas</w:t>
      </w:r>
      <w:r>
        <w:rPr>
          <w:rFonts w:eastAsia="Times New Roman"/>
          <w:kern w:val="1"/>
          <w:lang w:eastAsia="ar-SA"/>
        </w:rPr>
        <w:t xml:space="preserve"> o l'</w:t>
      </w:r>
      <w:r>
        <w:rPr>
          <w:rFonts w:eastAsia="Times New Roman"/>
          <w:kern w:val="1"/>
          <w:u w:val="single"/>
          <w:lang w:eastAsia="ar-SA"/>
        </w:rPr>
        <w:t>energia elettrica vengono distribuiti in rete da una determinata società</w:t>
      </w:r>
      <w:r>
        <w:rPr>
          <w:rFonts w:eastAsia="Times New Roman"/>
          <w:kern w:val="1"/>
          <w:lang w:eastAsia="ar-SA"/>
        </w:rPr>
        <w:t xml:space="preserve"> (per esempio Enel Distribuzione s.p.a.) ed </w:t>
      </w:r>
      <w:r>
        <w:rPr>
          <w:rFonts w:eastAsia="Times New Roman"/>
          <w:kern w:val="1"/>
          <w:u w:val="single"/>
          <w:lang w:eastAsia="ar-SA"/>
        </w:rPr>
        <w:t xml:space="preserve">una volta che sono “transitate” nell'infrastruttura </w:t>
      </w:r>
      <w:proofErr w:type="spellStart"/>
      <w:r>
        <w:rPr>
          <w:rFonts w:eastAsia="Times New Roman"/>
          <w:kern w:val="1"/>
          <w:u w:val="single"/>
          <w:lang w:eastAsia="ar-SA"/>
        </w:rPr>
        <w:t>concessionata</w:t>
      </w:r>
      <w:proofErr w:type="spellEnd"/>
      <w:r>
        <w:rPr>
          <w:rFonts w:eastAsia="Times New Roman"/>
          <w:kern w:val="1"/>
          <w:u w:val="single"/>
          <w:lang w:eastAsia="ar-SA"/>
        </w:rPr>
        <w:t xml:space="preserve"> di proprietà esclusiva di un soggetto, vengono commercializzate da altre società</w:t>
      </w:r>
      <w:r>
        <w:rPr>
          <w:rFonts w:eastAsia="Times New Roman"/>
          <w:kern w:val="1"/>
          <w:lang w:eastAsia="ar-SA"/>
        </w:rPr>
        <w:t xml:space="preserve"> (come nel caso </w:t>
      </w:r>
      <w:r>
        <w:rPr>
          <w:rFonts w:eastAsia="Times New Roman"/>
          <w:kern w:val="1"/>
          <w:lang w:eastAsia="ar-SA"/>
        </w:rPr>
        <w:lastRenderedPageBreak/>
        <w:t>in esame da Enel Energia s.p.a. e/o altre società deputate alla sola vendita) per poi raggiungere l'utente finale.</w:t>
      </w:r>
    </w:p>
    <w:p w14:paraId="7CC438A6"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u w:val="single"/>
          <w:lang w:eastAsia="ar-SA"/>
        </w:rPr>
      </w:pPr>
      <w:r>
        <w:rPr>
          <w:rFonts w:eastAsia="Times New Roman"/>
          <w:kern w:val="1"/>
          <w:lang w:eastAsia="ar-SA"/>
        </w:rPr>
        <w:t xml:space="preserve">Ma ciò non accade nel caso e </w:t>
      </w:r>
      <w:r>
        <w:rPr>
          <w:rFonts w:eastAsia="Times New Roman"/>
          <w:kern w:val="1"/>
          <w:u w:val="single"/>
          <w:lang w:eastAsia="ar-SA"/>
        </w:rPr>
        <w:t>nel settore delle telecomunicazioni</w:t>
      </w:r>
      <w:r>
        <w:rPr>
          <w:rFonts w:eastAsia="Times New Roman"/>
          <w:kern w:val="1"/>
          <w:lang w:eastAsia="ar-SA"/>
        </w:rPr>
        <w:t xml:space="preserve"> laddove </w:t>
      </w:r>
      <w:r>
        <w:rPr>
          <w:rFonts w:eastAsia="Times New Roman"/>
          <w:kern w:val="1"/>
          <w:u w:val="single"/>
          <w:lang w:eastAsia="ar-SA"/>
        </w:rPr>
        <w:t>il</w:t>
      </w:r>
      <w:r>
        <w:rPr>
          <w:rFonts w:eastAsia="Times New Roman"/>
          <w:kern w:val="1"/>
          <w:lang w:eastAsia="ar-SA"/>
        </w:rPr>
        <w:t xml:space="preserve"> </w:t>
      </w:r>
      <w:r>
        <w:rPr>
          <w:rFonts w:eastAsia="Times New Roman"/>
          <w:kern w:val="1"/>
          <w:u w:val="single"/>
          <w:lang w:eastAsia="ar-SA"/>
        </w:rPr>
        <w:t xml:space="preserve">Legislatore </w:t>
      </w:r>
      <w:r>
        <w:rPr>
          <w:rFonts w:eastAsia="Times New Roman"/>
          <w:b/>
          <w:bCs/>
          <w:kern w:val="1"/>
          <w:u w:val="single"/>
          <w:lang w:eastAsia="ar-SA"/>
        </w:rPr>
        <w:t>non impone una separazione</w:t>
      </w:r>
      <w:r>
        <w:rPr>
          <w:rFonts w:eastAsia="Times New Roman"/>
          <w:kern w:val="1"/>
          <w:lang w:eastAsia="ar-SA"/>
        </w:rPr>
        <w:t xml:space="preserve"> tra soggetto fornitore e soggetto che poi effettivamente vende il prodotto (come nel richiamato caso di gas od energia elettrica), </w:t>
      </w:r>
      <w:r>
        <w:rPr>
          <w:rFonts w:eastAsia="Times New Roman"/>
          <w:kern w:val="1"/>
          <w:u w:val="single"/>
          <w:lang w:eastAsia="ar-SA"/>
        </w:rPr>
        <w:t>ma anzi impone e normativamente incentiva la condivisione delle</w:t>
      </w:r>
      <w:r>
        <w:rPr>
          <w:rFonts w:eastAsia="Times New Roman"/>
          <w:kern w:val="1"/>
          <w:lang w:eastAsia="ar-SA"/>
        </w:rPr>
        <w:t xml:space="preserve"> </w:t>
      </w:r>
      <w:r>
        <w:rPr>
          <w:rFonts w:eastAsia="Times New Roman"/>
          <w:kern w:val="1"/>
          <w:u w:val="single"/>
          <w:lang w:eastAsia="ar-SA"/>
        </w:rPr>
        <w:t>reti/infrastrutture</w:t>
      </w:r>
      <w:r>
        <w:rPr>
          <w:rFonts w:eastAsia="Times New Roman"/>
          <w:kern w:val="1"/>
          <w:lang w:eastAsia="ar-SA"/>
        </w:rPr>
        <w:t xml:space="preserve"> e ciò anche in attuazione di precise direttive comunitarie.</w:t>
      </w:r>
    </w:p>
    <w:p w14:paraId="0EBE22DB"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u w:val="single"/>
          <w:lang w:eastAsia="ar-SA"/>
        </w:rPr>
        <w:t>Questa è la ragione</w:t>
      </w:r>
      <w:r>
        <w:rPr>
          <w:rFonts w:eastAsia="Times New Roman"/>
          <w:kern w:val="1"/>
          <w:lang w:eastAsia="ar-SA"/>
        </w:rPr>
        <w:t xml:space="preserve"> per la quale il Legislatore ha appositamente previsto, per questa sola ipotesi di condivisione delle infrastrutture, il concetto applicativo di </w:t>
      </w:r>
      <w:r>
        <w:rPr>
          <w:rFonts w:eastAsia="Times New Roman"/>
          <w:kern w:val="1"/>
          <w:u w:val="single"/>
          <w:lang w:eastAsia="ar-SA"/>
        </w:rPr>
        <w:t>soggettività passiva mediata</w:t>
      </w:r>
      <w:r>
        <w:rPr>
          <w:rFonts w:eastAsia="Times New Roman"/>
          <w:kern w:val="1"/>
          <w:lang w:eastAsia="ar-SA"/>
        </w:rPr>
        <w:t>.</w:t>
      </w:r>
    </w:p>
    <w:p w14:paraId="2F4BEA6D"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Con la conseguenza che la normativa di cui all'art. </w:t>
      </w:r>
      <w:r>
        <w:rPr>
          <w:rFonts w:eastAsia="Times New Roman"/>
          <w:kern w:val="1"/>
          <w:u w:val="single"/>
          <w:lang w:eastAsia="ar-SA"/>
        </w:rPr>
        <w:t xml:space="preserve">5 comma 14 </w:t>
      </w:r>
      <w:r>
        <w:rPr>
          <w:rFonts w:eastAsia="Times New Roman"/>
          <w:i/>
          <w:iCs/>
          <w:kern w:val="1"/>
          <w:u w:val="single"/>
          <w:lang w:eastAsia="ar-SA"/>
        </w:rPr>
        <w:t>quinquies</w:t>
      </w:r>
      <w:r>
        <w:rPr>
          <w:rFonts w:eastAsia="Times New Roman"/>
          <w:kern w:val="1"/>
          <w:lang w:eastAsia="ar-SA"/>
        </w:rPr>
        <w:t xml:space="preserve"> </w:t>
      </w:r>
      <w:r>
        <w:rPr>
          <w:rFonts w:eastAsia="Times New Roman"/>
          <w:kern w:val="1"/>
          <w:u w:val="single"/>
          <w:lang w:eastAsia="ar-SA"/>
        </w:rPr>
        <w:t>del D.L. 146/2021,</w:t>
      </w:r>
      <w:r>
        <w:rPr>
          <w:rFonts w:eastAsia="Times New Roman"/>
          <w:kern w:val="1"/>
          <w:lang w:eastAsia="ar-SA"/>
        </w:rPr>
        <w:t xml:space="preserve"> richiamata da </w:t>
      </w:r>
      <w:r>
        <w:rPr>
          <w:rFonts w:eastAsia="Times New Roman"/>
          <w:bCs/>
          <w:kern w:val="1"/>
          <w:lang w:eastAsia="ar-SA"/>
        </w:rPr>
        <w:t>FASTWEB S.p.A.</w:t>
      </w:r>
      <w:r>
        <w:rPr>
          <w:rFonts w:eastAsia="Times New Roman"/>
          <w:kern w:val="1"/>
          <w:lang w:eastAsia="ar-SA"/>
        </w:rPr>
        <w:t xml:space="preserve">, </w:t>
      </w:r>
      <w:r>
        <w:rPr>
          <w:rFonts w:eastAsia="Times New Roman"/>
          <w:kern w:val="1"/>
          <w:u w:val="single"/>
          <w:lang w:eastAsia="ar-SA"/>
        </w:rPr>
        <w:t>è applicabile e/o riferibile esclusivamente ai casi in cui si deve attuare, per legge, una fisica separazione tra il soggetto titolare dell'infrastruttura ed il soggetto titolare del contratto di vendita del bene che, poi, distribuirà al cliente finale</w:t>
      </w:r>
      <w:r>
        <w:rPr>
          <w:rFonts w:eastAsia="Times New Roman"/>
          <w:kern w:val="1"/>
          <w:lang w:eastAsia="ar-SA"/>
        </w:rPr>
        <w:t>.</w:t>
      </w:r>
    </w:p>
    <w:p w14:paraId="0E6D1A4A"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Inoltre, con la novella dell'anno 2021 il Legislatore nuovamente intervenendo nella disciplina di cui al comma 831 ha stabilito che: “</w:t>
      </w:r>
      <w:r>
        <w:rPr>
          <w:rFonts w:eastAsia="Times New Roman"/>
          <w:i/>
          <w:iCs/>
          <w:kern w:val="1"/>
          <w:lang w:eastAsia="ar-SA"/>
        </w:rPr>
        <w:t xml:space="preserve">il comma 831 dell'articolo 1 della Legge 27 dicembre 2019 n. 160 si interpreta nel senso che: a) per le occupazioni permanenti di suolo pubblico effettuate nei settori </w:t>
      </w:r>
      <w:r>
        <w:rPr>
          <w:rFonts w:eastAsia="Times New Roman"/>
          <w:b/>
          <w:bCs/>
          <w:i/>
          <w:iCs/>
          <w:kern w:val="1"/>
          <w:u w:val="single"/>
          <w:lang w:eastAsia="ar-SA"/>
        </w:rPr>
        <w:t>in cui è prevista una separazione</w:t>
      </w:r>
      <w:r>
        <w:rPr>
          <w:rFonts w:eastAsia="Times New Roman"/>
          <w:i/>
          <w:iCs/>
          <w:kern w:val="1"/>
          <w:lang w:eastAsia="ar-SA"/>
        </w:rPr>
        <w:t xml:space="preserve">, in ragione di assetti normativi regolamentari o contrattuali </w:t>
      </w:r>
      <w:r>
        <w:rPr>
          <w:rFonts w:eastAsia="Times New Roman"/>
          <w:b/>
          <w:bCs/>
          <w:i/>
          <w:iCs/>
          <w:kern w:val="1"/>
          <w:u w:val="single"/>
          <w:lang w:eastAsia="ar-SA"/>
        </w:rPr>
        <w:t>tra i soggetti titolari delle infrastrutture ed i soggetti titolari del contratto di vendita del bene distribuito alla clien</w:t>
      </w:r>
      <w:r>
        <w:rPr>
          <w:rFonts w:eastAsia="Times New Roman"/>
          <w:i/>
          <w:iCs/>
          <w:kern w:val="1"/>
          <w:u w:val="single"/>
          <w:lang w:eastAsia="ar-SA"/>
        </w:rPr>
        <w:t>tela</w:t>
      </w:r>
      <w:r>
        <w:rPr>
          <w:rFonts w:eastAsia="Times New Roman"/>
          <w:i/>
          <w:iCs/>
          <w:kern w:val="1"/>
          <w:lang w:eastAsia="ar-SA"/>
        </w:rPr>
        <w:t xml:space="preserve"> finale, </w:t>
      </w:r>
      <w:r>
        <w:rPr>
          <w:rFonts w:eastAsia="Times New Roman"/>
          <w:b/>
          <w:bCs/>
          <w:i/>
          <w:iCs/>
          <w:kern w:val="1"/>
          <w:u w:val="single"/>
          <w:lang w:eastAsia="ar-SA"/>
        </w:rPr>
        <w:t>non configurandosi alcuna occupazione in via mediata</w:t>
      </w:r>
      <w:r>
        <w:rPr>
          <w:rFonts w:eastAsia="Times New Roman"/>
          <w:i/>
          <w:iCs/>
          <w:kern w:val="1"/>
          <w:lang w:eastAsia="ar-SA"/>
        </w:rPr>
        <w:t xml:space="preserve"> ed alcun utilizzo materiale delle infrastrutture da parte della società di vendita, </w:t>
      </w:r>
      <w:r>
        <w:rPr>
          <w:rFonts w:eastAsia="Times New Roman"/>
          <w:b/>
          <w:bCs/>
          <w:i/>
          <w:iCs/>
          <w:kern w:val="1"/>
          <w:u w:val="single"/>
          <w:lang w:eastAsia="ar-SA"/>
        </w:rPr>
        <w:t>il canone è dovuto esclusivamente dal soggetto titolare</w:t>
      </w:r>
      <w:r>
        <w:rPr>
          <w:rFonts w:eastAsia="Times New Roman"/>
          <w:b/>
          <w:bCs/>
          <w:i/>
          <w:iCs/>
          <w:kern w:val="1"/>
          <w:lang w:eastAsia="ar-SA"/>
        </w:rPr>
        <w:t xml:space="preserve"> </w:t>
      </w:r>
      <w:r>
        <w:rPr>
          <w:rFonts w:eastAsia="Times New Roman"/>
          <w:b/>
          <w:bCs/>
          <w:i/>
          <w:iCs/>
          <w:kern w:val="1"/>
          <w:u w:val="single"/>
          <w:lang w:eastAsia="ar-SA"/>
        </w:rPr>
        <w:t>dell'atto concessione</w:t>
      </w:r>
      <w:r>
        <w:rPr>
          <w:rFonts w:eastAsia="Times New Roman"/>
          <w:i/>
          <w:iCs/>
          <w:kern w:val="1"/>
          <w:lang w:eastAsia="ar-SA"/>
        </w:rPr>
        <w:t xml:space="preserve"> delle infrastrutture, in base alle utenze delle predette società di vendita”.</w:t>
      </w:r>
    </w:p>
    <w:p w14:paraId="0A962F53"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b/>
          <w:bCs/>
          <w:kern w:val="1"/>
          <w:lang w:eastAsia="ar-SA"/>
        </w:rPr>
        <w:t>MA</w:t>
      </w:r>
      <w:r>
        <w:rPr>
          <w:rFonts w:eastAsia="Times New Roman"/>
          <w:kern w:val="1"/>
          <w:lang w:eastAsia="ar-SA"/>
        </w:rPr>
        <w:t xml:space="preserve"> questa è norma, come anticipato, </w:t>
      </w:r>
      <w:r>
        <w:rPr>
          <w:rFonts w:eastAsia="Times New Roman"/>
          <w:kern w:val="1"/>
          <w:u w:val="single"/>
          <w:lang w:eastAsia="ar-SA"/>
        </w:rPr>
        <w:t>valevole solo per i mercati di</w:t>
      </w:r>
      <w:r>
        <w:rPr>
          <w:rFonts w:eastAsia="Times New Roman"/>
          <w:kern w:val="1"/>
          <w:lang w:eastAsia="ar-SA"/>
        </w:rPr>
        <w:t xml:space="preserve"> vendita/commercializzazione del </w:t>
      </w:r>
      <w:r>
        <w:rPr>
          <w:rFonts w:eastAsia="Times New Roman"/>
          <w:kern w:val="1"/>
          <w:u w:val="single"/>
          <w:lang w:eastAsia="ar-SA"/>
        </w:rPr>
        <w:t xml:space="preserve">gas e dell'energia elettrica e </w:t>
      </w:r>
      <w:r>
        <w:rPr>
          <w:rFonts w:eastAsia="Times New Roman"/>
          <w:b/>
          <w:bCs/>
          <w:kern w:val="1"/>
          <w:u w:val="single"/>
          <w:lang w:eastAsia="ar-SA"/>
        </w:rPr>
        <w:t>non già per il settore della telefonia</w:t>
      </w:r>
      <w:r>
        <w:rPr>
          <w:rFonts w:eastAsia="Times New Roman"/>
          <w:kern w:val="1"/>
          <w:lang w:eastAsia="ar-SA"/>
        </w:rPr>
        <w:t xml:space="preserve"> e trasmissione dati </w:t>
      </w:r>
      <w:r>
        <w:rPr>
          <w:rFonts w:eastAsia="Times New Roman"/>
          <w:kern w:val="1"/>
          <w:u w:val="single"/>
          <w:lang w:eastAsia="ar-SA"/>
        </w:rPr>
        <w:t>nel quale</w:t>
      </w:r>
      <w:r>
        <w:rPr>
          <w:rFonts w:eastAsia="Times New Roman"/>
          <w:kern w:val="1"/>
          <w:lang w:eastAsia="ar-SA"/>
        </w:rPr>
        <w:t xml:space="preserve">, non solo per espressa volontà normativa nazionale ma anche per volontà comunitaria, </w:t>
      </w:r>
      <w:r>
        <w:rPr>
          <w:rFonts w:eastAsia="Times New Roman"/>
          <w:kern w:val="1"/>
          <w:u w:val="single"/>
          <w:lang w:eastAsia="ar-SA"/>
        </w:rPr>
        <w:t>deve esistere</w:t>
      </w:r>
      <w:r>
        <w:rPr>
          <w:rFonts w:eastAsia="Times New Roman"/>
          <w:kern w:val="1"/>
          <w:lang w:eastAsia="ar-SA"/>
        </w:rPr>
        <w:t xml:space="preserve">, come in effetti esiste, </w:t>
      </w:r>
      <w:r>
        <w:rPr>
          <w:rFonts w:eastAsia="Times New Roman"/>
          <w:b/>
          <w:bCs/>
          <w:kern w:val="1"/>
          <w:u w:val="single"/>
          <w:lang w:eastAsia="ar-SA"/>
        </w:rPr>
        <w:t>condivisione</w:t>
      </w:r>
      <w:r>
        <w:rPr>
          <w:rFonts w:eastAsia="Times New Roman"/>
          <w:kern w:val="1"/>
          <w:u w:val="single"/>
          <w:lang w:eastAsia="ar-SA"/>
        </w:rPr>
        <w:t xml:space="preserve"> delle infrastrutture e delle reti</w:t>
      </w:r>
      <w:r>
        <w:rPr>
          <w:rFonts w:eastAsia="Times New Roman"/>
          <w:kern w:val="1"/>
          <w:lang w:eastAsia="ar-SA"/>
        </w:rPr>
        <w:t>.</w:t>
      </w:r>
    </w:p>
    <w:p w14:paraId="3EA23D99"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Del resto, è la stessa FASTWEB S.p.A. nella narrativa del proprio atto a descrivere le modalità operative di condivisione delle infrastrutture e la modalità tecnica di collegamento denominata BITSTREAM NGA, </w:t>
      </w:r>
      <w:r>
        <w:rPr>
          <w:rFonts w:eastAsia="Times New Roman"/>
          <w:b/>
          <w:bCs/>
          <w:kern w:val="1"/>
          <w:lang w:eastAsia="ar-SA"/>
        </w:rPr>
        <w:t>che prevede che l'operatore sia presente non sul territorio comunale, né nella centrale TIM prossima alle abitazioni da servire, bensì esclusivamente in un Punto di Interconnessione (PDI) collocato a monte, a livello di area o macroarea</w:t>
      </w:r>
      <w:r>
        <w:rPr>
          <w:rFonts w:eastAsia="Times New Roman"/>
          <w:kern w:val="1"/>
          <w:lang w:eastAsia="ar-SA"/>
        </w:rPr>
        <w:t xml:space="preserve">. Attraverso tale modalità </w:t>
      </w:r>
      <w:r>
        <w:rPr>
          <w:rFonts w:eastAsia="Times New Roman"/>
          <w:kern w:val="1"/>
          <w:lang w:eastAsia="ar-SA"/>
        </w:rPr>
        <w:lastRenderedPageBreak/>
        <w:t>l'operatore (FASTWEB S.p.A.) si avvale dell'intera tratta gestita da TIM che va dal PDI alle abitazioni dei clienti, indipendentemente dall'architettura posta "a valle" della centrale (FTTC: Fiber to the Cabinet / FTTH: Fiber to the Home). Il traffico generato dai clienti viene raccolto da TIM e consegnato all'operatore presso il Punto di Interconnessione, tramite appositi apparati L2 ("Kit di Consegna") dedicati all'operatore che ne ha fatto richiesta.</w:t>
      </w:r>
    </w:p>
    <w:p w14:paraId="7121E421" w14:textId="77777777" w:rsidR="007E79BC" w:rsidRPr="00D20535" w:rsidRDefault="007E79BC" w:rsidP="007E79BC">
      <w:pPr>
        <w:suppressAutoHyphens/>
        <w:overflowPunct w:val="0"/>
        <w:autoSpaceDE w:val="0"/>
        <w:spacing w:line="360" w:lineRule="auto"/>
        <w:ind w:firstLine="709"/>
        <w:jc w:val="both"/>
        <w:textAlignment w:val="baseline"/>
        <w:rPr>
          <w:rFonts w:eastAsia="Times New Roman"/>
          <w:kern w:val="1"/>
          <w:lang w:eastAsia="ar-SA"/>
        </w:rPr>
      </w:pPr>
      <w:r>
        <w:rPr>
          <w:rFonts w:eastAsia="Times New Roman"/>
          <w:kern w:val="1"/>
          <w:lang w:eastAsia="ar-SA"/>
        </w:rPr>
        <w:t xml:space="preserve">La natura stessa dell'infrastruttura vuole, quindi, una compresenza di più operatori che agiscono sulla/nella rete Tim/Telecom s.p.a. che utilizza, anch'essa, la rete insieme ai suoi competitors; </w:t>
      </w:r>
      <w:r>
        <w:rPr>
          <w:rFonts w:eastAsia="Times New Roman"/>
          <w:kern w:val="1"/>
          <w:u w:val="single"/>
          <w:lang w:eastAsia="ar-SA"/>
        </w:rPr>
        <w:t>ciò differentemente da quanto accade nel caso delle società proprietarie della rete di distribuzione del gas o dell'energia elettrica che non possono, per legge, direttamente vendere il prodotto agli utenti finali,</w:t>
      </w:r>
      <w:r>
        <w:rPr>
          <w:rFonts w:eastAsia="Times New Roman"/>
          <w:kern w:val="1"/>
          <w:lang w:eastAsia="ar-SA"/>
        </w:rPr>
        <w:t xml:space="preserve"> dovendosi invece rivolgere ad altre società che effettuano (solo loro) la vendita, per commercializzare il prodotto veicolato nelle proprie infrastrutture (gas /energia elettrica). </w:t>
      </w:r>
    </w:p>
    <w:p w14:paraId="3C39C61E" w14:textId="77777777" w:rsidR="007E79BC" w:rsidRPr="00D20535" w:rsidRDefault="007E79BC" w:rsidP="007E79BC">
      <w:pPr>
        <w:spacing w:line="360" w:lineRule="auto"/>
        <w:ind w:firstLine="709"/>
        <w:rPr>
          <w:rFonts w:eastAsia="Calibri"/>
        </w:rPr>
      </w:pPr>
      <w:r>
        <w:rPr>
          <w:rFonts w:eastAsia="Calibri"/>
        </w:rPr>
        <w:t>Di seguito uno schema riassuntivo sulla differenza di utilizzo della rete tra le società di TLC e le società che commercializzano Gas ed Energia.</w:t>
      </w:r>
    </w:p>
    <w:p w14:paraId="0F7237C1" w14:textId="77777777" w:rsidR="007E79BC" w:rsidRDefault="007E79BC" w:rsidP="007E79BC">
      <w:pPr>
        <w:spacing w:line="360" w:lineRule="auto"/>
        <w:ind w:firstLine="567"/>
        <w:jc w:val="both"/>
        <w:rPr>
          <w:rFonts w:eastAsia="Times New Roman"/>
          <w:b/>
          <w:bCs/>
          <w:i/>
          <w:iCs/>
          <w:kern w:val="1"/>
          <w:u w:val="single"/>
          <w:lang w:eastAsia="ar-SA"/>
        </w:rPr>
      </w:pPr>
    </w:p>
    <w:p w14:paraId="2BD1AC33" w14:textId="77777777" w:rsidR="007E79BC" w:rsidRDefault="007E79BC" w:rsidP="003608D2">
      <w:pPr>
        <w:spacing w:line="360" w:lineRule="auto"/>
        <w:ind w:firstLine="567"/>
        <w:rPr>
          <w:rFonts w:eastAsia="Times New Roman"/>
          <w:b/>
          <w:bCs/>
          <w:i/>
          <w:iCs/>
          <w:kern w:val="1"/>
          <w:u w:val="single"/>
          <w:lang w:eastAsia="ar-SA"/>
        </w:rPr>
      </w:pPr>
      <w:r>
        <w:rPr>
          <w:rFonts w:eastAsia="Times New Roman"/>
          <w:noProof/>
        </w:rPr>
        <w:drawing>
          <wp:inline distT="0" distB="0" distL="0" distR="0" wp14:anchorId="610F063D" wp14:editId="0CC75145">
            <wp:extent cx="5731510" cy="4857927"/>
            <wp:effectExtent l="0" t="0" r="0" b="6350"/>
            <wp:docPr id="205846241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62413" name=""/>
                    <pic:cNvPicPr/>
                  </pic:nvPicPr>
                  <pic:blipFill>
                    <a:blip r:embed="rId6"/>
                    <a:stretch>
                      <a:fillRect/>
                    </a:stretch>
                  </pic:blipFill>
                  <pic:spPr>
                    <a:xfrm>
                      <a:off x="0" y="0"/>
                      <a:ext cx="5731510" cy="4857927"/>
                    </a:xfrm>
                    <a:prstGeom prst="rect">
                      <a:avLst/>
                    </a:prstGeom>
                  </pic:spPr>
                </pic:pic>
              </a:graphicData>
            </a:graphic>
          </wp:inline>
        </w:drawing>
      </w:r>
    </w:p>
    <w:p w14:paraId="25C7E623" w14:textId="77777777" w:rsidR="007E79BC" w:rsidRDefault="007E79BC" w:rsidP="007E79BC">
      <w:pPr>
        <w:spacing w:line="360" w:lineRule="auto"/>
        <w:ind w:firstLine="567"/>
        <w:jc w:val="both"/>
        <w:rPr>
          <w:rFonts w:eastAsia="Times New Roman"/>
          <w:b/>
          <w:bCs/>
          <w:i/>
          <w:iCs/>
          <w:kern w:val="1"/>
          <w:u w:val="single"/>
          <w:lang w:eastAsia="ar-SA"/>
        </w:rPr>
      </w:pPr>
    </w:p>
    <w:p w14:paraId="00D49CBE" w14:textId="77777777" w:rsidR="007E79BC" w:rsidRPr="00D20535" w:rsidRDefault="007E79BC" w:rsidP="007E79BC">
      <w:pPr>
        <w:spacing w:line="360" w:lineRule="auto"/>
        <w:ind w:firstLine="709"/>
        <w:jc w:val="both"/>
        <w:rPr>
          <w:rFonts w:eastAsia="Calibri"/>
        </w:rPr>
      </w:pPr>
      <w:r>
        <w:rPr>
          <w:rFonts w:eastAsia="Calibri"/>
        </w:rPr>
        <w:lastRenderedPageBreak/>
        <w:t>Quindi, quale settore, se non quello delle telecomunicazioni, dovrebbe vedere applicata la soggettività passiva in via mediata prevista dal legislatore?</w:t>
      </w:r>
    </w:p>
    <w:p w14:paraId="778DD832" w14:textId="77777777" w:rsidR="00075369" w:rsidRPr="007E79BC" w:rsidRDefault="00000000" w:rsidP="009F4718">
      <w:pPr>
        <w:spacing w:line="360" w:lineRule="auto"/>
        <w:ind w:firstLine="567"/>
        <w:jc w:val="both"/>
        <w:rPr>
          <w:u w:val="single"/>
        </w:rPr>
      </w:pPr>
      <w:r>
        <w:t xml:space="preserve">Oltre alla recentissima pronuncia della Corte di legittimità innanzi richiamata, conferma quanto fin qui rilevato anche la recente giurisprudenza di merito in materia di telecomunicazioni; fra tante si richiamano, per le puntuali motivazioni addotte, le sentenze del </w:t>
      </w:r>
      <w:r>
        <w:rPr>
          <w:b/>
          <w:bCs/>
          <w:u w:val="single"/>
        </w:rPr>
        <w:t>Tribunale di Bergamo n. 1523 del 25.11.2025, proprio contro FASTWEB S.p.A., e n. 289 del 21.03.2026 contro Vodafone, nonché del Tribunale di Treviso n. 240/2025 e del Tribunale di Piacenza n. 207 del 06.05.2025</w:t>
      </w:r>
      <w:r>
        <w:rPr>
          <w:u w:val="single"/>
        </w:rPr>
        <w:t>, ed infatti:</w:t>
      </w:r>
    </w:p>
    <w:p w14:paraId="17ABF8B1" w14:textId="77777777" w:rsidR="00075369" w:rsidRDefault="00000000" w:rsidP="00864A21">
      <w:pPr>
        <w:spacing w:line="360" w:lineRule="auto"/>
        <w:ind w:firstLine="567"/>
        <w:jc w:val="both"/>
      </w:pPr>
      <w:r>
        <w:t>Il Giudice di Bergamo ha così precisato:</w:t>
      </w:r>
    </w:p>
    <w:p w14:paraId="3B706D5A" w14:textId="77777777" w:rsidR="00075369" w:rsidRDefault="00000000" w:rsidP="00864A21">
      <w:pPr>
        <w:spacing w:before="40" w:after="40" w:line="360" w:lineRule="auto"/>
        <w:ind w:left="567" w:right="283"/>
        <w:jc w:val="both"/>
      </w:pPr>
      <w:r>
        <w:rPr>
          <w:i/>
          <w:iCs/>
        </w:rPr>
        <w:t xml:space="preserve">“La norma nel testo attualmente vigente dispone: il canone è dovuto dal soggetto titolare dell’atto di concessione dell’occupazione del suolo pubblico e dai soggetti che occupano il suolo pubblico, </w:t>
      </w:r>
      <w:r>
        <w:rPr>
          <w:b/>
          <w:bCs/>
          <w:i/>
          <w:iCs/>
        </w:rPr>
        <w:t>anche in via mediata, attraverso l’utilizzo materiale delle infrastrutture del soggetto titolare della concessione</w:t>
      </w:r>
      <w:r>
        <w:rPr>
          <w:i/>
          <w:iCs/>
        </w:rPr>
        <w:t xml:space="preserve"> sulla base del numero delle rispettive utenze moltiplicate per la seguente tariffa forfetaria. 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di Fastweb spa), si avvalgono dei cavi e delle strutture del soggetto che è titolare della concessione e che, per il tramite di qu</w:t>
      </w:r>
      <w:r>
        <w:rPr>
          <w:i/>
          <w:iCs/>
        </w:rPr>
        <w:t>esto utilizzo (appunto, mediatamente), occupano il suolo pubblico. L’espressione ‘utilizzo materiale’ va interpretata alla luce della volontà del legislatore come sinonimo di utilizzo che non necessariamente rimanda ad ‘una modificazione della realtà esterna’. Invero il canone è imposto a tutti quei soggetti che si avvalgono di fatto delle occupazioni permanenti del territorio comunale con cavi e condutture. E poiché è incontestato che Fastweb spa si avvale mediatamente (o virtualmente che dir si voglia) de</w:t>
      </w:r>
      <w:r>
        <w:rPr>
          <w:i/>
          <w:iCs/>
        </w:rPr>
        <w:t xml:space="preserve">lla rete infrastrutturale di Tim/Telecom spa si ritiene che essa rientri fra i soggetti obbligati contemplati dalla norma e soggetto tenuto al pagamento”. Tribunale di Bergamo n. 1523 del 25.11.2025 </w:t>
      </w:r>
      <w:r>
        <w:rPr>
          <w:b/>
          <w:bCs/>
          <w:i/>
          <w:iCs/>
        </w:rPr>
        <w:t>(doc. 11).</w:t>
      </w:r>
    </w:p>
    <w:p w14:paraId="631FE15F" w14:textId="77777777" w:rsidR="00075369" w:rsidRDefault="00000000" w:rsidP="00864A21">
      <w:pPr>
        <w:spacing w:line="360" w:lineRule="auto"/>
        <w:ind w:firstLine="567"/>
        <w:jc w:val="both"/>
      </w:pPr>
      <w:r>
        <w:t xml:space="preserve">Sempre il </w:t>
      </w:r>
      <w:r>
        <w:rPr>
          <w:b/>
          <w:bCs/>
        </w:rPr>
        <w:t>Tribunale di Bergamo, con la sentenza 289/2026,</w:t>
      </w:r>
      <w:r>
        <w:t xml:space="preserve"> ha ribadito:</w:t>
      </w:r>
    </w:p>
    <w:p w14:paraId="5915E4E2" w14:textId="77777777" w:rsidR="00112740" w:rsidRDefault="00000000" w:rsidP="00864A21">
      <w:pPr>
        <w:spacing w:before="40" w:after="40" w:line="360" w:lineRule="auto"/>
        <w:ind w:left="567" w:right="283"/>
        <w:jc w:val="both"/>
        <w:rPr>
          <w:i/>
          <w:iCs/>
        </w:rPr>
      </w:pPr>
      <w:r>
        <w:rPr>
          <w:i/>
          <w:iCs/>
        </w:rPr>
        <w:t xml:space="preserve">“le attuali normative fanno riferimento ad un nuovo concetto basato sull’occupazione in via mediata, dove sussistono una pluralità di soggetti passivi, costituiti dal soggetto titolare e dai soggetti che occupano ed utilizzano l’area. </w:t>
      </w:r>
    </w:p>
    <w:p w14:paraId="37FA971B" w14:textId="77777777" w:rsidR="00112740" w:rsidRDefault="00000000" w:rsidP="00864A21">
      <w:pPr>
        <w:spacing w:before="40" w:after="40" w:line="360" w:lineRule="auto"/>
        <w:ind w:left="567" w:right="283"/>
        <w:jc w:val="both"/>
        <w:rPr>
          <w:i/>
          <w:iCs/>
        </w:rPr>
      </w:pPr>
      <w:r>
        <w:rPr>
          <w:i/>
          <w:iCs/>
        </w:rPr>
        <w:lastRenderedPageBreak/>
        <w:t xml:space="preserve">Più precisamente, risulta aggiornata e superata la precedente normativa, che considerava il solo concessionario quale unico soggetto passivo, rendendo adeguata la normativa ad un mercato liberalizzato, dove vi sono più operatori che utilizzano la stessa infrastruttura per la fornitura del proprio servizio di telefonia. </w:t>
      </w:r>
    </w:p>
    <w:p w14:paraId="2383BAF5" w14:textId="77777777" w:rsidR="00112740" w:rsidRDefault="00000000" w:rsidP="00864A21">
      <w:pPr>
        <w:spacing w:before="40" w:after="40" w:line="360" w:lineRule="auto"/>
        <w:ind w:left="567" w:right="283"/>
        <w:jc w:val="both"/>
        <w:rPr>
          <w:i/>
          <w:iCs/>
        </w:rPr>
      </w:pPr>
      <w:r>
        <w:rPr>
          <w:i/>
          <w:iCs/>
        </w:rPr>
        <w:t xml:space="preserve">Inoltre, diversamente da quanto affermato da parte attrice, gli accordi </w:t>
      </w:r>
      <w:proofErr w:type="spellStart"/>
      <w:r>
        <w:rPr>
          <w:i/>
          <w:iCs/>
        </w:rPr>
        <w:t>wholesale</w:t>
      </w:r>
      <w:proofErr w:type="spellEnd"/>
      <w:r>
        <w:rPr>
          <w:i/>
          <w:iCs/>
        </w:rPr>
        <w:t xml:space="preserve"> sono pienamente riferibili alla fattispecie connessa all’‘utilizzo materiale’. </w:t>
      </w:r>
    </w:p>
    <w:p w14:paraId="0FA7FBCF" w14:textId="77777777" w:rsidR="00112740" w:rsidRPr="009F4718" w:rsidRDefault="00112740" w:rsidP="009F4718">
      <w:pPr>
        <w:spacing w:before="40" w:after="40" w:line="360" w:lineRule="auto"/>
        <w:ind w:left="567" w:right="283"/>
        <w:jc w:val="both"/>
        <w:rPr>
          <w:i/>
          <w:iCs/>
        </w:rPr>
      </w:pPr>
      <w:proofErr w:type="gramStart"/>
      <w:r>
        <w:rPr>
          <w:i/>
          <w:iCs/>
        </w:rPr>
        <w:t>Infatti</w:t>
      </w:r>
      <w:proofErr w:type="gramEnd"/>
      <w:r>
        <w:rPr>
          <w:i/>
          <w:iCs/>
        </w:rPr>
        <w:t xml:space="preserve"> gli accordi </w:t>
      </w:r>
      <w:proofErr w:type="spellStart"/>
      <w:r>
        <w:rPr>
          <w:i/>
          <w:iCs/>
        </w:rPr>
        <w:t>wholesale</w:t>
      </w:r>
      <w:proofErr w:type="spellEnd"/>
      <w:r>
        <w:rPr>
          <w:i/>
          <w:iCs/>
        </w:rPr>
        <w:t xml:space="preserve"> VULA (Virtual </w:t>
      </w:r>
      <w:proofErr w:type="spellStart"/>
      <w:r>
        <w:rPr>
          <w:i/>
          <w:iCs/>
        </w:rPr>
        <w:t>Unbundled</w:t>
      </w:r>
      <w:proofErr w:type="spellEnd"/>
      <w:r>
        <w:rPr>
          <w:i/>
          <w:iCs/>
        </w:rPr>
        <w:t xml:space="preserve"> Local Access) sono accordi commerciali tra operatori di telecomunicazioni che permettono l’accesso alle reti di accesso locali (reti di fibra ottica o di rame) di un operatore </w:t>
      </w:r>
      <w:r>
        <w:rPr>
          <w:i/>
          <w:iCs/>
        </w:rPr>
        <w:tab/>
        <w:t xml:space="preserve">dominante a un altro operatore, a condizioni eque e non discriminatorie. </w:t>
      </w:r>
    </w:p>
    <w:p w14:paraId="3A73ED85" w14:textId="77777777" w:rsidR="00112740" w:rsidRPr="009F4718" w:rsidRDefault="00112740" w:rsidP="009F4718">
      <w:pPr>
        <w:spacing w:before="40" w:after="40" w:line="360" w:lineRule="auto"/>
        <w:ind w:left="567" w:right="283"/>
        <w:jc w:val="both"/>
        <w:rPr>
          <w:i/>
          <w:iCs/>
        </w:rPr>
      </w:pPr>
      <w:r>
        <w:rPr>
          <w:i/>
          <w:iCs/>
        </w:rPr>
        <w:t xml:space="preserve">In pratica, un operatore che non ha una rete di accesso propria può utilizzare la rete di un altro operatore per offrire servizi di accesso a internet e voce ai propri </w:t>
      </w:r>
      <w:proofErr w:type="gramStart"/>
      <w:r>
        <w:rPr>
          <w:i/>
          <w:iCs/>
        </w:rPr>
        <w:t>clienti .</w:t>
      </w:r>
      <w:proofErr w:type="gramEnd"/>
      <w:r>
        <w:rPr>
          <w:i/>
          <w:iCs/>
        </w:rPr>
        <w:t xml:space="preserve"> </w:t>
      </w:r>
    </w:p>
    <w:p w14:paraId="0C6BDF70" w14:textId="77777777" w:rsidR="00BE2202" w:rsidRDefault="00000000" w:rsidP="00864A21">
      <w:pPr>
        <w:spacing w:before="40" w:after="40" w:line="360" w:lineRule="auto"/>
        <w:ind w:left="567" w:right="283"/>
        <w:jc w:val="both"/>
        <w:rPr>
          <w:i/>
          <w:iCs/>
        </w:rPr>
      </w:pPr>
      <w:r>
        <w:rPr>
          <w:i/>
          <w:iCs/>
        </w:rPr>
        <w:t xml:space="preserve">Anche se l’accesso è definito ‘virtuale’ in ambito tecnico-commerciale, lo stesso comporta un flusso fisico di dati che transita comunque mediante cavi e condutture esistenti sul suolo pubblico comunale. </w:t>
      </w:r>
    </w:p>
    <w:p w14:paraId="2167702E" w14:textId="77777777" w:rsidR="00075369" w:rsidRDefault="00000000" w:rsidP="00864A21">
      <w:pPr>
        <w:spacing w:before="40" w:after="40" w:line="360" w:lineRule="auto"/>
        <w:ind w:left="567" w:right="283"/>
        <w:jc w:val="both"/>
      </w:pPr>
      <w:r>
        <w:rPr>
          <w:i/>
          <w:iCs/>
        </w:rPr>
        <w:t xml:space="preserve">In base alle numerose sentenze di merito sull’argomento, il criterio legato alla materialità dell’uso dell’infrastruttura di altro operatore risulta comprendere anche quello legato alla modalità di accesso virtuale, legata all’evoluzione ed al progresso tecnologico nell’ambito della telefonia”. Tribunale di Bergamo n. 289 del 21.03.2026 </w:t>
      </w:r>
      <w:r>
        <w:rPr>
          <w:b/>
          <w:bCs/>
          <w:i/>
          <w:iCs/>
        </w:rPr>
        <w:t>(doc. 12).</w:t>
      </w:r>
    </w:p>
    <w:p w14:paraId="184759CC" w14:textId="77777777" w:rsidR="00075369" w:rsidRDefault="00000000" w:rsidP="00864A21">
      <w:pPr>
        <w:spacing w:line="360" w:lineRule="auto"/>
        <w:ind w:firstLine="567"/>
        <w:jc w:val="both"/>
      </w:pPr>
      <w:r>
        <w:t xml:space="preserve">Anche il Tribunale di Napoli si è di recente pronunciato chiarendo il concetto di </w:t>
      </w:r>
      <w:r>
        <w:rPr>
          <w:i/>
          <w:iCs/>
        </w:rPr>
        <w:t>“utilizzo materiale”</w:t>
      </w:r>
      <w:r>
        <w:t xml:space="preserve"> (</w:t>
      </w:r>
      <w:r>
        <w:rPr>
          <w:b/>
          <w:bCs/>
        </w:rPr>
        <w:t>Tribunale di Napoli n. 5948 del 13.04.2026 – doc. 13</w:t>
      </w:r>
      <w:r>
        <w:t>):</w:t>
      </w:r>
    </w:p>
    <w:p w14:paraId="044CACB9" w14:textId="77777777" w:rsidR="00075369" w:rsidRDefault="00000000" w:rsidP="00864A21">
      <w:pPr>
        <w:spacing w:before="40" w:after="40" w:line="360" w:lineRule="auto"/>
        <w:ind w:left="567" w:right="283"/>
        <w:jc w:val="both"/>
      </w:pPr>
      <w:r>
        <w:rPr>
          <w:i/>
          <w:iCs/>
        </w:rPr>
        <w:t xml:space="preserve">“Questo giudice ritiene di dover aderire alla lettura secondo la quale l’espressione «utilizzo materiale» non vada intesa né come installazione di cavi o condutture ulteriori, né come indispensabile modificazione percepibile della realtà esterna, bensì come equivalente di un utilizzo concreto dell’infrastruttura in concessione, idoneo a integrare un’occupazione mediata del suolo pubblico quando l’operatore, per erogare il servizio venduto alla clientela, si avvale della rete del concessionario. </w:t>
      </w:r>
      <w:r>
        <w:rPr>
          <w:rFonts w:eastAsia="Times New Roman"/>
          <w:i/>
          <w:iCs/>
        </w:rPr>
        <w:t xml:space="preserve">In tale prospettiva, la ratio della modifica normativa è proprio quella di coinvolgere nel pagamento del canone anche gli operatori che, pur non essendo titolari della concessione, traggono un vantaggio immediato e diretto dall'uso dell'infrastruttura in </w:t>
      </w:r>
      <w:r>
        <w:rPr>
          <w:rFonts w:eastAsia="Times New Roman"/>
          <w:i/>
          <w:iCs/>
        </w:rPr>
        <w:lastRenderedPageBreak/>
        <w:t xml:space="preserve">concessione per la fornitura del servizio. </w:t>
      </w:r>
      <w:r>
        <w:rPr>
          <w:i/>
          <w:iCs/>
        </w:rPr>
        <w:t>Diversamente, la previsione normativa finirebbe per essere priva di effettiva portata applicativa nel settore in cui l’utilizzo della rete altrui è tecnicamente fisiologico”.</w:t>
      </w:r>
    </w:p>
    <w:p w14:paraId="0C8ADEDF" w14:textId="77777777" w:rsidR="00BE2202" w:rsidRPr="00801F75" w:rsidRDefault="00BE2202" w:rsidP="00BE2202">
      <w:pPr>
        <w:spacing w:line="360" w:lineRule="auto"/>
        <w:ind w:firstLine="709"/>
        <w:contextualSpacing/>
        <w:jc w:val="both"/>
      </w:pPr>
      <w:r>
        <w:t xml:space="preserve">Ed ancora, i giudici del </w:t>
      </w:r>
      <w:r>
        <w:rPr>
          <w:b/>
          <w:bCs/>
        </w:rPr>
        <w:t>Tribunale di TREVISO</w:t>
      </w:r>
      <w:r>
        <w:t xml:space="preserve"> hanno rigettato, ancora una volta, l’appello di una primaria compagnia telefonica che insisteva nel ritenersi estranea alla soggettività passiva mediata in relazione alla fornitura del servizio di telecomunicazioni.</w:t>
      </w:r>
    </w:p>
    <w:p w14:paraId="4694C430" w14:textId="77777777" w:rsidR="00BE2202" w:rsidRPr="00801F75" w:rsidRDefault="00BE2202" w:rsidP="00BE2202">
      <w:pPr>
        <w:spacing w:line="360" w:lineRule="auto"/>
        <w:ind w:firstLine="708"/>
        <w:contextualSpacing/>
        <w:jc w:val="both"/>
      </w:pPr>
      <w:r>
        <w:t>Si legge nella sentenza:</w:t>
      </w:r>
    </w:p>
    <w:p w14:paraId="54374199" w14:textId="77777777" w:rsidR="00075369" w:rsidRPr="00BE2202" w:rsidRDefault="00000000" w:rsidP="00864A21">
      <w:pPr>
        <w:spacing w:before="40" w:after="40" w:line="360" w:lineRule="auto"/>
        <w:ind w:left="567" w:right="283"/>
        <w:jc w:val="both"/>
        <w:rPr>
          <w:b/>
          <w:bCs/>
        </w:rPr>
      </w:pPr>
      <w:r>
        <w:rPr>
          <w:i/>
          <w:iCs/>
        </w:rPr>
        <w:t>“Si ritiene, soprattutto alla luce della modifica del testo normativo ad opera della legge n. 178/2020, che il legislatore abbia inteso imporre il pagamento del canone de quo a tutti gli operatori che, nell’erogare il servizio di pubblica utilità (quale è quello delle telecomunicazioni), si avvalgono dei cavi e delle strutture del soggetto che è titolare della concessione e che, per il tramite di questo utilizzo (appunto, mediatamente), occupano il suolo pubblico. L’espressione ‘utilizzo materiale’ va inter</w:t>
      </w:r>
      <w:r>
        <w:rPr>
          <w:i/>
          <w:iCs/>
        </w:rPr>
        <w:t xml:space="preserve">pretata come sinonimo di utilizzo che non necessariamente rimanda ad una modificazione della realtà esterna … E poiché è incontestato che l’operatore, attraverso le varie forme di tecnologia descritte in atti, si avvale della rete infrastrutturale di TIM, si ritiene che esso rientri fra i soggetti obbligati contemplati dalla norma”. Tribunale di Treviso n. 240/2025 del 20.02.2025, resa in appello </w:t>
      </w:r>
      <w:r>
        <w:rPr>
          <w:b/>
          <w:bCs/>
          <w:i/>
          <w:iCs/>
        </w:rPr>
        <w:t>(doc. 14).</w:t>
      </w:r>
    </w:p>
    <w:p w14:paraId="66DC7474" w14:textId="77777777" w:rsidR="00075369" w:rsidRDefault="00000000" w:rsidP="00864A21">
      <w:pPr>
        <w:spacing w:line="360" w:lineRule="auto"/>
        <w:ind w:firstLine="567"/>
        <w:jc w:val="both"/>
      </w:pPr>
      <w:r>
        <w:t xml:space="preserve">Il </w:t>
      </w:r>
      <w:r>
        <w:rPr>
          <w:b/>
          <w:bCs/>
        </w:rPr>
        <w:t>Tribunale di PIACENZA</w:t>
      </w:r>
      <w:r>
        <w:t xml:space="preserve">, rigettando l’opposizione di Vodafone, ha posto l’accento sul concetto di occupazione mediata e sulla </w:t>
      </w:r>
      <w:r>
        <w:rPr>
          <w:i/>
          <w:iCs/>
        </w:rPr>
        <w:t>ratio</w:t>
      </w:r>
      <w:r>
        <w:t xml:space="preserve"> della norma di interpretazione autentica, leggendosi in sentenza:</w:t>
      </w:r>
    </w:p>
    <w:p w14:paraId="326C793B" w14:textId="77777777" w:rsidR="00075369" w:rsidRDefault="00EC0A7E" w:rsidP="00EC0A7E">
      <w:pPr>
        <w:spacing w:line="360" w:lineRule="auto"/>
        <w:ind w:firstLine="567"/>
        <w:jc w:val="both"/>
      </w:pPr>
      <w:r>
        <w:rPr>
          <w:i/>
          <w:iCs/>
        </w:rPr>
        <w:t xml:space="preserve">“5. Con l’art. 5, comma 14-quinquies, del D.L. 146/2021, il legislatore ha dettato una norma di interpretazione autentica stabilendo, per quanto qui rileva, che: a) per le occupazioni permanenti di suolo pubblico effettuate nei settori in cui è prevista una separazione, in ragione di assetti normativi, regolamentari o contrattuali, tra i soggetti titolari delle infrastrutture ed i soggetti titolari del contratto di vendita del bene distribuito alla clientela finale, non configurandosi alcuna occupazione in via mediata ed alcun utilizzo materiale delle infrastrutture da parte della società di vendita, il canone è dovuto esclusivamente dal soggetto titolare dell’atto di concessione delle infrastrutture, in base alle utenze delle predette società di vendita. 6. La norma che ha introdotto la c.d. soggettività passiva mediata, letta alla luce dell’intervento di interpretazione autentica, va intesa nel senso che l’esclusione dalla debenza del canone non è generalizzata ma esclusivamente dedicata a quei settori in cui è prevista </w:t>
      </w:r>
      <w:r>
        <w:rPr>
          <w:i/>
          <w:iCs/>
        </w:rPr>
        <w:lastRenderedPageBreak/>
        <w:t xml:space="preserve">una separazione fra i titolari delle infrastrutture ed i titolari del contratto di vendita del bene distribuito alla clientela finale, previsione riferibile a quei settori – come quelli del gas e dell’energia elettrica – in cui la normativa di riferimento impone una netta separazione tra l’attività di distribuzione e quella di vendita, lasciando per il resto inalterata l’originaria previsione. 7. Diversamente argomentando, infatti, non si capirebbe la ragione per cui il legislatore abbia inteso mantenere in vigore la previsione introdotta dalla L. n. 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solo concessionario dell’infrastruttura. 8. 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 9. Per il servizio di telefonia, come quello in esame, l’operatore telefonico non si limita alla mera commercializzazione del servizio ma fa uso, seppur mediato, della rete infrastrutturale di TIM, collegandovisi mediante i sistemi descritti nell’atto di citazione, tra cui la distribuzione BITSTREAM NGA, per cui l’operatore affitta l’intera tratta che va dal PDI alle abitazioni dei clienti, indipendentemente dall’architettura posta “a valle” della centrale (FTTC/FTTH), con il traffico di tutti gli operatori trasportato separato tramite l’uso delle VLAN. 10. Peraltro nel criterio di materialità dell’uso dell’infrastruttura altrui deve intendersi incluso anche quello con modalità virtuale considerata l’evoluzione tecnologica nel campo della telefonia. 11. Ne consegue, da tutto quanto precede, che VODAFONE non possa essere considerata al pari di una mera società di commercializzazione di prodotti telefonici ma, diversamente, vada ritenuta un operatore telefonico che si avvale, nel caso di specie, in via mediata di infrastrutture del concessionario TIM, sì che la stessa rientra nella previsione di cui all’art. 1, comma 831, della L. n. 160/2019, così come modificato dalla L. n. 178/2020, e deve essere ritenuta soggetto passivo ai fini del CUP”. </w:t>
      </w:r>
      <w:r>
        <w:rPr>
          <w:b/>
          <w:bCs/>
          <w:i/>
          <w:iCs/>
        </w:rPr>
        <w:t>Tribunale di Piacenza n. 207 del 06.05.2025</w:t>
      </w:r>
      <w:r>
        <w:rPr>
          <w:i/>
          <w:iCs/>
        </w:rPr>
        <w:t xml:space="preserve"> </w:t>
      </w:r>
      <w:r>
        <w:rPr>
          <w:b/>
          <w:bCs/>
          <w:i/>
          <w:iCs/>
        </w:rPr>
        <w:t>(doc. 15).</w:t>
      </w:r>
    </w:p>
    <w:p w14:paraId="0673A647" w14:textId="77777777" w:rsidR="009C31BA" w:rsidRPr="0019494B" w:rsidRDefault="00000000" w:rsidP="009C31BA">
      <w:pPr>
        <w:spacing w:line="360" w:lineRule="auto"/>
        <w:ind w:firstLine="360"/>
        <w:contextualSpacing/>
        <w:jc w:val="both"/>
        <w:rPr>
          <w:b/>
          <w:bCs/>
          <w:i/>
          <w:iCs/>
        </w:rPr>
      </w:pPr>
      <w:r>
        <w:t xml:space="preserve">Con successiva pronuncia, il </w:t>
      </w:r>
      <w:r>
        <w:rPr>
          <w:b/>
          <w:bCs/>
        </w:rPr>
        <w:t>Tribunale di Piacenza – in funzione di giudice di secondo grado (</w:t>
      </w:r>
      <w:proofErr w:type="spellStart"/>
      <w:r>
        <w:rPr>
          <w:b/>
          <w:bCs/>
        </w:rPr>
        <w:t>sent</w:t>
      </w:r>
      <w:proofErr w:type="spellEnd"/>
      <w:r>
        <w:rPr>
          <w:b/>
          <w:bCs/>
        </w:rPr>
        <w:t>. n. 350 del 16.07.2025, R.G. 1562/2024) (doc. 16)</w:t>
      </w:r>
      <w:r>
        <w:t xml:space="preserve"> – ha confermato in appello il medesimo orientamento, precisando che “l’utilizzo materiale non implica modificazione fisica del suolo e l’occupazione mediata ricorre anche in </w:t>
      </w:r>
      <w:r>
        <w:lastRenderedPageBreak/>
        <w:t xml:space="preserve">caso di utilizzo virtuale e condiviso della rete” e che “la separazione di cui alla norma interpretativa non è configurabile quando il venditore utilizza la rete del concessionario per erogare il servizio” il giudice di appello ha infatti precisato che:” </w:t>
      </w:r>
      <w:r>
        <w:rPr>
          <w:b/>
          <w:bCs/>
          <w:i/>
          <w:iCs/>
        </w:rPr>
        <w:t>Diversamente argomentando, infatti, non si capirebbe la ragione per cui il legislatore abbia inteso mantenere in vigore la previsione introdotta dalla L.n.178/2020, di debenza del canone da parte sia del diretto intestatario dell’infrastruttura che di tutti coloro che anche in via mediata, attraverso l'utilizzo materiale delle infrastrutture del soggetto titolare della concessione ne fanno utilizzazione, accanto a quella di interpretazione autentica che invece riserva la soggettività passiva del canone al s</w:t>
      </w:r>
      <w:r>
        <w:rPr>
          <w:b/>
          <w:bCs/>
          <w:i/>
          <w:iCs/>
        </w:rPr>
        <w:t>olo concessionario dell’infrastruttura.</w:t>
      </w:r>
    </w:p>
    <w:p w14:paraId="1DBE9D1B" w14:textId="77777777" w:rsidR="009C31BA" w:rsidRPr="0019494B" w:rsidRDefault="009C31BA" w:rsidP="009C31BA">
      <w:pPr>
        <w:numPr>
          <w:ilvl w:val="0"/>
          <w:numId w:val="2"/>
        </w:numPr>
        <w:spacing w:line="360" w:lineRule="auto"/>
        <w:contextualSpacing/>
        <w:jc w:val="both"/>
        <w:rPr>
          <w:b/>
          <w:bCs/>
          <w:i/>
          <w:iCs/>
        </w:rPr>
      </w:pPr>
      <w:r>
        <w:rPr>
          <w:b/>
          <w:bCs/>
          <w:i/>
          <w:iCs/>
        </w:rPr>
        <w:t>La ratio della norma di interpretazione autentica, dunque, va ricercata nella peculiare caratteristica del sistema che opera per le imprese di distribuzione del gas e dell’energia elettrica dove le società titolari dei contratti di vendita non utilizzano, neppure in via mediata, la rete di distribuzione della materia prima ai clienti finali limitandosi solamente alla commercializzazione del prodotto</w:t>
      </w:r>
    </w:p>
    <w:p w14:paraId="349DC7D6" w14:textId="77777777" w:rsidR="009C31BA" w:rsidRPr="0019494B" w:rsidRDefault="009C31BA" w:rsidP="009C31BA">
      <w:pPr>
        <w:numPr>
          <w:ilvl w:val="0"/>
          <w:numId w:val="2"/>
        </w:numPr>
        <w:spacing w:line="360" w:lineRule="auto"/>
        <w:contextualSpacing/>
        <w:jc w:val="both"/>
        <w:rPr>
          <w:i/>
          <w:iCs/>
        </w:rPr>
      </w:pPr>
      <w:r>
        <w:rPr>
          <w:i/>
          <w:iCs/>
        </w:rPr>
        <w:t>Per il servizio di telefonia, come quello in esame, l’operatore telefonico non si limita alla mera commercializzazione del servizio ma fa uso, seppur mediato, della rete infrastrutturale di T. collegandovisi mediante i sistemi descritti nell’atto di citazione (cfr. pagg. 7,8,9 dove è descritto il tipo di connessione e le modalità di accesso alla rete come distribuzione BITSTREAM NGA e L’Operatore (V.) “affitta” l’intera tratta che va dal PDI alle abitazioni dei clienti, indipendentemente dall’architettura posta “a valle” della centrale (FTTC).. sia nel caso di FTTC che di FTTH la fibra ottica trasporta il traffico di tutti gli operatori, separato tramite l’uso delle VLAN (Virtual LAN).)</w:t>
      </w:r>
    </w:p>
    <w:p w14:paraId="24082AF8" w14:textId="77777777" w:rsidR="009C31BA" w:rsidRPr="0019494B" w:rsidRDefault="009C31BA" w:rsidP="009C31BA">
      <w:pPr>
        <w:numPr>
          <w:ilvl w:val="0"/>
          <w:numId w:val="2"/>
        </w:numPr>
        <w:spacing w:line="360" w:lineRule="auto"/>
        <w:contextualSpacing/>
        <w:jc w:val="both"/>
        <w:rPr>
          <w:i/>
          <w:iCs/>
        </w:rPr>
      </w:pPr>
      <w:proofErr w:type="gramStart"/>
      <w:r>
        <w:rPr>
          <w:i/>
          <w:iCs/>
        </w:rPr>
        <w:t>Peraltro</w:t>
      </w:r>
      <w:proofErr w:type="gramEnd"/>
      <w:r>
        <w:rPr>
          <w:i/>
          <w:iCs/>
        </w:rPr>
        <w:t xml:space="preserve"> nel criterio di materialità dell’uso dell’infrastruttura altrui deve intendersi incluso anche quello con modalità virtuale considerata l’evoluzione tecnologica nel campo della telefonia.” </w:t>
      </w:r>
    </w:p>
    <w:p w14:paraId="686537D8" w14:textId="77777777" w:rsidR="00075369" w:rsidRDefault="00000000" w:rsidP="00864A21">
      <w:pPr>
        <w:spacing w:line="360" w:lineRule="auto"/>
        <w:ind w:firstLine="567"/>
        <w:jc w:val="both"/>
      </w:pPr>
      <w:r>
        <w:t xml:space="preserve">Ancora, il </w:t>
      </w:r>
      <w:r>
        <w:rPr>
          <w:b/>
          <w:bCs/>
        </w:rPr>
        <w:t>Tribunale di IVREA – in funzione di giudice di secondo grado (</w:t>
      </w:r>
      <w:proofErr w:type="spellStart"/>
      <w:r>
        <w:rPr>
          <w:b/>
          <w:bCs/>
        </w:rPr>
        <w:t>sent</w:t>
      </w:r>
      <w:proofErr w:type="spellEnd"/>
      <w:r>
        <w:rPr>
          <w:b/>
          <w:bCs/>
        </w:rPr>
        <w:t>. 29.09.2025, n. 1255) (doc. 17)</w:t>
      </w:r>
      <w:r>
        <w:t xml:space="preserve"> – ha rigettato l’appello di un primario operatore telefonico, chiarendo che “</w:t>
      </w:r>
      <w:r>
        <w:rPr>
          <w:i/>
          <w:iCs/>
        </w:rPr>
        <w:t>il concetto di utilizzo materiale delle infrastrutture, di cui all’art. 1, comma 831, L. n. 160/2019, non va inteso in senso meramente fisico o strutturale, ma come utilizzo concreto e funzionale, idoneo a produrre un vantaggio economico diretto per l’operatore che eroga il servizio</w:t>
      </w:r>
      <w:r>
        <w:t>”, con la conseguenza che “</w:t>
      </w:r>
      <w:r>
        <w:rPr>
          <w:i/>
          <w:iCs/>
        </w:rPr>
        <w:t xml:space="preserve">l’occupazione mediata del suolo pubblico è ravvisabile anche quando l’operatore accede alle infrastrutture del concessionario mediante sistemi tecnologici quali VULA, </w:t>
      </w:r>
      <w:r>
        <w:rPr>
          <w:i/>
          <w:iCs/>
        </w:rPr>
        <w:lastRenderedPageBreak/>
        <w:t>WS, FTTH OS, risultando irrilevante l’assenza di una materiale posa in opera di nuovi cavi</w:t>
      </w:r>
      <w:r>
        <w:t>”.</w:t>
      </w:r>
    </w:p>
    <w:p w14:paraId="0E1C4BD0" w14:textId="77777777" w:rsidR="009C31BA" w:rsidRPr="00801F75" w:rsidRDefault="00000000" w:rsidP="009C31BA">
      <w:pPr>
        <w:spacing w:line="360" w:lineRule="auto"/>
        <w:ind w:firstLine="709"/>
        <w:contextualSpacing/>
        <w:jc w:val="both"/>
      </w:pPr>
      <w:r>
        <w:t xml:space="preserve">Infine, il </w:t>
      </w:r>
      <w:r>
        <w:rPr>
          <w:b/>
          <w:bCs/>
        </w:rPr>
        <w:t>Tribunale di BOLZANO (</w:t>
      </w:r>
      <w:proofErr w:type="spellStart"/>
      <w:r>
        <w:rPr>
          <w:b/>
          <w:bCs/>
        </w:rPr>
        <w:t>sent</w:t>
      </w:r>
      <w:proofErr w:type="spellEnd"/>
      <w:r>
        <w:rPr>
          <w:b/>
          <w:bCs/>
        </w:rPr>
        <w:t>. 08.04.2024, n. 431) (doc. 18)</w:t>
      </w:r>
      <w:r>
        <w:t xml:space="preserve"> ha chiarito che la separazione rilevante ai fini dell’art. 5, comma 14-quinquies, D.L. 146/2021, riguarda esclusivamente i settori del gas e dell’energia elettrica e ha preso posizione esplicita contro la tesi della separazione per via contrattuale, osservando che tale tesi “</w:t>
      </w:r>
      <w:r>
        <w:rPr>
          <w:i/>
          <w:iCs/>
        </w:rPr>
        <w:t>parte da una premessa errata, confondendo un contratto di accesso o condivisione della rete con una separazione funzionale delle attività che non è rinvenibile nella realtà tecnica e normativa del settore TLC</w:t>
      </w:r>
      <w:r>
        <w:t>”; ha ulteriormente affermato che “</w:t>
      </w:r>
      <w:r>
        <w:rPr>
          <w:i/>
          <w:iCs/>
        </w:rPr>
        <w:t>sono soggetti passivi del canone tutti gli operatori che utilizzano, anche in via mediata, la rete del concessionario</w:t>
      </w:r>
      <w:r>
        <w:t>” e che “</w:t>
      </w:r>
      <w:r>
        <w:rPr>
          <w:i/>
          <w:iCs/>
        </w:rPr>
        <w:t>l’uso materiale dell’infrastruttura non richiede l’installazione fisica di cavi e include anche l’utilizzo virtuale, coerentemente con l’evoluzione tecnologica</w:t>
      </w:r>
      <w:r>
        <w:t>”.</w:t>
      </w:r>
    </w:p>
    <w:p w14:paraId="6E952514" w14:textId="77777777" w:rsidR="007B0B53" w:rsidRPr="00D20535" w:rsidRDefault="00000000" w:rsidP="007B0B53">
      <w:pPr>
        <w:spacing w:line="360" w:lineRule="auto"/>
        <w:ind w:firstLine="709"/>
        <w:jc w:val="both"/>
        <w:rPr>
          <w:rFonts w:eastAsia="Times New Roman"/>
          <w:i/>
          <w:iCs/>
          <w:kern w:val="1"/>
          <w:lang w:eastAsia="ar-SA"/>
        </w:rPr>
      </w:pPr>
      <w:r>
        <w:t xml:space="preserve">Si menziona, anche, la recente sentenza resa dal </w:t>
      </w:r>
      <w:r>
        <w:rPr>
          <w:b/>
          <w:bCs/>
        </w:rPr>
        <w:t>Tribunale di Bolzano n. 908/2025 del 15.10.2025</w:t>
      </w:r>
      <w:r>
        <w:t xml:space="preserve">, che si produce </w:t>
      </w:r>
      <w:r>
        <w:rPr>
          <w:b/>
          <w:bCs/>
        </w:rPr>
        <w:t>(doc. 19)</w:t>
      </w:r>
      <w:r>
        <w:t xml:space="preserve">, che ha precisato: </w:t>
      </w:r>
      <w:r>
        <w:rPr>
          <w:rFonts w:eastAsia="Times New Roman"/>
          <w:i/>
          <w:iCs/>
          <w:kern w:val="1"/>
          <w:lang w:eastAsia="ar-SA"/>
        </w:rPr>
        <w:t xml:space="preserve">“nel settore delle telecomunicazioni, il legislatore non appare aver imposto alcuna separazione, ma anzi, in attuazione delle direttive europee settoriali, ha incentivato la condivisione delle reti (cfr. nella giurisprudenza di questo Tribunale di Bolzano le sentenze </w:t>
      </w:r>
      <w:proofErr w:type="spellStart"/>
      <w:r>
        <w:rPr>
          <w:rFonts w:eastAsia="Times New Roman"/>
          <w:i/>
          <w:iCs/>
          <w:kern w:val="1"/>
          <w:lang w:eastAsia="ar-SA"/>
        </w:rPr>
        <w:t>nn</w:t>
      </w:r>
      <w:proofErr w:type="spellEnd"/>
      <w:r>
        <w:rPr>
          <w:rFonts w:eastAsia="Times New Roman"/>
          <w:i/>
          <w:iCs/>
          <w:kern w:val="1"/>
          <w:lang w:eastAsia="ar-SA"/>
        </w:rPr>
        <w:t>. 431 e 649/2024).</w:t>
      </w:r>
    </w:p>
    <w:p w14:paraId="6ABC6B25" w14:textId="77777777" w:rsidR="007B0B53" w:rsidRPr="00D20535" w:rsidRDefault="007B0B53" w:rsidP="007B0B53">
      <w:pPr>
        <w:spacing w:line="360" w:lineRule="auto"/>
        <w:ind w:firstLine="709"/>
        <w:jc w:val="both"/>
        <w:rPr>
          <w:rFonts w:eastAsia="Times New Roman"/>
          <w:kern w:val="1"/>
          <w:lang w:eastAsia="ar-SA"/>
        </w:rPr>
      </w:pPr>
      <w:r>
        <w:rPr>
          <w:rFonts w:eastAsia="Times New Roman"/>
          <w:i/>
          <w:iCs/>
          <w:kern w:val="1"/>
          <w:lang w:eastAsia="ar-SA"/>
        </w:rPr>
        <w:t>È, infatti, la natura stessa dell'infrastruttura ad esigere una compresenza di più operatori, che agiscono sulla stessa rete del concessionario, il quale, a sua volta, utilizza l'infrastruttura assieme ai propri ... Quindi, per la particolarità della fattispecie, il concetto della “separazione” deve ritenersi applicabile a casistiche differenti rispetto a quella di cui è causa, come i settori del gas e dell’energia elettrica</w:t>
      </w:r>
      <w:r>
        <w:rPr>
          <w:rFonts w:eastAsia="Times New Roman"/>
          <w:kern w:val="1"/>
          <w:lang w:eastAsia="ar-SA"/>
        </w:rPr>
        <w:t>."</w:t>
      </w:r>
    </w:p>
    <w:p w14:paraId="59676672" w14:textId="77777777" w:rsidR="00075369" w:rsidRDefault="00000000" w:rsidP="00864A21">
      <w:pPr>
        <w:spacing w:line="360" w:lineRule="auto"/>
        <w:ind w:firstLine="567"/>
        <w:jc w:val="both"/>
      </w:pPr>
      <w:r>
        <w:t>Tale orientamento risulta peraltro confermato da una nutrita e costante giurisprudenza di merito, tra cui:</w:t>
      </w:r>
    </w:p>
    <w:p w14:paraId="6ED214DA" w14:textId="77777777" w:rsidR="007B0B53" w:rsidRPr="00D20535" w:rsidRDefault="007B0B53" w:rsidP="007B0B53">
      <w:pPr>
        <w:spacing w:line="360" w:lineRule="auto"/>
        <w:ind w:firstLine="709"/>
        <w:jc w:val="both"/>
        <w:rPr>
          <w:rFonts w:eastAsia="Times New Roman"/>
          <w:kern w:val="1"/>
          <w:lang w:eastAsia="ar-SA"/>
        </w:rPr>
      </w:pPr>
      <w:r>
        <w:rPr>
          <w:rFonts w:eastAsia="Times New Roman"/>
          <w:kern w:val="1"/>
          <w:lang w:eastAsia="ar-SA"/>
        </w:rPr>
        <w:t>- Tribunale di Bolzano Sentenza N. 431/2024</w:t>
      </w:r>
    </w:p>
    <w:p w14:paraId="0C76EF8D" w14:textId="77777777" w:rsidR="007B0B53" w:rsidRPr="00D20535" w:rsidRDefault="007B0B53" w:rsidP="007B0B53">
      <w:pPr>
        <w:spacing w:line="360" w:lineRule="auto"/>
        <w:ind w:firstLine="709"/>
        <w:jc w:val="both"/>
        <w:rPr>
          <w:rFonts w:eastAsia="Times New Roman"/>
          <w:kern w:val="1"/>
          <w:lang w:eastAsia="ar-SA"/>
        </w:rPr>
      </w:pPr>
      <w:bookmarkStart w:id="0" w:name="m_4538845636176179816_m_-648566957053672"/>
      <w:r>
        <w:rPr>
          <w:rFonts w:eastAsia="Times New Roman"/>
          <w:kern w:val="1"/>
          <w:lang w:eastAsia="ar-SA"/>
        </w:rPr>
        <w:t>- Tribunale di Bolzano Sentenza N. 649/2024</w:t>
      </w:r>
      <w:bookmarkEnd w:id="0"/>
    </w:p>
    <w:p w14:paraId="49D0AD8B" w14:textId="77777777" w:rsidR="007B0B53" w:rsidRPr="00D20535" w:rsidRDefault="007B0B53" w:rsidP="007B0B53">
      <w:pPr>
        <w:spacing w:line="360" w:lineRule="auto"/>
        <w:ind w:firstLine="709"/>
        <w:jc w:val="both"/>
        <w:rPr>
          <w:rFonts w:eastAsia="Times New Roman"/>
          <w:kern w:val="1"/>
          <w:lang w:eastAsia="ar-SA"/>
        </w:rPr>
      </w:pPr>
      <w:r>
        <w:rPr>
          <w:rFonts w:eastAsia="Times New Roman"/>
          <w:kern w:val="1"/>
          <w:lang w:eastAsia="ar-SA"/>
        </w:rPr>
        <w:t>- Tribunale di Padova Sentenza N. 1341/2024</w:t>
      </w:r>
    </w:p>
    <w:p w14:paraId="659E859C"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1409/2023</w:t>
      </w:r>
    </w:p>
    <w:p w14:paraId="0D78A2E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1410/2023</w:t>
      </w:r>
    </w:p>
    <w:p w14:paraId="680DC9E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1407/2023</w:t>
      </w:r>
    </w:p>
    <w:p w14:paraId="7407DB9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1411/2023</w:t>
      </w:r>
    </w:p>
    <w:p w14:paraId="6C810C6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1414/2023</w:t>
      </w:r>
    </w:p>
    <w:p w14:paraId="2DC664C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167/2024</w:t>
      </w:r>
    </w:p>
    <w:p w14:paraId="2F14DC2B"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Sentenza N. 168/2024</w:t>
      </w:r>
    </w:p>
    <w:p w14:paraId="4E4F281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lastRenderedPageBreak/>
        <w:t>- Giudice di Pace di Treviso Sentenza N. 294/2024</w:t>
      </w:r>
    </w:p>
    <w:p w14:paraId="4DC2360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5618/2023</w:t>
      </w:r>
    </w:p>
    <w:p w14:paraId="2EA06AF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5744/2023</w:t>
      </w:r>
    </w:p>
    <w:p w14:paraId="5B334756"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Treviso RG 5434/2023</w:t>
      </w:r>
    </w:p>
    <w:p w14:paraId="5944996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1511/2023</w:t>
      </w:r>
    </w:p>
    <w:p w14:paraId="37BD616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1550/2023</w:t>
      </w:r>
    </w:p>
    <w:p w14:paraId="774F731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454/2024</w:t>
      </w:r>
    </w:p>
    <w:p w14:paraId="3DFFAADA"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6795/2024</w:t>
      </w:r>
    </w:p>
    <w:p w14:paraId="144A312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Sentenza N. 1058/2024</w:t>
      </w:r>
    </w:p>
    <w:p w14:paraId="7D4C9BB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5385/2023</w:t>
      </w:r>
    </w:p>
    <w:p w14:paraId="7EFE2FD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Padova RG 4099/2023</w:t>
      </w:r>
    </w:p>
    <w:p w14:paraId="787F2BA4"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665/2023</w:t>
      </w:r>
    </w:p>
    <w:p w14:paraId="41BA243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666/2023</w:t>
      </w:r>
    </w:p>
    <w:p w14:paraId="1D0D4D7F"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5588/2023</w:t>
      </w:r>
    </w:p>
    <w:p w14:paraId="2262B4FD"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RG 5949/2023</w:t>
      </w:r>
    </w:p>
    <w:p w14:paraId="3FC61C10"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Rovigo Sentenza N. 219/2024</w:t>
      </w:r>
    </w:p>
    <w:p w14:paraId="2E2F5699"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Viterbo RG 1716/2023</w:t>
      </w:r>
    </w:p>
    <w:p w14:paraId="6919FBAE"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Ancona Sentenza N. 80/2024</w:t>
      </w:r>
    </w:p>
    <w:p w14:paraId="24D922B8"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Monza RG 6910/2023</w:t>
      </w:r>
    </w:p>
    <w:p w14:paraId="3915C4E3" w14:textId="77777777" w:rsidR="007B0B53" w:rsidRPr="00D20535" w:rsidRDefault="007B0B53" w:rsidP="007B0B53">
      <w:pPr>
        <w:shd w:val="clear" w:color="auto" w:fill="FFFFFF"/>
        <w:spacing w:line="360" w:lineRule="auto"/>
        <w:ind w:firstLine="709"/>
        <w:jc w:val="both"/>
        <w:rPr>
          <w:rFonts w:eastAsia="Times New Roman"/>
          <w:kern w:val="1"/>
          <w:lang w:eastAsia="ar-SA"/>
        </w:rPr>
      </w:pPr>
      <w:r>
        <w:rPr>
          <w:rFonts w:eastAsia="Times New Roman"/>
          <w:kern w:val="1"/>
          <w:lang w:eastAsia="ar-SA"/>
        </w:rPr>
        <w:t>- Giudice di Pace di Portoferraio Sentenza N. 17/2024</w:t>
      </w:r>
    </w:p>
    <w:p w14:paraId="132EFC5A"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Parma RG 3192/2023</w:t>
      </w:r>
    </w:p>
    <w:p w14:paraId="0C93D1E7"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Novara Sentenza N. 4824/2023</w:t>
      </w:r>
    </w:p>
    <w:p w14:paraId="1DE85027"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Lanciano RG 639/2023</w:t>
      </w:r>
    </w:p>
    <w:p w14:paraId="7457BBB6"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Ivrea RG 2842/2023</w:t>
      </w:r>
    </w:p>
    <w:p w14:paraId="64C92343"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Sondrio Sentenza N. 117/2024</w:t>
      </w:r>
    </w:p>
    <w:p w14:paraId="135A9BC8" w14:textId="77777777" w:rsidR="007B0B53" w:rsidRPr="00D20535" w:rsidRDefault="007B0B53" w:rsidP="007B0B53">
      <w:pPr>
        <w:shd w:val="clear" w:color="auto" w:fill="FFFFFF"/>
        <w:spacing w:line="360" w:lineRule="auto"/>
        <w:ind w:firstLine="709"/>
        <w:jc w:val="both"/>
        <w:rPr>
          <w:rFonts w:eastAsia="Calibri"/>
        </w:rPr>
      </w:pPr>
      <w:r>
        <w:rPr>
          <w:rFonts w:eastAsia="Calibri"/>
        </w:rPr>
        <w:t>- Giudice di Pace di Belluno RG 1263/2023</w:t>
      </w:r>
    </w:p>
    <w:p w14:paraId="1617045A" w14:textId="77777777" w:rsidR="00075369" w:rsidRDefault="00000000" w:rsidP="00864A21">
      <w:pPr>
        <w:spacing w:line="360" w:lineRule="auto"/>
        <w:ind w:firstLine="567"/>
        <w:jc w:val="both"/>
      </w:pPr>
      <w:r>
        <w:t xml:space="preserve">Il quadro giurisprudenziale sopra richiamato, formatosi anche specificamente nei confronti di FASTWEB S.p.A. e </w:t>
      </w:r>
      <w:r>
        <w:rPr>
          <w:b/>
          <w:bCs/>
        </w:rPr>
        <w:t>definitivamente confermato dalla Suprema Corte di Cassazione con la citata sentenza n. 11479/2026</w:t>
      </w:r>
      <w:r>
        <w:t>, depone univocamente nel senso della piena soggettività passiva mediata degli operatori di telecomunicazioni che si avvalgono delle infrastrutture altrui.</w:t>
      </w:r>
    </w:p>
    <w:p w14:paraId="0C0EA91F" w14:textId="77777777" w:rsidR="00075369" w:rsidRPr="00F4102F" w:rsidRDefault="00000000" w:rsidP="00864A21">
      <w:pPr>
        <w:spacing w:line="360" w:lineRule="auto"/>
        <w:ind w:firstLine="567"/>
        <w:jc w:val="both"/>
        <w:rPr>
          <w:u w:val="single"/>
        </w:rPr>
      </w:pPr>
      <w:r w:rsidRPr="00F4102F">
        <w:rPr>
          <w:u w:val="single"/>
        </w:rPr>
        <w:t xml:space="preserve">Da quanto precede discende, altresì, l’infondatezza della richiesta di disapplicazione dell’art. 54 del Regolamento comunale approvato con Deliberazione del Consiglio Comunale n. 18 del 15.04.2021: la previsione regolamentare, nell’individuare i soggetti passivi del canone, si limita a recepire il disposto dell’art. 1, comma 831, L. n. 160/2019, nella lettura fatta propria dalla giurisprudenza di legittimità </w:t>
      </w:r>
      <w:r w:rsidRPr="00F4102F">
        <w:rPr>
          <w:u w:val="single"/>
        </w:rPr>
        <w:lastRenderedPageBreak/>
        <w:t>e di merito sopra richiamata, sicché nessun contrasto è ravvisabile con la norma di interpretazione autentica, inapplicabile – come detto – al settore delle telecomunicazioni.</w:t>
      </w:r>
    </w:p>
    <w:p w14:paraId="297AB51F" w14:textId="77777777" w:rsidR="00075369" w:rsidRDefault="00000000" w:rsidP="00864A21">
      <w:pPr>
        <w:spacing w:before="240" w:after="120" w:line="360" w:lineRule="auto"/>
        <w:jc w:val="both"/>
      </w:pPr>
      <w:r>
        <w:rPr>
          <w:b/>
          <w:bCs/>
        </w:rPr>
        <w:t>IV) Sulla pretesa “Illegittimità e infondatezza dell’avviso di accertamento” in punto di determinazione induttiva del canone. Infondatezza.</w:t>
      </w:r>
    </w:p>
    <w:p w14:paraId="2516C730" w14:textId="77777777" w:rsidR="00DA1976" w:rsidRDefault="00000000" w:rsidP="00864A21">
      <w:pPr>
        <w:spacing w:line="360" w:lineRule="auto"/>
        <w:ind w:firstLine="567"/>
        <w:jc w:val="both"/>
      </w:pPr>
      <w:r>
        <w:t xml:space="preserve">Con l’ultimo motivo di ricorso la società sostiene che il Comune non avrebbe potuto determinare induttivamente il canone, avendo essa dichiarato, per ciascuna annualità, il numero delle utenze attive servite mediante infrastrutture proprie, e che l’importo dovuto non potrebbe comunque eccedere quello corrispondente alle utenze dichiarate. </w:t>
      </w:r>
    </w:p>
    <w:p w14:paraId="63833C34" w14:textId="7824567C" w:rsidR="00075369" w:rsidRDefault="00000000" w:rsidP="00864A21">
      <w:pPr>
        <w:spacing w:line="360" w:lineRule="auto"/>
        <w:ind w:firstLine="567"/>
        <w:jc w:val="both"/>
      </w:pPr>
      <w:r>
        <w:t>Anche tale motivo è infondato.</w:t>
      </w:r>
    </w:p>
    <w:p w14:paraId="128E686D" w14:textId="77777777" w:rsidR="00DA1976" w:rsidRDefault="00000000" w:rsidP="00864A21">
      <w:pPr>
        <w:spacing w:line="360" w:lineRule="auto"/>
        <w:ind w:firstLine="567"/>
        <w:jc w:val="both"/>
      </w:pPr>
      <w:r>
        <w:t xml:space="preserve">Come dimostrato al </w:t>
      </w:r>
      <w:r w:rsidR="00DA1976">
        <w:t>precedente</w:t>
      </w:r>
      <w:r>
        <w:t xml:space="preserve"> motivo III, la soggettività passiva della società non è limitata alle utenze servite mediante infrastrutture proprie, ma si estende – ai sensi dell’art. 1, comma 831, L. n. 160/2019 – a tutte le utenze servite nel territorio comunale, ivi comprese quelle raggiunte attraverso l’utilizzo, in via mediata, delle infrastrutture di altri operatori. </w:t>
      </w:r>
    </w:p>
    <w:p w14:paraId="3CA97DD8" w14:textId="74699BE4" w:rsidR="00075369" w:rsidRDefault="00000000" w:rsidP="00864A21">
      <w:pPr>
        <w:spacing w:line="360" w:lineRule="auto"/>
        <w:ind w:firstLine="567"/>
        <w:jc w:val="both"/>
      </w:pPr>
      <w:r>
        <w:t>Ne consegue che le dichiarazioni rese dalla società, in quanto deliberatamente riferite – per sua stessa ammissione – alle sole utenze servite mediante infrastrutture proprie, erano strutturalmente parziali e inidonee a rappresentare l’effettiva base di calcolo del canone: rispetto a tutte le utenze servite in via mediata, la dichiarazione è stata, semplicemente, omessa.</w:t>
      </w:r>
    </w:p>
    <w:p w14:paraId="6FD63E41" w14:textId="77777777" w:rsidR="00DA1976" w:rsidRDefault="00000000" w:rsidP="00864A21">
      <w:pPr>
        <w:spacing w:line="360" w:lineRule="auto"/>
        <w:ind w:firstLine="567"/>
        <w:jc w:val="both"/>
      </w:pPr>
      <w:r>
        <w:t>In presenza di una dichiarazione omessa o comunque inattendibile perché parziale</w:t>
      </w:r>
      <w:r>
        <w:t xml:space="preserve"> e a fronte del mancato riscontro alla richiesta trasmessa il 23 febbraio 2026 (doc. 6), il ricorso alla determinazione induttiva del numero delle utenze è pienamente legittimo. </w:t>
      </w:r>
    </w:p>
    <w:p w14:paraId="4D4D90F9" w14:textId="111F10DA" w:rsidR="00075369" w:rsidRDefault="00000000" w:rsidP="00864A21">
      <w:pPr>
        <w:spacing w:line="360" w:lineRule="auto"/>
        <w:ind w:firstLine="567"/>
        <w:jc w:val="both"/>
      </w:pPr>
      <w:r>
        <w:t xml:space="preserve">Il metodo seguito dall’Ente – fondato sulle risultanze di Punto Fisco, confermate dai dati nazionali dell’Osservatorio sulle Comunicazioni AGCOM, con applicazione delle quote di mercato della società quale gestore di telefonia fissa, espressamente indicate nell’atto per ciascuna annualità – costituisce criterio oggettivo, trasparente e verificabile, ancorato a fonti pubbliche e ufficiali, a fronte del quale la ricorrente non ha offerto alcun elemento probatorio contrario, essendosi limitata a riproporre le </w:t>
      </w:r>
      <w:r>
        <w:t>dichiarazioni parziali di cui si è detto.</w:t>
      </w:r>
    </w:p>
    <w:p w14:paraId="73A49423" w14:textId="596C47B7" w:rsidR="0054560C" w:rsidRPr="00DA1976" w:rsidRDefault="0054560C" w:rsidP="0054560C">
      <w:pPr>
        <w:spacing w:line="360" w:lineRule="auto"/>
        <w:ind w:firstLine="708"/>
        <w:jc w:val="both"/>
        <w:rPr>
          <w:u w:val="single"/>
        </w:rPr>
      </w:pPr>
      <w:r>
        <w:t xml:space="preserve">La piena legittimità di tale modalità ricostruttiva è stata di recente affermata dal </w:t>
      </w:r>
      <w:r w:rsidRPr="00DA1976">
        <w:rPr>
          <w:b/>
          <w:bCs/>
        </w:rPr>
        <w:t>Tribunale di Napoli con la citata sentenza n. 5948 del 13.04.2026</w:t>
      </w:r>
      <w:r w:rsidR="00C000A2" w:rsidRPr="00DA1976">
        <w:rPr>
          <w:b/>
          <w:bCs/>
        </w:rPr>
        <w:t xml:space="preserve"> (doc.13)</w:t>
      </w:r>
      <w:r w:rsidRPr="00DA1976">
        <w:rPr>
          <w:b/>
          <w:bCs/>
        </w:rPr>
        <w:t>,</w:t>
      </w:r>
      <w:r>
        <w:t xml:space="preserve"> resa nei confronti di Wind Tre, secondo cui </w:t>
      </w:r>
      <w:r>
        <w:rPr>
          <w:i/>
          <w:iCs/>
        </w:rPr>
        <w:t>“</w:t>
      </w:r>
      <w:r w:rsidRPr="00DA1976">
        <w:rPr>
          <w:i/>
          <w:iCs/>
          <w:u w:val="single"/>
        </w:rPr>
        <w:t xml:space="preserve">il ricorso a criteri presuntivi fondati su dati </w:t>
      </w:r>
      <w:r w:rsidRPr="00DA1976">
        <w:rPr>
          <w:i/>
          <w:iCs/>
          <w:u w:val="single"/>
        </w:rPr>
        <w:lastRenderedPageBreak/>
        <w:t>AGCOM, rapportati alla popolazione residente e alle quote di mercato, costituisce una legittima modalità ricostruttiva del presupposto impositivo, conforme ai principi generali in materia di entrate patrimoniali e in ogni caso giustificata dalla mancata collaborazione del contribuente. Non può, pertanto, invocarsi a proprio vantaggio una situazione di incertezza determinata dalla stessa condotta dell’operatore”</w:t>
      </w:r>
      <w:r w:rsidRPr="00DA1976">
        <w:rPr>
          <w:u w:val="single"/>
        </w:rPr>
        <w:t>.</w:t>
      </w:r>
    </w:p>
    <w:p w14:paraId="33BF8191" w14:textId="77777777" w:rsidR="00075369" w:rsidRDefault="00000000" w:rsidP="00864A21">
      <w:pPr>
        <w:spacing w:line="360" w:lineRule="auto"/>
        <w:ind w:firstLine="567"/>
        <w:jc w:val="both"/>
      </w:pPr>
      <w:r>
        <w:t>Va, infine, evidenziato un dato dirimente: per le annualità 2021 e 2022 la società non ha eseguito alcun versamento, neppure nella misura corrispondente alle utenze dichiarate. Né la richiesta di trasmissione dei bollettini PagoPA, formulata con il riscontro del 12 novembre 2025 (doc. 4), vale a escludere o attenuare l’inadempimento: l’obbligo di versamento del canone, alla scadenza del 30 aprile di ciascun anno, grava sul soggetto passivo indipendentemente da qualsivoglia sollecitazione dell’Ente, sicché l</w:t>
      </w:r>
      <w:r>
        <w:t xml:space="preserve">a società ben avrebbe potuto e dovuto attivarsi tempestivamente per il pagamento. Quanto alle annualità 2023, 2024 e 2025, il versamento eseguito è solo parziale rispetto al dovuto: e il versamento parziale non equivale </w:t>
      </w:r>
      <w:proofErr w:type="gramStart"/>
      <w:r>
        <w:t>ad</w:t>
      </w:r>
      <w:proofErr w:type="gramEnd"/>
      <w:r>
        <w:t xml:space="preserve"> adempimento, permanendo integro il potere-dovere dell’Ente di accertare e riscuotere la differenza, con applicazione delle sanzioni e degli interessi di legge.</w:t>
      </w:r>
    </w:p>
    <w:p w14:paraId="54DA5ABC" w14:textId="77777777" w:rsidR="00075369" w:rsidRDefault="00297AFD" w:rsidP="00864A21">
      <w:pPr>
        <w:spacing w:line="360" w:lineRule="auto"/>
        <w:ind w:firstLine="567"/>
        <w:jc w:val="both"/>
      </w:pPr>
      <w:r>
        <w:rPr>
          <w:b/>
          <w:bCs/>
        </w:rPr>
        <w:t>Il ricorso è infondato e va rigettato.</w:t>
      </w:r>
    </w:p>
    <w:p w14:paraId="57D7CDF0" w14:textId="77777777" w:rsidR="00075369" w:rsidRDefault="00000000" w:rsidP="00864A21">
      <w:pPr>
        <w:spacing w:before="120" w:after="120" w:line="360" w:lineRule="auto"/>
        <w:jc w:val="center"/>
      </w:pPr>
      <w:r>
        <w:t>* * *</w:t>
      </w:r>
    </w:p>
    <w:p w14:paraId="0D0462C2" w14:textId="77777777" w:rsidR="00075369" w:rsidRDefault="00000000" w:rsidP="00864A21">
      <w:pPr>
        <w:spacing w:line="360" w:lineRule="auto"/>
        <w:ind w:firstLine="567"/>
        <w:jc w:val="both"/>
      </w:pPr>
      <w:r>
        <w:t>Per tutto quanto sopra esposto, il Comune di Cinisello Balsamo, in persona del Sindaco e legale rappresentante pro tempore, come in epigrafe rappresentato e domiciliato, con espressa riserva di ogni integrazione, anche istruttoria, che dovesse rendersi necessaria,</w:t>
      </w:r>
    </w:p>
    <w:p w14:paraId="7C4D5589" w14:textId="77777777" w:rsidR="00075369" w:rsidRDefault="00000000" w:rsidP="00864A21">
      <w:pPr>
        <w:spacing w:before="60" w:after="60" w:line="360" w:lineRule="auto"/>
        <w:jc w:val="center"/>
      </w:pPr>
      <w:r>
        <w:rPr>
          <w:b/>
          <w:bCs/>
        </w:rPr>
        <w:t>conclude</w:t>
      </w:r>
    </w:p>
    <w:p w14:paraId="3DD7574A" w14:textId="77777777" w:rsidR="00075369" w:rsidRDefault="00000000" w:rsidP="00864A21">
      <w:pPr>
        <w:spacing w:line="360" w:lineRule="auto"/>
        <w:ind w:firstLine="567"/>
        <w:jc w:val="both"/>
      </w:pPr>
      <w:r>
        <w:t>affinché l’Ill.ma Corte di Giustizia Tributaria di Primo Grado di Milano, disattesa ogni contraria istanza ed eccezione, voglia:</w:t>
      </w:r>
    </w:p>
    <w:p w14:paraId="093C88BA" w14:textId="77777777" w:rsidR="00075369" w:rsidRDefault="00000000" w:rsidP="00864A21">
      <w:pPr>
        <w:spacing w:line="360" w:lineRule="auto"/>
        <w:ind w:firstLine="567"/>
        <w:jc w:val="both"/>
      </w:pPr>
      <w:r>
        <w:rPr>
          <w:b/>
          <w:bCs/>
        </w:rPr>
        <w:t>rigettare il ricorso proposto</w:t>
      </w:r>
      <w:r>
        <w:t>, confermando la legittimità della pretesa dell’Ente con ogni conseguenziale statuizione di legge.</w:t>
      </w:r>
    </w:p>
    <w:p w14:paraId="72560F0D" w14:textId="77777777" w:rsidR="00075369" w:rsidRDefault="00000000" w:rsidP="00864A21">
      <w:pPr>
        <w:spacing w:line="360" w:lineRule="auto"/>
        <w:ind w:firstLine="567"/>
        <w:jc w:val="both"/>
      </w:pPr>
      <w:r>
        <w:t>In via gradata, rideterminare il Canone e la sanzione nella misura che risulterà a seguito dell’eventuale fase istruttoria sulla base delle prove offerte dal ricorrente.</w:t>
      </w:r>
    </w:p>
    <w:p w14:paraId="6A8C4A80" w14:textId="77777777" w:rsidR="00075369" w:rsidRDefault="00000000" w:rsidP="00864A21">
      <w:pPr>
        <w:spacing w:line="360" w:lineRule="auto"/>
        <w:ind w:firstLine="567"/>
        <w:jc w:val="both"/>
      </w:pPr>
      <w:r>
        <w:t>Con vittoria di spese e competenze di giudizio.</w:t>
      </w:r>
    </w:p>
    <w:p w14:paraId="2312F62E" w14:textId="77777777" w:rsidR="00075369" w:rsidRDefault="00000000" w:rsidP="00864A21">
      <w:pPr>
        <w:spacing w:before="60" w:line="360" w:lineRule="auto"/>
        <w:ind w:firstLine="567"/>
        <w:jc w:val="both"/>
      </w:pPr>
      <w:r>
        <w:t>Si chiede di essere autorizzati alla trattazione della controversia con collegamento da remoto.</w:t>
      </w:r>
    </w:p>
    <w:p w14:paraId="297B08D8" w14:textId="77777777" w:rsidR="00075369" w:rsidRDefault="00000000" w:rsidP="00864A21">
      <w:pPr>
        <w:spacing w:before="40" w:line="360" w:lineRule="auto"/>
        <w:ind w:firstLine="567"/>
        <w:jc w:val="both"/>
      </w:pPr>
      <w:r>
        <w:t>Con ogni riserva.</w:t>
      </w:r>
    </w:p>
    <w:p w14:paraId="700F20E8" w14:textId="77777777" w:rsidR="00740A4B" w:rsidRPr="00741779" w:rsidRDefault="00000000" w:rsidP="00741779">
      <w:pPr>
        <w:spacing w:before="120" w:after="120" w:line="360" w:lineRule="auto"/>
        <w:jc w:val="center"/>
      </w:pPr>
      <w:r>
        <w:t>* * *</w:t>
      </w:r>
    </w:p>
    <w:p w14:paraId="14B38D2E" w14:textId="77777777" w:rsidR="00075369" w:rsidRDefault="00000000" w:rsidP="003B1A28">
      <w:pPr>
        <w:spacing w:before="240" w:after="120" w:line="360" w:lineRule="auto"/>
        <w:jc w:val="center"/>
      </w:pPr>
      <w:r>
        <w:rPr>
          <w:b/>
          <w:bCs/>
        </w:rPr>
        <w:lastRenderedPageBreak/>
        <w:t>Attestazione conformità degli atti depositati</w:t>
      </w:r>
    </w:p>
    <w:p w14:paraId="473BD682" w14:textId="30F19697" w:rsidR="00075369" w:rsidRDefault="00000000" w:rsidP="00864A21">
      <w:pPr>
        <w:spacing w:line="360" w:lineRule="auto"/>
        <w:jc w:val="both"/>
      </w:pPr>
      <w:r>
        <w:t xml:space="preserve">Io sottoscritta </w:t>
      </w:r>
      <w:r w:rsidR="00DA1976">
        <w:t>…………</w:t>
      </w:r>
      <w:proofErr w:type="gramStart"/>
      <w:r w:rsidR="00DA1976">
        <w:t>…….</w:t>
      </w:r>
      <w:proofErr w:type="gramEnd"/>
      <w:r w:rsidR="00DA1976">
        <w:t>.</w:t>
      </w:r>
      <w:r>
        <w:t xml:space="preserve"> (c.f. </w:t>
      </w:r>
      <w:r w:rsidR="00DA1976">
        <w:t>……………………</w:t>
      </w:r>
      <w:r>
        <w:t>), in qualità di difensore nominato nel presente procedimento, attesto, ai sensi dell’art. 22, co. 2, d.lgs. 82/2005, la conformità con gli originali delle copie per immagine dei seguenti documenti depositati:</w:t>
      </w:r>
    </w:p>
    <w:p w14:paraId="059399CD" w14:textId="77777777" w:rsidR="00075369" w:rsidRDefault="00000000" w:rsidP="00864A21">
      <w:pPr>
        <w:spacing w:line="360" w:lineRule="auto"/>
        <w:jc w:val="both"/>
      </w:pPr>
      <w:r>
        <w:rPr>
          <w:b/>
          <w:bCs/>
        </w:rPr>
        <w:t xml:space="preserve">Doc. A – </w:t>
      </w:r>
      <w:r>
        <w:t>Ricorso di FASTWEB S.p.A., quale incorporante di VODAFONE ITALIA S.p.A. (atto introduttivo del giudizio)</w:t>
      </w:r>
    </w:p>
    <w:p w14:paraId="6DF02215" w14:textId="77777777" w:rsidR="00075369" w:rsidRDefault="00000000" w:rsidP="00864A21">
      <w:pPr>
        <w:spacing w:line="360" w:lineRule="auto"/>
        <w:jc w:val="both"/>
      </w:pPr>
      <w:r>
        <w:t>Doc. 1 – Regolamento CUP (Delibera C.C. n. 18 del 15.04.2021, come modificata ed integrata con Delibera C.C. n. 24 del 23.05.2022)</w:t>
      </w:r>
    </w:p>
    <w:p w14:paraId="30586CCD" w14:textId="77777777" w:rsidR="00075369" w:rsidRDefault="00000000" w:rsidP="00864A21">
      <w:pPr>
        <w:spacing w:line="360" w:lineRule="auto"/>
        <w:jc w:val="both"/>
      </w:pPr>
      <w:r>
        <w:t>Doc. 2 – Determinazione di affidamento servizio di supporto ad Archivia Solution S.p.A. n. 709 dell’11.06.2025</w:t>
      </w:r>
    </w:p>
    <w:p w14:paraId="4B52C0F9" w14:textId="77777777" w:rsidR="00075369" w:rsidRDefault="00000000" w:rsidP="00864A21">
      <w:pPr>
        <w:spacing w:line="360" w:lineRule="auto"/>
        <w:jc w:val="both"/>
      </w:pPr>
      <w:r>
        <w:t>Doc. 3 – Richiesta di dichiarazione utenze dell’11 novembre 2025 (Archivia Solution S.p.A.), con ricevute di accettazione e consegna PEC</w:t>
      </w:r>
    </w:p>
    <w:p w14:paraId="40C1FBC1" w14:textId="77777777" w:rsidR="00075369" w:rsidRDefault="00000000" w:rsidP="00864A21">
      <w:pPr>
        <w:spacing w:line="360" w:lineRule="auto"/>
        <w:jc w:val="both"/>
      </w:pPr>
      <w:r>
        <w:t>Doc. 4 – Riscontro di VODAFONE ITALIA S.p.A. del 12 novembre 2025, con relativi allegati</w:t>
      </w:r>
    </w:p>
    <w:p w14:paraId="6CE3F925" w14:textId="77777777" w:rsidR="00075369" w:rsidRDefault="00000000" w:rsidP="00864A21">
      <w:pPr>
        <w:spacing w:line="360" w:lineRule="auto"/>
        <w:jc w:val="both"/>
      </w:pPr>
      <w:r>
        <w:t>Doc. 5 – Determinazione di affidamento servizio di supporto ad Archivia Solution S.p.A. n. 152 del 17.02.2026</w:t>
      </w:r>
    </w:p>
    <w:p w14:paraId="00D9FF13" w14:textId="77777777" w:rsidR="00075369" w:rsidRDefault="00000000" w:rsidP="00864A21">
      <w:pPr>
        <w:spacing w:line="360" w:lineRule="auto"/>
        <w:jc w:val="both"/>
      </w:pPr>
      <w:r>
        <w:t>Doc. 6 – Richiesta di dichiarazione utenze del 23 febbraio 2026 (Archivia Solution S.p.A. a FASTWEB S.p.A. quale incorporante di VODAFONE ITALIA S.p.A.), con ricevute di accettazione e consegna PEC</w:t>
      </w:r>
    </w:p>
    <w:p w14:paraId="461B2E7B" w14:textId="77777777" w:rsidR="00075369" w:rsidRDefault="00000000" w:rsidP="00864A21">
      <w:pPr>
        <w:spacing w:line="360" w:lineRule="auto"/>
        <w:jc w:val="both"/>
      </w:pPr>
      <w:r>
        <w:t>Doc. 7 – Avviso di Accertamento Esecutivo n. 16 del 05.03.2026 (FASTWEB S.p.A. quale incorporante di VODAFONE ITALIA S.p.A.)</w:t>
      </w:r>
    </w:p>
    <w:p w14:paraId="1BD2EF77" w14:textId="77777777" w:rsidR="00075369" w:rsidRDefault="00000000" w:rsidP="00864A21">
      <w:pPr>
        <w:spacing w:line="360" w:lineRule="auto"/>
        <w:jc w:val="both"/>
      </w:pPr>
      <w:r>
        <w:rPr>
          <w:b/>
          <w:bCs/>
        </w:rPr>
        <w:t xml:space="preserve">Doc. 8 – </w:t>
      </w:r>
      <w:r>
        <w:t>Dati dell’Osservatorio sulle Comunicazioni AGCOM</w:t>
      </w:r>
    </w:p>
    <w:p w14:paraId="063971D0" w14:textId="77777777" w:rsidR="00075369" w:rsidRDefault="00000000" w:rsidP="00864A21">
      <w:pPr>
        <w:spacing w:line="360" w:lineRule="auto"/>
        <w:jc w:val="both"/>
      </w:pPr>
      <w:r>
        <w:rPr>
          <w:b/>
          <w:bCs/>
        </w:rPr>
        <w:t xml:space="preserve">Doc. 9 – </w:t>
      </w:r>
      <w:r>
        <w:t>Corte di Cassazione, Sez. III Civile, sentenza n. 11479 del 28.04.2026</w:t>
      </w:r>
    </w:p>
    <w:p w14:paraId="64CFFA46" w14:textId="77777777" w:rsidR="00075369" w:rsidRDefault="00000000" w:rsidP="00864A21">
      <w:pPr>
        <w:spacing w:line="360" w:lineRule="auto"/>
        <w:jc w:val="both"/>
      </w:pPr>
      <w:r>
        <w:rPr>
          <w:b/>
          <w:bCs/>
        </w:rPr>
        <w:t xml:space="preserve">Doc. 10 – </w:t>
      </w:r>
      <w:r>
        <w:t>Circolare MEF n. 1/DF del 20.01.2009</w:t>
      </w:r>
    </w:p>
    <w:p w14:paraId="19C134BC" w14:textId="77777777" w:rsidR="00075369" w:rsidRDefault="00000000" w:rsidP="00864A21">
      <w:pPr>
        <w:spacing w:line="360" w:lineRule="auto"/>
        <w:jc w:val="both"/>
      </w:pPr>
      <w:r>
        <w:rPr>
          <w:b/>
          <w:bCs/>
        </w:rPr>
        <w:t xml:space="preserve">Doc. 11 – </w:t>
      </w:r>
      <w:r>
        <w:t>Tribunale di Bergamo, sentenza n. 1523 del 25.11.2025</w:t>
      </w:r>
    </w:p>
    <w:p w14:paraId="2410D9F4" w14:textId="77777777" w:rsidR="00075369" w:rsidRDefault="00000000" w:rsidP="00864A21">
      <w:pPr>
        <w:spacing w:line="360" w:lineRule="auto"/>
        <w:jc w:val="both"/>
      </w:pPr>
      <w:r>
        <w:rPr>
          <w:b/>
          <w:bCs/>
        </w:rPr>
        <w:t xml:space="preserve">Doc. 12 – </w:t>
      </w:r>
      <w:r>
        <w:t>Tribunale di Bergamo, sentenza n. 289 del 21.03.2026</w:t>
      </w:r>
    </w:p>
    <w:p w14:paraId="35862E52" w14:textId="77777777" w:rsidR="00075369" w:rsidRDefault="00000000" w:rsidP="00864A21">
      <w:pPr>
        <w:spacing w:line="360" w:lineRule="auto"/>
        <w:jc w:val="both"/>
      </w:pPr>
      <w:r>
        <w:rPr>
          <w:b/>
          <w:bCs/>
        </w:rPr>
        <w:t xml:space="preserve">Doc. 13 – </w:t>
      </w:r>
      <w:r>
        <w:t>Tribunale di Napoli, sentenza n. 5948 del 13.04.2026</w:t>
      </w:r>
    </w:p>
    <w:p w14:paraId="77ABE0F8" w14:textId="77777777" w:rsidR="00075369" w:rsidRDefault="00000000" w:rsidP="00864A21">
      <w:pPr>
        <w:spacing w:line="360" w:lineRule="auto"/>
        <w:jc w:val="both"/>
      </w:pPr>
      <w:r>
        <w:rPr>
          <w:b/>
          <w:bCs/>
        </w:rPr>
        <w:t xml:space="preserve">Doc. 14 – </w:t>
      </w:r>
      <w:r>
        <w:t>Tribunale di Treviso, sentenza n. 240/2025 del 20.02.2025 – appello</w:t>
      </w:r>
    </w:p>
    <w:p w14:paraId="17E27A7D" w14:textId="77777777" w:rsidR="00075369" w:rsidRDefault="00000000" w:rsidP="00864A21">
      <w:pPr>
        <w:spacing w:line="360" w:lineRule="auto"/>
        <w:jc w:val="both"/>
      </w:pPr>
      <w:r>
        <w:rPr>
          <w:b/>
          <w:bCs/>
        </w:rPr>
        <w:t xml:space="preserve">Doc. 15 – </w:t>
      </w:r>
      <w:r>
        <w:t>Tribunale di Piacenza, sentenza n. 207 del 06.05.2025</w:t>
      </w:r>
    </w:p>
    <w:p w14:paraId="6681D291" w14:textId="77777777" w:rsidR="00075369" w:rsidRDefault="00000000" w:rsidP="00864A21">
      <w:pPr>
        <w:spacing w:line="360" w:lineRule="auto"/>
        <w:jc w:val="both"/>
      </w:pPr>
      <w:r>
        <w:rPr>
          <w:b/>
          <w:bCs/>
        </w:rPr>
        <w:t xml:space="preserve">Doc. 16 – </w:t>
      </w:r>
      <w:r>
        <w:t>Tribunale di Piacenza – II grado, sentenza n. 350 del 16.07.2025 (R.G. 1562/2024)</w:t>
      </w:r>
    </w:p>
    <w:p w14:paraId="1D77F79E" w14:textId="77777777" w:rsidR="00075369" w:rsidRDefault="00000000" w:rsidP="00864A21">
      <w:pPr>
        <w:spacing w:line="360" w:lineRule="auto"/>
        <w:jc w:val="both"/>
      </w:pPr>
      <w:r>
        <w:rPr>
          <w:b/>
          <w:bCs/>
        </w:rPr>
        <w:t xml:space="preserve">Doc. 17 – </w:t>
      </w:r>
      <w:r>
        <w:t>Tribunale di Ivrea – II grado, sentenza n. 1255 del 29.09.2025</w:t>
      </w:r>
    </w:p>
    <w:p w14:paraId="1E63344E" w14:textId="77777777" w:rsidR="00075369" w:rsidRDefault="00000000" w:rsidP="00864A21">
      <w:pPr>
        <w:spacing w:line="360" w:lineRule="auto"/>
        <w:jc w:val="both"/>
      </w:pPr>
      <w:r>
        <w:rPr>
          <w:b/>
          <w:bCs/>
        </w:rPr>
        <w:t xml:space="preserve">Doc. 18 – </w:t>
      </w:r>
      <w:r>
        <w:t>Tribunale di Bolzano, sentenza n. 431 del 08.04.2024</w:t>
      </w:r>
    </w:p>
    <w:p w14:paraId="5EDA47E3" w14:textId="77777777" w:rsidR="00075369" w:rsidRDefault="00000000" w:rsidP="00864A21">
      <w:pPr>
        <w:spacing w:line="360" w:lineRule="auto"/>
        <w:jc w:val="both"/>
      </w:pPr>
      <w:r>
        <w:rPr>
          <w:b/>
          <w:bCs/>
        </w:rPr>
        <w:t xml:space="preserve">Doc. 19 – </w:t>
      </w:r>
      <w:r>
        <w:t>Tribunale di Bolzano, sentenza n. 908/2025 del 15.10.2025</w:t>
      </w:r>
    </w:p>
    <w:p w14:paraId="7704A81A" w14:textId="77777777" w:rsidR="00741779" w:rsidRDefault="00741779" w:rsidP="001D1043">
      <w:pPr>
        <w:spacing w:before="200" w:line="360" w:lineRule="auto"/>
        <w:jc w:val="both"/>
      </w:pPr>
    </w:p>
    <w:p w14:paraId="2C477304" w14:textId="77777777" w:rsidR="009F4718" w:rsidRDefault="009F4718" w:rsidP="001D1043">
      <w:pPr>
        <w:spacing w:before="200" w:line="360" w:lineRule="auto"/>
        <w:jc w:val="both"/>
      </w:pPr>
    </w:p>
    <w:p w14:paraId="2404D7BB" w14:textId="1AFE2F7A" w:rsidR="005677E8" w:rsidRDefault="00000000" w:rsidP="001D1043">
      <w:pPr>
        <w:spacing w:before="200" w:line="360" w:lineRule="auto"/>
        <w:jc w:val="both"/>
      </w:pPr>
      <w:r>
        <w:t>Cinisello Balsamo – Salerno, lì ___________</w:t>
      </w:r>
      <w:r>
        <w:tab/>
      </w:r>
      <w:r>
        <w:tab/>
      </w:r>
    </w:p>
    <w:p w14:paraId="4C14369F" w14:textId="41102915" w:rsidR="00075369" w:rsidRDefault="00000000" w:rsidP="005677E8">
      <w:pPr>
        <w:spacing w:before="200" w:line="360" w:lineRule="auto"/>
        <w:jc w:val="right"/>
      </w:pPr>
      <w:r>
        <w:rPr>
          <w:b/>
          <w:bCs/>
        </w:rPr>
        <w:t>Avv. Maria Voccia De Felice</w:t>
      </w:r>
    </w:p>
    <w:sectPr w:rsidR="00075369" w:rsidSect="00860D8C">
      <w:pgSz w:w="11906" w:h="16838"/>
      <w:pgMar w:top="568"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BB78A2"/>
    <w:multiLevelType w:val="hybridMultilevel"/>
    <w:tmpl w:val="C55CD7EE"/>
    <w:lvl w:ilvl="0" w:tplc="669E4674">
      <w:start w:val="1"/>
      <w:numFmt w:val="decimal"/>
      <w:lvlText w:val="%1."/>
      <w:lvlJc w:val="left"/>
      <w:pPr>
        <w:ind w:left="720" w:hanging="360"/>
      </w:pPr>
      <w:rPr>
        <w:rFonts w:ascii="Times New Roman" w:eastAsia="Calibri" w:hAnsi="Times New Roman" w:cs="Times New Roman"/>
      </w:r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1" w15:restartNumberingAfterBreak="0">
    <w:nsid w:val="4D1D049B"/>
    <w:multiLevelType w:val="hybridMultilevel"/>
    <w:tmpl w:val="DA8237EC"/>
    <w:lvl w:ilvl="0" w:tplc="AE9625A0">
      <w:start w:val="1"/>
      <w:numFmt w:val="bullet"/>
      <w:lvlText w:val="●"/>
      <w:lvlJc w:val="left"/>
      <w:pPr>
        <w:ind w:left="720" w:hanging="360"/>
      </w:pPr>
    </w:lvl>
    <w:lvl w:ilvl="1" w:tplc="B4662E0E">
      <w:start w:val="1"/>
      <w:numFmt w:val="bullet"/>
      <w:lvlText w:val="○"/>
      <w:lvlJc w:val="left"/>
      <w:pPr>
        <w:ind w:left="1440" w:hanging="360"/>
      </w:pPr>
    </w:lvl>
    <w:lvl w:ilvl="2" w:tplc="321A6130">
      <w:start w:val="1"/>
      <w:numFmt w:val="bullet"/>
      <w:lvlText w:val="■"/>
      <w:lvlJc w:val="left"/>
      <w:pPr>
        <w:ind w:left="2160" w:hanging="360"/>
      </w:pPr>
    </w:lvl>
    <w:lvl w:ilvl="3" w:tplc="03F89F0E">
      <w:start w:val="1"/>
      <w:numFmt w:val="bullet"/>
      <w:lvlText w:val="●"/>
      <w:lvlJc w:val="left"/>
      <w:pPr>
        <w:ind w:left="2880" w:hanging="360"/>
      </w:pPr>
    </w:lvl>
    <w:lvl w:ilvl="4" w:tplc="80248D32">
      <w:start w:val="1"/>
      <w:numFmt w:val="bullet"/>
      <w:lvlText w:val="○"/>
      <w:lvlJc w:val="left"/>
      <w:pPr>
        <w:ind w:left="3600" w:hanging="360"/>
      </w:pPr>
    </w:lvl>
    <w:lvl w:ilvl="5" w:tplc="386E3024">
      <w:start w:val="1"/>
      <w:numFmt w:val="bullet"/>
      <w:lvlText w:val="■"/>
      <w:lvlJc w:val="left"/>
      <w:pPr>
        <w:ind w:left="4320" w:hanging="360"/>
      </w:pPr>
    </w:lvl>
    <w:lvl w:ilvl="6" w:tplc="248461F8">
      <w:start w:val="1"/>
      <w:numFmt w:val="bullet"/>
      <w:lvlText w:val="●"/>
      <w:lvlJc w:val="left"/>
      <w:pPr>
        <w:ind w:left="5040" w:hanging="360"/>
      </w:pPr>
    </w:lvl>
    <w:lvl w:ilvl="7" w:tplc="C6683E92">
      <w:start w:val="1"/>
      <w:numFmt w:val="bullet"/>
      <w:lvlText w:val="●"/>
      <w:lvlJc w:val="left"/>
      <w:pPr>
        <w:ind w:left="5760" w:hanging="360"/>
      </w:pPr>
    </w:lvl>
    <w:lvl w:ilvl="8" w:tplc="E076CE96">
      <w:start w:val="1"/>
      <w:numFmt w:val="bullet"/>
      <w:lvlText w:val="●"/>
      <w:lvlJc w:val="left"/>
      <w:pPr>
        <w:ind w:left="6480" w:hanging="360"/>
      </w:pPr>
    </w:lvl>
  </w:abstractNum>
  <w:num w:numId="1" w16cid:durableId="1542741392">
    <w:abstractNumId w:val="1"/>
    <w:lvlOverride w:ilvl="0">
      <w:startOverride w:val="1"/>
    </w:lvlOverride>
  </w:num>
  <w:num w:numId="2" w16cid:durableId="10468787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6"/>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369"/>
    <w:rsid w:val="00070012"/>
    <w:rsid w:val="00075369"/>
    <w:rsid w:val="000A0488"/>
    <w:rsid w:val="000D6B4B"/>
    <w:rsid w:val="000E5200"/>
    <w:rsid w:val="000F69E8"/>
    <w:rsid w:val="00112740"/>
    <w:rsid w:val="00137EBF"/>
    <w:rsid w:val="001630E1"/>
    <w:rsid w:val="00176350"/>
    <w:rsid w:val="001A0818"/>
    <w:rsid w:val="001D1043"/>
    <w:rsid w:val="00205CBA"/>
    <w:rsid w:val="00297AFD"/>
    <w:rsid w:val="002C263B"/>
    <w:rsid w:val="003015CF"/>
    <w:rsid w:val="00316FB2"/>
    <w:rsid w:val="00340E26"/>
    <w:rsid w:val="003608D2"/>
    <w:rsid w:val="003623AD"/>
    <w:rsid w:val="003B1A28"/>
    <w:rsid w:val="003E41F9"/>
    <w:rsid w:val="003E4C05"/>
    <w:rsid w:val="003E7F32"/>
    <w:rsid w:val="0044435C"/>
    <w:rsid w:val="00493365"/>
    <w:rsid w:val="004C08E8"/>
    <w:rsid w:val="0054082B"/>
    <w:rsid w:val="0054560C"/>
    <w:rsid w:val="005677E8"/>
    <w:rsid w:val="00571001"/>
    <w:rsid w:val="00574406"/>
    <w:rsid w:val="006E713F"/>
    <w:rsid w:val="007349B6"/>
    <w:rsid w:val="00740A4B"/>
    <w:rsid w:val="00741779"/>
    <w:rsid w:val="007709B9"/>
    <w:rsid w:val="00783092"/>
    <w:rsid w:val="007B0B53"/>
    <w:rsid w:val="007E456C"/>
    <w:rsid w:val="007E79BC"/>
    <w:rsid w:val="00856D21"/>
    <w:rsid w:val="00860D8C"/>
    <w:rsid w:val="00864A21"/>
    <w:rsid w:val="008A77F1"/>
    <w:rsid w:val="008B530B"/>
    <w:rsid w:val="008C403F"/>
    <w:rsid w:val="00921431"/>
    <w:rsid w:val="00953A43"/>
    <w:rsid w:val="009A3D0F"/>
    <w:rsid w:val="009C31BA"/>
    <w:rsid w:val="009C754A"/>
    <w:rsid w:val="009D309B"/>
    <w:rsid w:val="009D6E1F"/>
    <w:rsid w:val="009F4718"/>
    <w:rsid w:val="00A01BC8"/>
    <w:rsid w:val="00A93CE2"/>
    <w:rsid w:val="00AD02DE"/>
    <w:rsid w:val="00B41968"/>
    <w:rsid w:val="00B64F11"/>
    <w:rsid w:val="00B7192C"/>
    <w:rsid w:val="00BC474E"/>
    <w:rsid w:val="00BE2202"/>
    <w:rsid w:val="00BE5F2C"/>
    <w:rsid w:val="00BF6D20"/>
    <w:rsid w:val="00C000A2"/>
    <w:rsid w:val="00C32134"/>
    <w:rsid w:val="00C37EE4"/>
    <w:rsid w:val="00C7021E"/>
    <w:rsid w:val="00CB4724"/>
    <w:rsid w:val="00CE4337"/>
    <w:rsid w:val="00D33C1A"/>
    <w:rsid w:val="00D85B91"/>
    <w:rsid w:val="00DA1976"/>
    <w:rsid w:val="00DC75F2"/>
    <w:rsid w:val="00E04136"/>
    <w:rsid w:val="00E10BAC"/>
    <w:rsid w:val="00E22F53"/>
    <w:rsid w:val="00E50AB7"/>
    <w:rsid w:val="00E5697E"/>
    <w:rsid w:val="00E56CED"/>
    <w:rsid w:val="00E76395"/>
    <w:rsid w:val="00EC0A7E"/>
    <w:rsid w:val="00ED7A31"/>
    <w:rsid w:val="00F4102F"/>
    <w:rsid w:val="00FA553C"/>
    <w:rsid w:val="00FA7217"/>
    <w:rsid w:val="00FB2E69"/>
    <w:rsid w:val="00FD6579"/>
    <w:rsid w:val="00FE2B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D9DA"/>
  <w15:docId w15:val="{A50CF1BD-2959-0347-AC8E-3E612D3C0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176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A55E9F-000E-2A43-B0B4-05627E5B4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7720</Words>
  <Characters>44004</Characters>
  <Application>Microsoft Office Word</Application>
  <DocSecurity>0</DocSecurity>
  <Lines>366</Lines>
  <Paragraphs>103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51621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cp:lastPrinted>2026-07-13T18:25:00Z</cp:lastPrinted>
  <dcterms:created xsi:type="dcterms:W3CDTF">2026-07-14T13:11:00Z</dcterms:created>
  <dcterms:modified xsi:type="dcterms:W3CDTF">2026-07-14T13:11:00Z</dcterms:modified>
</cp:coreProperties>
</file>