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A40F" w14:textId="77777777" w:rsidR="009142C4" w:rsidRDefault="009142C4" w:rsidP="009142C4">
      <w:pPr>
        <w:tabs>
          <w:tab w:val="center" w:pos="4819"/>
          <w:tab w:val="right" w:pos="9638"/>
        </w:tabs>
        <w:autoSpaceDN w:val="0"/>
        <w:jc w:val="center"/>
        <w:rPr>
          <w:rFonts w:eastAsia="Calibri"/>
          <w:b/>
          <w:sz w:val="22"/>
          <w:szCs w:val="22"/>
          <w:lang w:eastAsia="en-US"/>
        </w:rPr>
      </w:pPr>
      <w:r>
        <w:rPr>
          <w:rFonts w:eastAsia="Calibri"/>
          <w:b/>
          <w:sz w:val="22"/>
          <w:szCs w:val="22"/>
          <w:lang w:eastAsia="en-US"/>
        </w:rPr>
        <w:t>Maria Voccia De Felice</w:t>
      </w:r>
    </w:p>
    <w:p w14:paraId="42FCC3B1" w14:textId="77777777" w:rsidR="009142C4" w:rsidRDefault="009142C4" w:rsidP="009142C4">
      <w:pPr>
        <w:tabs>
          <w:tab w:val="center" w:pos="4819"/>
          <w:tab w:val="left" w:pos="5325"/>
        </w:tabs>
        <w:autoSpaceDN w:val="0"/>
        <w:rPr>
          <w:rFonts w:eastAsia="Calibri"/>
          <w:b/>
          <w:sz w:val="22"/>
          <w:szCs w:val="22"/>
          <w:lang w:eastAsia="en-US"/>
        </w:rPr>
      </w:pPr>
      <w:r>
        <w:rPr>
          <w:rFonts w:eastAsia="Calibri"/>
          <w:b/>
          <w:sz w:val="22"/>
          <w:szCs w:val="22"/>
          <w:lang w:eastAsia="en-US"/>
        </w:rPr>
        <w:t xml:space="preserve">                                                                Avvocato</w:t>
      </w:r>
      <w:r>
        <w:rPr>
          <w:rFonts w:eastAsia="Calibri"/>
          <w:b/>
          <w:sz w:val="22"/>
          <w:szCs w:val="22"/>
          <w:lang w:eastAsia="en-US"/>
        </w:rPr>
        <w:tab/>
      </w:r>
    </w:p>
    <w:p w14:paraId="75EC3AE2" w14:textId="77777777" w:rsidR="009142C4" w:rsidRDefault="009142C4" w:rsidP="009142C4">
      <w:pPr>
        <w:tabs>
          <w:tab w:val="center" w:pos="4819"/>
          <w:tab w:val="right" w:pos="9638"/>
        </w:tabs>
        <w:autoSpaceDN w:val="0"/>
        <w:rPr>
          <w:rFonts w:eastAsia="Calibri"/>
          <w:b/>
          <w:sz w:val="22"/>
          <w:szCs w:val="22"/>
          <w:lang w:eastAsia="en-US"/>
        </w:rPr>
      </w:pPr>
      <w:r>
        <w:rPr>
          <w:rFonts w:eastAsia="Calibri"/>
          <w:b/>
          <w:sz w:val="22"/>
          <w:szCs w:val="22"/>
          <w:lang w:eastAsia="en-US"/>
        </w:rPr>
        <w:t xml:space="preserve">                                                 Patrocinante in Cassazione</w:t>
      </w:r>
    </w:p>
    <w:p w14:paraId="029BEB4A" w14:textId="77777777" w:rsidR="009142C4" w:rsidRDefault="009142C4" w:rsidP="009142C4">
      <w:pPr>
        <w:tabs>
          <w:tab w:val="center" w:pos="4819"/>
          <w:tab w:val="right" w:pos="9638"/>
        </w:tabs>
        <w:autoSpaceDN w:val="0"/>
        <w:jc w:val="center"/>
        <w:rPr>
          <w:rFonts w:eastAsia="Calibri"/>
          <w:b/>
          <w:sz w:val="22"/>
          <w:szCs w:val="22"/>
          <w:lang w:eastAsia="en-US"/>
        </w:rPr>
      </w:pPr>
      <w:r>
        <w:rPr>
          <w:rFonts w:eastAsia="Calibri"/>
          <w:b/>
          <w:sz w:val="22"/>
          <w:szCs w:val="22"/>
          <w:lang w:eastAsia="en-US"/>
        </w:rPr>
        <w:t xml:space="preserve">    Salerno - Via G. Vicinanza n. 42 – 84123</w:t>
      </w:r>
    </w:p>
    <w:p w14:paraId="329E1AAC" w14:textId="77777777" w:rsidR="009142C4" w:rsidRDefault="009142C4" w:rsidP="009142C4">
      <w:pPr>
        <w:tabs>
          <w:tab w:val="center" w:pos="4819"/>
          <w:tab w:val="right" w:pos="9638"/>
        </w:tabs>
        <w:autoSpaceDN w:val="0"/>
        <w:rPr>
          <w:rFonts w:eastAsia="Calibri"/>
          <w:b/>
          <w:sz w:val="22"/>
          <w:szCs w:val="22"/>
          <w:lang w:eastAsia="en-US"/>
        </w:rPr>
      </w:pPr>
      <w:r>
        <w:rPr>
          <w:rFonts w:eastAsia="Calibri"/>
          <w:b/>
          <w:sz w:val="22"/>
          <w:szCs w:val="22"/>
          <w:lang w:eastAsia="en-US"/>
        </w:rPr>
        <w:t xml:space="preserve">                                             tel. 089237255 mobile 335 6329269</w:t>
      </w:r>
    </w:p>
    <w:p w14:paraId="3A7CDC77" w14:textId="039159E5" w:rsidR="009142C4" w:rsidRPr="009142C4" w:rsidRDefault="009142C4" w:rsidP="009142C4">
      <w:pPr>
        <w:autoSpaceDN w:val="0"/>
        <w:spacing w:after="200" w:line="360" w:lineRule="auto"/>
        <w:ind w:left="900" w:right="998"/>
        <w:jc w:val="center"/>
        <w:rPr>
          <w:rFonts w:ascii="Calibri" w:eastAsia="Arial Unicode MS" w:hAnsi="Calibri" w:cs="Tahoma"/>
          <w:b/>
          <w:sz w:val="28"/>
          <w:szCs w:val="28"/>
          <w:lang w:eastAsia="en-US"/>
        </w:rPr>
      </w:pPr>
      <w:r>
        <w:rPr>
          <w:rFonts w:eastAsia="Calibri"/>
          <w:b/>
          <w:sz w:val="22"/>
          <w:szCs w:val="22"/>
          <w:lang w:eastAsia="en-US"/>
        </w:rPr>
        <w:t xml:space="preserve">   mail: </w:t>
      </w:r>
      <w:hyperlink r:id="rId6" w:history="1">
        <w:r>
          <w:rPr>
            <w:rStyle w:val="Collegamentoipertestuale"/>
            <w:rFonts w:eastAsia="Calibri"/>
            <w:b/>
            <w:sz w:val="22"/>
            <w:szCs w:val="22"/>
            <w:lang w:eastAsia="en-US"/>
          </w:rPr>
          <w:t>mvoccia@vocciaspa.com</w:t>
        </w:r>
      </w:hyperlink>
      <w:r>
        <w:rPr>
          <w:rFonts w:eastAsia="Calibri"/>
          <w:b/>
          <w:sz w:val="22"/>
          <w:szCs w:val="22"/>
          <w:lang w:eastAsia="en-US"/>
        </w:rPr>
        <w:t xml:space="preserve"> pec: </w:t>
      </w:r>
      <w:hyperlink r:id="rId7" w:history="1">
        <w:r>
          <w:rPr>
            <w:rStyle w:val="Collegamentoipertestuale"/>
            <w:rFonts w:eastAsia="Calibri"/>
            <w:b/>
            <w:sz w:val="22"/>
            <w:szCs w:val="22"/>
            <w:lang w:eastAsia="en-US"/>
          </w:rPr>
          <w:t>mvocciaordsa@pec.giuffre.it</w:t>
        </w:r>
      </w:hyperlink>
    </w:p>
    <w:p w14:paraId="501FAE65" w14:textId="6B9B28E5" w:rsidR="00A879AA" w:rsidRDefault="00000000">
      <w:pPr>
        <w:spacing w:line="360" w:lineRule="auto"/>
        <w:jc w:val="center"/>
      </w:pPr>
      <w:r>
        <w:rPr>
          <w:b/>
          <w:bCs/>
        </w:rPr>
        <w:t>TRIBUNALE DI PAVIA</w:t>
      </w:r>
    </w:p>
    <w:p w14:paraId="6A7232FA" w14:textId="77777777" w:rsidR="00A879AA" w:rsidRDefault="00000000">
      <w:pPr>
        <w:spacing w:line="360" w:lineRule="auto"/>
        <w:jc w:val="center"/>
      </w:pPr>
      <w:r w:rsidRPr="009142C4">
        <w:rPr>
          <w:b/>
          <w:bCs/>
          <w:highlight w:val="yellow"/>
        </w:rPr>
        <w:t>R.G. ………</w:t>
      </w:r>
    </w:p>
    <w:p w14:paraId="3A1A9C4E" w14:textId="77777777" w:rsidR="00A879AA" w:rsidRDefault="00000000">
      <w:pPr>
        <w:spacing w:line="360" w:lineRule="auto"/>
        <w:jc w:val="center"/>
      </w:pPr>
      <w:r>
        <w:rPr>
          <w:b/>
          <w:bCs/>
        </w:rPr>
        <w:t>Ud. del 15.10.2026</w:t>
      </w:r>
    </w:p>
    <w:p w14:paraId="29EB1D00" w14:textId="77777777" w:rsidR="00A879AA" w:rsidRDefault="00A879AA">
      <w:pPr>
        <w:spacing w:line="360" w:lineRule="auto"/>
        <w:jc w:val="both"/>
      </w:pPr>
    </w:p>
    <w:p w14:paraId="3BC45979" w14:textId="77777777" w:rsidR="00A879AA" w:rsidRDefault="00000000">
      <w:pPr>
        <w:spacing w:line="360" w:lineRule="auto"/>
        <w:jc w:val="center"/>
      </w:pPr>
      <w:r>
        <w:rPr>
          <w:b/>
          <w:bCs/>
        </w:rPr>
        <w:t>Comparsa di costituzione e risposta</w:t>
      </w:r>
    </w:p>
    <w:p w14:paraId="76A953F1" w14:textId="77777777" w:rsidR="00A879AA" w:rsidRDefault="00A879AA">
      <w:pPr>
        <w:spacing w:line="360" w:lineRule="auto"/>
        <w:jc w:val="both"/>
      </w:pPr>
    </w:p>
    <w:p w14:paraId="5D2CF874" w14:textId="72951998" w:rsidR="00A879AA" w:rsidRDefault="00000000" w:rsidP="009142C4">
      <w:pPr>
        <w:spacing w:line="360" w:lineRule="auto"/>
        <w:jc w:val="both"/>
      </w:pPr>
      <w:r>
        <w:t xml:space="preserve">Per il </w:t>
      </w:r>
      <w:r>
        <w:rPr>
          <w:b/>
          <w:bCs/>
        </w:rPr>
        <w:t>COMUNE DI PALESTRO (PV), in persona del Sindaco e legale rappresentante pro tempore, C.F. 83001210182, con sede in Piazza Guglielmo Marconi n. 1 – 27030 Palestro (PV),</w:t>
      </w:r>
      <w:r>
        <w:t xml:space="preserve"> </w:t>
      </w:r>
      <w:r w:rsidR="009142C4">
        <w:t xml:space="preserve">rappresentato e difeso, in virtù di procura in calce e su foglio separato ed in esecuzione della Delibera di </w:t>
      </w:r>
      <w:r w:rsidR="009142C4">
        <w:rPr>
          <w:b/>
          <w:bCs/>
        </w:rPr>
        <w:t>G.C. n. 32 del 15.05.2026,</w:t>
      </w:r>
      <w:r w:rsidR="009142C4">
        <w:t xml:space="preserve"> dall’Avv. Maria Voccia De Felice (C.F. VCCMRA66M64G813U), </w:t>
      </w:r>
      <w:r w:rsidR="009142C4" w:rsidRPr="00830C67">
        <w:t xml:space="preserve">che lo rappresenta e difende </w:t>
      </w:r>
      <w:r w:rsidR="009142C4" w:rsidRPr="00830C67">
        <w:rPr>
          <w:color w:val="000000"/>
        </w:rPr>
        <w:t xml:space="preserve">in virtù di mandato in calce al presente atto e su foglio separato, con domicilio in Salerno alla Via Vicinanza n. 42, </w:t>
      </w:r>
      <w:r w:rsidR="009142C4" w:rsidRPr="009F4785">
        <w:rPr>
          <w:b/>
          <w:bCs/>
          <w:color w:val="000000"/>
        </w:rPr>
        <w:t>pec: mvocciaordsa@pec.giuffre.it</w:t>
      </w:r>
      <w:r w:rsidR="009142C4" w:rsidRPr="009F4785">
        <w:rPr>
          <w:b/>
          <w:bCs/>
        </w:rPr>
        <w:t>;</w:t>
      </w:r>
      <w:r>
        <w:rPr>
          <w:b/>
          <w:bCs/>
        </w:rPr>
        <w:t>contro</w:t>
      </w:r>
    </w:p>
    <w:p w14:paraId="2144581A" w14:textId="77777777" w:rsidR="00A879AA" w:rsidRDefault="00000000">
      <w:pPr>
        <w:spacing w:line="360" w:lineRule="auto"/>
        <w:jc w:val="both"/>
      </w:pPr>
      <w:r>
        <w:rPr>
          <w:b/>
          <w:bCs/>
        </w:rPr>
        <w:t>FASTWEB S.p.A.</w:t>
      </w:r>
      <w:r>
        <w:t xml:space="preserve"> (C.F. e P.IVA 12878470157), </w:t>
      </w:r>
      <w:r>
        <w:rPr>
          <w:b/>
          <w:bCs/>
        </w:rPr>
        <w:t>società a socio unico e soggetta all’attività di direzione e coordinamento di Swisscom A.G.</w:t>
      </w:r>
      <w:r>
        <w:t xml:space="preserve">, con sede legale in Piazza Adriano Olivetti 1, 20139 – Milano (MI), </w:t>
      </w:r>
      <w:r w:rsidRPr="007A5CE0">
        <w:rPr>
          <w:b/>
          <w:bCs/>
        </w:rPr>
        <w:t>nella qualità di incorporante di VODAFONE ITALIA S.p.A.,</w:t>
      </w:r>
      <w:r>
        <w:t xml:space="preserve"> per il tramite della società procuratrice Lindam s.r.l., rappresentata e difesa dalla Prof. Avv. Daniela Mazzagreco, C.F. MZZDNL74D67G642Z, PEC danielamazzagreco@pecavvpa.it, e dall’Avv. Alessandra Alaimo, C.F. LMALSN74L53G273L, PEC alessandraalaimo@pecavvpa.it, con domicilio eletto presso l’indirizzo PEC dei suddetti difensori e presso lo studio della prima nella via Messina n. 4, 90141 Palermo.</w:t>
      </w:r>
    </w:p>
    <w:p w14:paraId="55F4AEBE" w14:textId="77777777" w:rsidR="00A879AA" w:rsidRDefault="00000000">
      <w:pPr>
        <w:spacing w:line="360" w:lineRule="auto"/>
        <w:jc w:val="center"/>
      </w:pPr>
      <w:r>
        <w:t>* * *</w:t>
      </w:r>
    </w:p>
    <w:p w14:paraId="26E08BF0" w14:textId="363E2733" w:rsidR="00A879AA" w:rsidRDefault="00953D02">
      <w:pPr>
        <w:spacing w:line="360" w:lineRule="auto"/>
        <w:jc w:val="both"/>
      </w:pPr>
      <w:r>
        <w:rPr>
          <w:b/>
          <w:bCs/>
        </w:rPr>
        <w:tab/>
        <w:t>Si premette</w:t>
      </w:r>
    </w:p>
    <w:p w14:paraId="0F6532A8" w14:textId="0972A865" w:rsidR="00A879AA" w:rsidRDefault="00953D02">
      <w:pPr>
        <w:spacing w:line="360" w:lineRule="auto"/>
        <w:jc w:val="both"/>
      </w:pPr>
      <w:r>
        <w:tab/>
        <w:t xml:space="preserve">Il Comune di Palestro (PV), con Delibera di Consiglio Comunale n. 6 del 29.03.2021, ha approvato il Regolamento per la disciplina del </w:t>
      </w:r>
      <w:r>
        <w:rPr>
          <w:b/>
          <w:bCs/>
        </w:rPr>
        <w:t>Canone Patrimoniale di Concessione, Autorizzazione o Esposizione Pubblicitaria</w:t>
      </w:r>
      <w:r>
        <w:t xml:space="preserve"> (di seguito anche solo CUP), ai sensi dell’art. 1, commi da 816 a 836, della Legge n. 160/2019 </w:t>
      </w:r>
      <w:r>
        <w:rPr>
          <w:b/>
          <w:bCs/>
        </w:rPr>
        <w:t>(cfr. doc. 1)</w:t>
      </w:r>
      <w:r>
        <w:t>.</w:t>
      </w:r>
    </w:p>
    <w:p w14:paraId="385520E9" w14:textId="0EB2EE81" w:rsidR="00A879AA" w:rsidRDefault="00953D02">
      <w:pPr>
        <w:spacing w:line="360" w:lineRule="auto"/>
        <w:jc w:val="both"/>
      </w:pPr>
      <w:r>
        <w:tab/>
        <w:t xml:space="preserve">Su incarico del Comune di Palestro – giusto affidamento di cui alla Determinazione n. 122 del 02.07.2025 </w:t>
      </w:r>
      <w:r>
        <w:rPr>
          <w:b/>
          <w:bCs/>
        </w:rPr>
        <w:t>(doc. 2)</w:t>
      </w:r>
      <w:r>
        <w:t xml:space="preserve"> – la società Archivia Solution S.p.A. </w:t>
      </w:r>
      <w:r>
        <w:lastRenderedPageBreak/>
        <w:t>ha avviato la verifica della congruità dei versamenti del Canone Unico Patrimoniale dovuto, ai sensi del comma 831, art. 1, L. 160/2019, dalle aziende che gestiscono i c.d. servizi di rete nel territorio comunale.</w:t>
      </w:r>
    </w:p>
    <w:p w14:paraId="34DC683B" w14:textId="01748D1B" w:rsidR="00A879AA" w:rsidRDefault="00953D02">
      <w:pPr>
        <w:spacing w:line="360" w:lineRule="auto"/>
        <w:jc w:val="both"/>
      </w:pPr>
      <w:r>
        <w:tab/>
        <w:t xml:space="preserve">Quindi, con nota del </w:t>
      </w:r>
      <w:r>
        <w:rPr>
          <w:b/>
          <w:bCs/>
        </w:rPr>
        <w:t>10 luglio 2025 (doc. 3)</w:t>
      </w:r>
      <w:r>
        <w:t>, la società Archivia Solution S.p.A. ha trasmesso a VODAFONE ITALIA S.p.A., a mezzo PEC, una richiesta di dichiarazione delle utenze attive nel Comune di Palestro e dei versamenti effettuati a titolo di CUP per gli anni dal 2021 al 2024, evidenziando che, dai primi controlli eseguiti sulla piattaforma PagoPA e sugli altri canali di pagamento attivi, la società non risultava aver versato il Canone per alcuna delle annualità in verifica, e invitando la stessa a regolarizzare la propria posizione, pena il ricorso alla procedura di accertamento su stima presuntiva.</w:t>
      </w:r>
    </w:p>
    <w:p w14:paraId="06977442" w14:textId="6F55E7CC" w:rsidR="00A879AA" w:rsidRDefault="00953D02">
      <w:pPr>
        <w:spacing w:line="360" w:lineRule="auto"/>
        <w:jc w:val="both"/>
      </w:pPr>
      <w:r>
        <w:tab/>
        <w:t xml:space="preserve">In data </w:t>
      </w:r>
      <w:r>
        <w:rPr>
          <w:b/>
          <w:bCs/>
        </w:rPr>
        <w:t>4 agosto 2025</w:t>
      </w:r>
      <w:r>
        <w:t xml:space="preserve">, VODAFONE ITALIA S.p.A. trasmetteva riscontro alla predetta comunicazione </w:t>
      </w:r>
      <w:r>
        <w:rPr>
          <w:b/>
          <w:bCs/>
        </w:rPr>
        <w:t>(doc. 4)</w:t>
      </w:r>
      <w:r>
        <w:t>, con il quale dichiarava di non aver mai richiesto permessi o concessioni per scavi e di non ritenersi, pertanto, soggetta al pagamento del canone, senza presentare alcuna dichiarazione sul numero delle utenze attive ad essa riconducibili.</w:t>
      </w:r>
    </w:p>
    <w:p w14:paraId="7B53ACC3" w14:textId="4DAA76A5" w:rsidR="00A879AA" w:rsidRDefault="00953D02">
      <w:pPr>
        <w:spacing w:line="360" w:lineRule="auto"/>
        <w:jc w:val="both"/>
      </w:pPr>
      <w:r>
        <w:tab/>
        <w:t xml:space="preserve">Con successiva nota del </w:t>
      </w:r>
      <w:r>
        <w:rPr>
          <w:b/>
          <w:bCs/>
        </w:rPr>
        <w:t>4 settembre 2025 (doc. 5)</w:t>
      </w:r>
      <w:r>
        <w:t>, Archivia Solution S.p.A. replicava ribadendo la soggettività passiva in via mediata dell’operatore ai sensi del comma 831 e rinnovava l’invito a presentare la dichiarazione delle utenze attive e a regolarizzare il canone dovuto.</w:t>
      </w:r>
    </w:p>
    <w:p w14:paraId="5417BC30" w14:textId="1F966ED0" w:rsidR="00A879AA" w:rsidRDefault="00953D02">
      <w:pPr>
        <w:spacing w:line="360" w:lineRule="auto"/>
        <w:jc w:val="both"/>
      </w:pPr>
      <w:r>
        <w:tab/>
        <w:t xml:space="preserve">In data </w:t>
      </w:r>
      <w:r>
        <w:rPr>
          <w:b/>
          <w:bCs/>
        </w:rPr>
        <w:t>20 ottobre 2025 (doc. 6)</w:t>
      </w:r>
      <w:r>
        <w:t>, VODAFONE ITALIA S.p.A. trasmetteva un ulteriore riscontro, con il quale insisteva nella propria asserita estraneità all’obbligo di pagamento del canone e richiamava alcune pronunce di merito ad essa favorevoli, ma, ancora una volta, ometteva di rendere la dichiarazione delle utenze attive richiesta e di procedere alla regolarizzazione.</w:t>
      </w:r>
    </w:p>
    <w:p w14:paraId="5417BC31" w14:textId="1F966ED1" w:rsidR="00A879AA" w:rsidRDefault="00953D02">
      <w:pPr>
        <w:spacing w:line="360" w:lineRule="auto"/>
        <w:jc w:val="both"/>
      </w:pPr>
      <w:r>
        <w:tab/>
        <w:t xml:space="preserve">Medio tempore, con efficacia dal 1° gennaio 2026, VODAFONE ITALIA S.p.A. veniva incorporata, a seguito di fusione, in </w:t>
      </w:r>
      <w:r>
        <w:rPr>
          <w:b/>
          <w:bCs/>
        </w:rPr>
        <w:t>FASTWEB S.p.A.</w:t>
      </w:r>
      <w:r>
        <w:t>, che ne assumeva la posizione giuridica anche con riguardo alla fattispecie per cui è causa.</w:t>
      </w:r>
    </w:p>
    <w:p w14:paraId="5417BC29" w14:textId="1F966EC9" w:rsidR="00A879AA" w:rsidRDefault="00953D02">
      <w:pPr>
        <w:spacing w:line="360" w:lineRule="auto"/>
        <w:jc w:val="both"/>
      </w:pPr>
      <w:r>
        <w:tab/>
        <w:t>Attesa la perdurante mancata collaborazione della società, il Comune di Palestro emetteva l’</w:t>
      </w:r>
      <w:r>
        <w:rPr>
          <w:b/>
          <w:bCs/>
        </w:rPr>
        <w:t>Avviso di Accertamento Esecutivo n. 5 del 02.03.2026 (doc. 7)</w:t>
      </w:r>
      <w:r>
        <w:t xml:space="preserve">, avente ad oggetto l’omesso versamento del </w:t>
      </w:r>
      <w:r>
        <w:rPr>
          <w:b/>
          <w:bCs/>
        </w:rPr>
        <w:t>CUP</w:t>
      </w:r>
      <w:r>
        <w:t xml:space="preserve"> – ai sensi dell’art. 1, comma 831, L. 160/2019 – per le annualità 2021, 2022, 2023 e 2024, nei confronti di FASTWEB S.p.A., in qualità di incorporante di VODAFONE ITALIA S.p.A.</w:t>
      </w:r>
    </w:p>
    <w:p w14:paraId="2D9A4C62" w14:textId="6924DC80" w:rsidR="00A879AA" w:rsidRDefault="00953D02">
      <w:pPr>
        <w:spacing w:line="360" w:lineRule="auto"/>
        <w:jc w:val="both"/>
      </w:pPr>
      <w:r>
        <w:tab/>
        <w:t xml:space="preserve">Il Canone è stato determinato nella sola </w:t>
      </w:r>
      <w:r>
        <w:rPr>
          <w:b/>
          <w:bCs/>
        </w:rPr>
        <w:t>misura minima di legge</w:t>
      </w:r>
      <w:r>
        <w:t xml:space="preserve"> (€ 800,00 annui, come aggiornati secondo l’indice ISTAT applicabile </w:t>
      </w:r>
      <w:r>
        <w:rPr>
          <w:i/>
          <w:iCs/>
        </w:rPr>
        <w:t>ratione temporis</w:t>
      </w:r>
      <w:r>
        <w:t xml:space="preserve">), avendo il Comune accertato, sulla base della popolazione residente nel territorio comunale e </w:t>
      </w:r>
      <w:r>
        <w:lastRenderedPageBreak/>
        <w:t xml:space="preserve">dei dati dell’Osservatorio sulle Comunicazioni AGCOM </w:t>
      </w:r>
      <w:r>
        <w:rPr>
          <w:b/>
          <w:bCs/>
        </w:rPr>
        <w:t>(doc. 8)</w:t>
      </w:r>
      <w:r>
        <w:t>, la soggettività passiva di FASTWEB S.p.A. per la sola quota fissa, stante l’omessa dichiarazione delle utenze attive.</w:t>
      </w:r>
    </w:p>
    <w:p w14:paraId="13711D20" w14:textId="462BFF47" w:rsidR="00A879AA" w:rsidRDefault="00953D02">
      <w:pPr>
        <w:spacing w:line="360" w:lineRule="auto"/>
        <w:jc w:val="both"/>
      </w:pPr>
      <w:r>
        <w:tab/>
        <w:t xml:space="preserve">Avverso tale avviso di accertamento FASTWEB S.p.A. ha proposto opposizione dinanzi a codesto Tribunale, deducendo: </w:t>
      </w:r>
      <w:r>
        <w:rPr>
          <w:b/>
          <w:bCs/>
        </w:rPr>
        <w:t>I)</w:t>
      </w:r>
      <w:r>
        <w:t xml:space="preserve"> Illegittimità dell’avviso di accertamento per aperta violazione dell’art. 1, comma 831, della L.n.160/2019, dell’art.5, comma 14 quinquies, del d.l.n.146/2021. Difetto di legittimazione passiva di Fastweb s.p.a.</w:t>
      </w:r>
    </w:p>
    <w:p w14:paraId="75772013" w14:textId="77777777" w:rsidR="00A879AA" w:rsidRDefault="00000000">
      <w:pPr>
        <w:spacing w:line="360" w:lineRule="auto"/>
        <w:jc w:val="center"/>
      </w:pPr>
      <w:r>
        <w:t>* * *</w:t>
      </w:r>
    </w:p>
    <w:p w14:paraId="761675BB" w14:textId="20ED2C66" w:rsidR="00A879AA" w:rsidRDefault="00953D02">
      <w:pPr>
        <w:spacing w:line="360" w:lineRule="auto"/>
        <w:jc w:val="both"/>
      </w:pPr>
      <w:r>
        <w:tab/>
        <w:t>Con il presente atto il Comune di Palestro si costituisce in giudizio, contestando le domande, le eccezioni e le deduzioni avversarie, delle quali chiede il rigetto per i seguenti</w:t>
      </w:r>
    </w:p>
    <w:p w14:paraId="56AF784D" w14:textId="77777777" w:rsidR="00A879AA" w:rsidRDefault="00000000">
      <w:pPr>
        <w:spacing w:line="360" w:lineRule="auto"/>
        <w:jc w:val="center"/>
      </w:pPr>
      <w:r>
        <w:rPr>
          <w:b/>
          <w:bCs/>
        </w:rPr>
        <w:t>MOTIVI</w:t>
      </w:r>
    </w:p>
    <w:p w14:paraId="24A6F512" w14:textId="77777777" w:rsidR="00A879AA" w:rsidRDefault="00000000">
      <w:pPr>
        <w:spacing w:line="360" w:lineRule="auto"/>
        <w:jc w:val="both"/>
      </w:pPr>
      <w:r>
        <w:rPr>
          <w:b/>
          <w:bCs/>
        </w:rPr>
        <w:t>IN VIA PREGIUDIZIALE DI RITO, SI ECCEPISCE IL DIFETTO DI GIURISDIZIONE DEL GIUDICE ORDINARIO IN FAVORE DEL GIUDICE TRIBUTARIO.</w:t>
      </w:r>
    </w:p>
    <w:p w14:paraId="341477E0" w14:textId="7DDA95E6" w:rsidR="00A879AA" w:rsidRDefault="00873328">
      <w:pPr>
        <w:spacing w:line="360" w:lineRule="auto"/>
        <w:jc w:val="both"/>
      </w:pPr>
      <w:r>
        <w:tab/>
        <w:t>La presente controversia ha ad oggetto la debenza del Canone Unico Patrimoniale (CUP), che rientra nella giurisdizione esclusiva delle Corti di Giustizia Tributaria ai sensi dell’art. 2 del D.Lgs. n. 546/1992.</w:t>
      </w:r>
    </w:p>
    <w:p w14:paraId="10479908" w14:textId="45B58187" w:rsidR="00A879AA" w:rsidRDefault="00873328">
      <w:pPr>
        <w:spacing w:line="360" w:lineRule="auto"/>
        <w:jc w:val="both"/>
      </w:pPr>
      <w:r>
        <w:rPr>
          <w:b/>
          <w:bCs/>
        </w:rPr>
        <w:tab/>
        <w:t xml:space="preserve">Ed infatti, la questione sulla natura giuridica del CUP e sulla conseguente giurisdizione è stata definitivamente risolta dalle Sezioni Unite della Corte di Cassazione che, con la sentenza n. 12225 del 1° maggio 2026, hanno enunciato il seguente principio di diritto: </w:t>
      </w:r>
      <w:r>
        <w:rPr>
          <w:b/>
          <w:bCs/>
          <w:i/>
          <w:iCs/>
        </w:rPr>
        <w:t>“Il canone unico patrimoniale di cui all’art. 1, commi 816-847, della legge n. 160 del 2019, ha, in ogni caso, natura tributaria”</w:t>
      </w:r>
      <w:r>
        <w:rPr>
          <w:b/>
          <w:bCs/>
        </w:rPr>
        <w:t>.</w:t>
      </w:r>
    </w:p>
    <w:p w14:paraId="25C6746A" w14:textId="5F370450" w:rsidR="00A879AA" w:rsidRDefault="00873328">
      <w:pPr>
        <w:spacing w:line="360" w:lineRule="auto"/>
        <w:jc w:val="both"/>
      </w:pPr>
      <w:r>
        <w:tab/>
        <w:t xml:space="preserve">La Suprema Corte ha chiarito che, al di là del </w:t>
      </w:r>
      <w:r>
        <w:rPr>
          <w:i/>
          <w:iCs/>
        </w:rPr>
        <w:t>nomen iuris</w:t>
      </w:r>
      <w:r>
        <w:t xml:space="preserve"> utilizzato dal legislatore, il CUP possiede tutti i caratteri tipici del tributo: è una prestazione patrimoniale imposta coattivamente dalla legge, destinata a finanziare le spese pubbliche dell’ente locale.</w:t>
      </w:r>
    </w:p>
    <w:p w14:paraId="496CDC4D" w14:textId="5CAD5CF5" w:rsidR="00A879AA" w:rsidRDefault="00873328">
      <w:pPr>
        <w:spacing w:line="360" w:lineRule="auto"/>
        <w:jc w:val="both"/>
      </w:pPr>
      <w:r>
        <w:tab/>
        <w:t>Di conseguenza, essendo pacifico che il CUP è un tributo, ogni controversia relativa alla sua debenza, come quella odierna, è sottratta alla giurisdizione del Giudice Ordinario e appartiene alla cognizione del Giudice Tributario.</w:t>
      </w:r>
    </w:p>
    <w:p w14:paraId="704C4EFC" w14:textId="01D4126D" w:rsidR="00A879AA" w:rsidRDefault="00873328">
      <w:pPr>
        <w:spacing w:line="360" w:lineRule="auto"/>
        <w:jc w:val="both"/>
      </w:pPr>
      <w:r>
        <w:tab/>
        <w:t>Si chiede, pertanto, che l’Ill.mo Tribunale adito voglia dichiarare il proprio difetto di giurisdizione in favore del Giudice Tributario.</w:t>
      </w:r>
    </w:p>
    <w:p w14:paraId="3A7F11A8" w14:textId="77777777" w:rsidR="00A879AA" w:rsidRDefault="00000000">
      <w:pPr>
        <w:spacing w:line="360" w:lineRule="auto"/>
        <w:jc w:val="center"/>
      </w:pPr>
      <w:r>
        <w:rPr>
          <w:b/>
          <w:bCs/>
        </w:rPr>
        <w:t>NEL MERITO</w:t>
      </w:r>
    </w:p>
    <w:p w14:paraId="37D53A77" w14:textId="77777777" w:rsidR="00A879AA" w:rsidRDefault="00000000">
      <w:pPr>
        <w:spacing w:line="360" w:lineRule="auto"/>
        <w:jc w:val="both"/>
      </w:pPr>
      <w:r>
        <w:rPr>
          <w:b/>
          <w:bCs/>
        </w:rPr>
        <w:t xml:space="preserve">I) Sulla pretesa </w:t>
      </w:r>
      <w:r>
        <w:rPr>
          <w:b/>
          <w:bCs/>
          <w:i/>
          <w:iCs/>
        </w:rPr>
        <w:t>“Illegittimità dell’avviso di accertamento per aperta violazione dell’art. 1, comma 831, della L.n.160/2019, dell’art.5, comma 14 quinquies, del d.l.n.146/2021. Difetto di legittimazione passiva di Fastweb s.p.a.”</w:t>
      </w:r>
      <w:r>
        <w:rPr>
          <w:b/>
          <w:bCs/>
        </w:rPr>
        <w:t>.</w:t>
      </w:r>
    </w:p>
    <w:p w14:paraId="0A30B84E" w14:textId="3FD396E5" w:rsidR="00A879AA" w:rsidRDefault="00873328">
      <w:pPr>
        <w:spacing w:line="360" w:lineRule="auto"/>
        <w:jc w:val="both"/>
      </w:pPr>
      <w:r>
        <w:lastRenderedPageBreak/>
        <w:tab/>
        <w:t xml:space="preserve">Con riferimento alle doglianze in epigrafe riportate, va in primo luogo riferito che di recente la </w:t>
      </w:r>
      <w:r>
        <w:rPr>
          <w:b/>
          <w:bCs/>
        </w:rPr>
        <w:t>CORTE SUPREMA DI CASSAZIONE, Sezione Terza Civile, sentenza n. 11479 del 28 aprile 2026 (doc. 9)</w:t>
      </w:r>
      <w:r>
        <w:t xml:space="preserve"> ha chiarito - per la prima volta a livello di legittimità - le questioni giuridiche che costituiscono il nucleo del presente contenzioso, enunciando il seguente principio di diritto: </w:t>
      </w:r>
      <w:r>
        <w:rPr>
          <w:b/>
          <w:bCs/>
          <w:i/>
          <w:iCs/>
        </w:rPr>
        <w:t>“il gestore di servizi telefonici il quale si avvalga dell’accesso "virtuale" ad una rete di proprietà altrui (ad es., mediante tecnologia VULA) è obbligato al pagamento del CUP” (Cass. Civ., Sez. III, n. 11479/2026).</w:t>
      </w:r>
    </w:p>
    <w:p w14:paraId="0A1B5058" w14:textId="3350AAFB" w:rsidR="00A879AA" w:rsidRDefault="00873328">
      <w:pPr>
        <w:spacing w:line="360" w:lineRule="auto"/>
        <w:jc w:val="both"/>
      </w:pPr>
      <w:r>
        <w:tab/>
        <w:t xml:space="preserve">Ed infatti, la Corte ha statuito che la </w:t>
      </w:r>
      <w:r>
        <w:rPr>
          <w:b/>
          <w:bCs/>
        </w:rPr>
        <w:t>distinzione tra uso materiale e uso virtuale</w:t>
      </w:r>
      <w:r>
        <w:t xml:space="preserve"> dell’infrastruttura di rete, su cui si fonda la tesi dell’opponente, </w:t>
      </w:r>
      <w:r>
        <w:rPr>
          <w:b/>
          <w:bCs/>
        </w:rPr>
        <w:t>è erronea in diritto: i segnali delle linee telefoniche si propagano per legge fisica sempre attraverso un supporto materiale, sicché l’accesso VULA è virtuale unicamente nella modalità tecnica di accesso, non nell’utilizzo della rete, che rimane in ogni caso materiale e costituisce pertanto occupazione mediata ai sensi dell’art. 1, comma 831, L. 160/2019.</w:t>
      </w:r>
    </w:p>
    <w:p w14:paraId="54E608CC" w14:textId="38BC3D38" w:rsidR="00A879AA" w:rsidRDefault="00873328">
      <w:pPr>
        <w:spacing w:line="360" w:lineRule="auto"/>
        <w:jc w:val="both"/>
      </w:pPr>
      <w:r>
        <w:tab/>
        <w:t xml:space="preserve">La Suprema Corte ha, altresì, definitivamente chiarito che </w:t>
      </w:r>
      <w:r>
        <w:rPr>
          <w:b/>
          <w:bCs/>
        </w:rPr>
        <w:t>l’art. 5, comma 14-quinquies, D.L. 146/2021 non è applicabile al settore delle telecomunicazioni: l’esenzione ivi prevista opera esclusivamente a favore di chi vende beni ai sensi dell’art. 1470 c.c. e non a favore di chi, come l’operatore telefonico, eroga un servizio. Trattandosi di norma eccezionale, essa è di stretta interpretazione e non è suscettibile di applicazione estensiva al settore TLC.</w:t>
      </w:r>
    </w:p>
    <w:p w14:paraId="17EC693B" w14:textId="2885659C" w:rsidR="00A879AA" w:rsidRDefault="00873328">
      <w:pPr>
        <w:spacing w:line="360" w:lineRule="auto"/>
        <w:jc w:val="both"/>
      </w:pPr>
      <w:r>
        <w:tab/>
        <w:t>La pronuncia della Corte di legittimità si spera abbia messo un punto definitivo sulla querelle portata avanti dalle società telefoniche che muove da premesse errate.</w:t>
      </w:r>
    </w:p>
    <w:p w14:paraId="638DBE38" w14:textId="2097EA77" w:rsidR="00A879AA" w:rsidRDefault="00873328">
      <w:pPr>
        <w:spacing w:line="360" w:lineRule="auto"/>
        <w:jc w:val="both"/>
      </w:pPr>
      <w:r>
        <w:rPr>
          <w:b/>
          <w:bCs/>
        </w:rPr>
        <w:tab/>
        <w:t>Questi i fatti e la normativa di riferimento.</w:t>
      </w:r>
    </w:p>
    <w:p w14:paraId="4FC7569D" w14:textId="7F0A9412" w:rsidR="00A879AA" w:rsidRDefault="00873328">
      <w:pPr>
        <w:spacing w:line="360" w:lineRule="auto"/>
        <w:jc w:val="both"/>
      </w:pPr>
      <w:r>
        <w:tab/>
        <w:t>Nella narrativa avversaria, sostanzialmente, Fastweb S.p.A. richiama una normativa oltre che non più attuale, anche recisamente disattesa dallo stesso Legislatore oltre che afferente a diverse fattispecie normativamente regolamentate.</w:t>
      </w:r>
    </w:p>
    <w:p w14:paraId="2D52B0EF" w14:textId="53DF6342" w:rsidR="00A879AA" w:rsidRDefault="00873328">
      <w:pPr>
        <w:spacing w:line="360" w:lineRule="auto"/>
        <w:jc w:val="both"/>
      </w:pPr>
      <w:r>
        <w:tab/>
        <w:t>Pertanto, per meglio inquadrare la fattispecie portata all’attenzione del Giudice, si impone un breve excursus normativo in tema di legittimazione passiva, al fine di individuare il/i soggetto/i passivamente tenuti al pagamento del canone patrimoniale unico e ciò anche nell’ipotesi di uso in via mediata in condivisione delle infrastrutture concessionate ad un unico Operatore.</w:t>
      </w:r>
    </w:p>
    <w:p w14:paraId="585A89E1" w14:textId="3BEFCA65" w:rsidR="00A879AA" w:rsidRDefault="00873328">
      <w:pPr>
        <w:spacing w:line="360" w:lineRule="auto"/>
        <w:jc w:val="both"/>
      </w:pPr>
      <w:r>
        <w:tab/>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24685A67" w14:textId="79346259" w:rsidR="00A879AA" w:rsidRDefault="00873328">
      <w:pPr>
        <w:spacing w:line="360" w:lineRule="auto"/>
        <w:jc w:val="both"/>
      </w:pPr>
      <w:r>
        <w:lastRenderedPageBreak/>
        <w:tab/>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5260D6D7" w14:textId="69ADF27B" w:rsidR="00A879AA" w:rsidRDefault="00873328">
      <w:pPr>
        <w:spacing w:line="360" w:lineRule="auto"/>
        <w:jc w:val="both"/>
      </w:pPr>
      <w:r>
        <w:tab/>
        <w:t>E ciò ha fatto fornendo un’interpretazione che ora possiamo definire definitiva dell’art. 1 comma 831 della predetta Legge.</w:t>
      </w:r>
    </w:p>
    <w:p w14:paraId="681EE380" w14:textId="513C4627" w:rsidR="00A879AA" w:rsidRDefault="00873328">
      <w:pPr>
        <w:spacing w:line="360" w:lineRule="auto"/>
        <w:jc w:val="both"/>
      </w:pPr>
      <w:r>
        <w:tab/>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040A86D6" w14:textId="105C2E79" w:rsidR="00A879AA" w:rsidRDefault="00873328">
      <w:pPr>
        <w:spacing w:line="360" w:lineRule="auto"/>
        <w:jc w:val="both"/>
      </w:pPr>
      <w:r>
        <w:tab/>
        <w:t>Il titolare della concessione comunale avrebbe, poi, esercitato rivalsa sulle aziende che utilizzavano la stessa rete, per quanto complessivamente ed obbligatoriamente da esso anticipato al locale Comune anche in loro vece e favore.</w:t>
      </w:r>
    </w:p>
    <w:p w14:paraId="22E37159" w14:textId="3B6F8570" w:rsidR="00A879AA" w:rsidRDefault="00873328">
      <w:pPr>
        <w:spacing w:line="360" w:lineRule="auto"/>
        <w:jc w:val="both"/>
      </w:pPr>
      <w:r>
        <w:tab/>
        <w:t xml:space="preserve">Nella vigenza di tale normativa o, meglio, prassi applicativa </w:t>
      </w:r>
      <w:r>
        <w:rPr>
          <w:b/>
          <w:bCs/>
        </w:rPr>
        <w:t>(poiché tale indirizzo normativo mai è entrato in vigore)</w:t>
      </w:r>
      <w:r>
        <w:t xml:space="preserve"> il soggetto chiamato a corrispondere il canone sarebbe stato esclusivamente Tim/Telecom s.p.a., quale unico soggetto concessionato all’uso del sottosuolo pubblico salvo, come anticipato, il suo diritto alla rivalsa / regresso nei confronti degli altri utilizzatori tra cui, evidentemente, anche </w:t>
      </w:r>
      <w:r>
        <w:rPr>
          <w:b/>
          <w:bCs/>
        </w:rPr>
        <w:t>FASTWEB S.p.A., che pacificamente utilizza, mediante le reti altrui, collegamenti</w:t>
      </w:r>
      <w:r>
        <w:t xml:space="preserve"> VULA (Virtual Unbundled Local Access), NGA (Next Generation Access) e SLU (Sub Loop Unbundling); per chiarezza espositiva si evidenzia che con tali acronimi si indicano le modalità che gli operatori di rete hanno a disposizione per accedere alla rete dell’operatore concessionato Tim/Telecom s.p.a./Open Fiber, ex monopolista delle infrastrutture nazionali.</w:t>
      </w:r>
    </w:p>
    <w:p w14:paraId="0A802041" w14:textId="405EFD58" w:rsidR="00A879AA" w:rsidRDefault="00873328">
      <w:pPr>
        <w:spacing w:line="360" w:lineRule="auto"/>
        <w:jc w:val="both"/>
      </w:pPr>
      <w:r>
        <w:tab/>
        <w:t xml:space="preserve">Tuttavia, poi, il Legislatore con il </w:t>
      </w:r>
      <w:r>
        <w:rPr>
          <w:b/>
          <w:bCs/>
        </w:rPr>
        <w:t>comma 848 della Legge 178/2020</w:t>
      </w:r>
      <w:r>
        <w:t xml:space="preserve"> ha apportato radicali modifiche, stravolgendola, alla disciplina riscrivendo il comma 831 ed introducendo il concetto della c.d. </w:t>
      </w:r>
      <w:r>
        <w:rPr>
          <w:b/>
          <w:bCs/>
        </w:rPr>
        <w:t>soggettività passiva in via mediata</w:t>
      </w:r>
      <w:r>
        <w:t xml:space="preserve"> quale presupposto per l’applicazione della norma di cui, di seguito, riportiamo la sintesi.</w:t>
      </w:r>
    </w:p>
    <w:p w14:paraId="70620493" w14:textId="77777777" w:rsidR="00A879AA" w:rsidRDefault="00000000">
      <w:pPr>
        <w:spacing w:line="360" w:lineRule="auto"/>
        <w:jc w:val="both"/>
      </w:pPr>
      <w:r>
        <w:t xml:space="preserve">Ad oggi, quindi, il criterio informatore per la fattispecie in esame risulta il seguente: </w:t>
      </w:r>
      <w:r>
        <w:rPr>
          <w:i/>
          <w:iCs/>
        </w:rPr>
        <w:t xml:space="preserve">“il canone è dovuto dal soggetto titolare dell’atto di concessione dell’occupazione del suolo pubblico e dai soggetti che occupano il suolo pubblico anche in via mediata attraverso l’utilizzo materiale delle infrastrutture del soggetto titolare della concessione </w:t>
      </w:r>
      <w:r>
        <w:rPr>
          <w:i/>
          <w:iCs/>
        </w:rPr>
        <w:lastRenderedPageBreak/>
        <w:t>sulla base del numero delle rispettive utenze moltiplicate per la seguente tariffa forfettaria ...omissis...”</w:t>
      </w:r>
      <w:r>
        <w:t>.</w:t>
      </w:r>
    </w:p>
    <w:p w14:paraId="7B56669F" w14:textId="1729E2C7" w:rsidR="00A879AA" w:rsidRDefault="00873328">
      <w:pPr>
        <w:spacing w:line="360" w:lineRule="auto"/>
        <w:jc w:val="both"/>
      </w:pPr>
      <w:r>
        <w:tab/>
        <w:t xml:space="preserve">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 stessa Tim/Telecom s.p.a. al fine di erogare il servizio al proprio Cliente finale, rappresentato dalle singole abitazioni private e/o aziende del territorio nazionale. È questo, in piena evidenza, il caso di </w:t>
      </w:r>
      <w:r>
        <w:rPr>
          <w:b/>
          <w:bCs/>
        </w:rPr>
        <w:t>FASTWEB S.p.A.</w:t>
      </w:r>
      <w:r>
        <w:t>, per gli anni 2021-2024.</w:t>
      </w:r>
    </w:p>
    <w:p w14:paraId="3CABDF44" w14:textId="3CED9C8C" w:rsidR="00A879AA" w:rsidRDefault="00873328">
      <w:pPr>
        <w:spacing w:line="360" w:lineRule="auto"/>
        <w:jc w:val="both"/>
      </w:pPr>
      <w:r>
        <w:tab/>
        <w:t xml:space="preserve">Si noti che: il principio cristallizzato nella nuova formulazione ed interpretazione dell’art. 1 comma 831 è stato mutuato da una risalente Circolare interpretativa del Mef pubblicata nell’anno 2009 (che si produce – </w:t>
      </w:r>
      <w:r>
        <w:rPr>
          <w:b/>
          <w:bCs/>
        </w:rPr>
        <w:t>doc. 10</w:t>
      </w:r>
      <w: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28A11722" w14:textId="029B7FCE" w:rsidR="00A879AA" w:rsidRDefault="00873328">
      <w:pPr>
        <w:spacing w:line="360" w:lineRule="auto"/>
        <w:jc w:val="both"/>
      </w:pPr>
      <w:r>
        <w:tab/>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47014E9D" w14:textId="2282A641" w:rsidR="00A879AA" w:rsidRDefault="00873328">
      <w:pPr>
        <w:spacing w:line="360" w:lineRule="auto"/>
        <w:jc w:val="both"/>
      </w:pPr>
      <w:r>
        <w:tab/>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1831C005" w14:textId="0930C9BC" w:rsidR="00A879AA" w:rsidRDefault="00873328">
      <w:pPr>
        <w:spacing w:line="360" w:lineRule="auto"/>
        <w:jc w:val="both"/>
      </w:pPr>
      <w:r>
        <w:tab/>
        <w:t>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p>
    <w:p w14:paraId="47A03145" w14:textId="2FB7EBAB" w:rsidR="00A879AA" w:rsidRDefault="00873328">
      <w:pPr>
        <w:spacing w:line="360" w:lineRule="auto"/>
        <w:jc w:val="both"/>
      </w:pPr>
      <w:r>
        <w:tab/>
        <w:t xml:space="preserve">Ad oggi, infatti, dai dati Agcom si rileva che le più importanti Compagnie operanti sul territorio nazionale detengono le seguenti quote di mercato: Tim/Telecom s.p.a. il 39,70% delle utenze del mercato nazionale, </w:t>
      </w:r>
      <w:r>
        <w:rPr>
          <w:b/>
          <w:bCs/>
        </w:rPr>
        <w:t>Fastweb s.p.a. il 13,8%</w:t>
      </w:r>
      <w:r>
        <w:t>, Vodafone il 15,9% e Wind il 13,90% (cfr. osservatorio Agcom aggiornato al 2024 - doc. 8); le Compagnie minori si spartiscono le residue quote.</w:t>
      </w:r>
    </w:p>
    <w:p w14:paraId="678EF968" w14:textId="3DD8C5B4" w:rsidR="00A879AA" w:rsidRDefault="00873328">
      <w:pPr>
        <w:spacing w:line="360" w:lineRule="auto"/>
        <w:jc w:val="both"/>
      </w:pPr>
      <w:r>
        <w:lastRenderedPageBreak/>
        <w:tab/>
        <w:t xml:space="preserve">Tale equilibrio di mercato si riverbera, statisticamente, anche all’interno di numerosi Comuni dove, conseguentemente e parallelamente, si è rilevato uno speculare decremento delle entrate comunali proprio per la progressiva diminuzione delle utenze riconducibili all’ex monopolista </w:t>
      </w:r>
      <w:r>
        <w:rPr>
          <w:b/>
          <w:bCs/>
        </w:rPr>
        <w:t>Tim/Telecom s.p.a. che versa, ora, solo la quota di sua esclusiva spettanza e non già l’intero del dovuto.</w:t>
      </w:r>
    </w:p>
    <w:p w14:paraId="730306B6" w14:textId="40256847" w:rsidR="00A879AA" w:rsidRDefault="00873328">
      <w:pPr>
        <w:spacing w:line="360" w:lineRule="auto"/>
        <w:jc w:val="both"/>
      </w:pPr>
      <w:r>
        <w:tab/>
        <w:t>Questa, dunque, la sintesi: con la prima versione del comma 831 sarebbe stato Tim/Telecom s.p.a. l’unico soggetto tenuto all’intero pagamento del canone unico, salvo il suo diritto di rivalsa nei confronti degli altri operatori che usufruivano delle sue infrastrutture; ed invece, con la modifica apportata dal Legislatore in sede di Legge di bilancio 2021 è stato disposto che anche gli altri operatori che usufruiscono dei canali di trasmissione dati, di proprietà Tim/Telecom s.p.a., debbano versare il relativo canone (rapportato sempre al numero di utenze a loro riconducibili) considerandoli, quindi, soggetti passivi in via mediata del tributo.</w:t>
      </w:r>
    </w:p>
    <w:p w14:paraId="56255E97" w14:textId="761E361E" w:rsidR="00A879AA" w:rsidRDefault="00873328">
      <w:pPr>
        <w:spacing w:line="360" w:lineRule="auto"/>
        <w:jc w:val="both"/>
      </w:pPr>
      <w:r>
        <w:tab/>
        <w:t xml:space="preserve">Da qui l’incontestabile individuazione, da parte del Comune di PALESTRO, in </w:t>
      </w:r>
      <w:r>
        <w:rPr>
          <w:b/>
          <w:bCs/>
        </w:rPr>
        <w:t>FASTWEB S.p.A.</w:t>
      </w:r>
      <w:r>
        <w:t>, di uno dei soggetti passivamente tenuti al versamento del canone per cui è processo, per la parte legata ad occupazioni in via mediata tramite le infrastrutture di altri soggetti.</w:t>
      </w:r>
    </w:p>
    <w:p w14:paraId="72AAA50A" w14:textId="000F244C" w:rsidR="00A879AA" w:rsidRDefault="00873328">
      <w:pPr>
        <w:spacing w:line="360" w:lineRule="auto"/>
        <w:jc w:val="both"/>
      </w:pPr>
      <w:r>
        <w:tab/>
        <w:t>Invero, la norma richiamata da FASTWEB S.p.A., secondo la quale la casistica della condivisione delle reti, come sopra esposta, ricadrebbe nell’ambito applicativo dell’interpretazione autentica del comma 831, successivamente introdotta dal Legislatore, riguarda altra e diversa fattispecie, ben distinta da quella oggi portata all’attenzione del Giudice.</w:t>
      </w:r>
    </w:p>
    <w:p w14:paraId="178A56D6" w14:textId="5FF033C6" w:rsidR="00A879AA" w:rsidRDefault="00873328">
      <w:pPr>
        <w:spacing w:line="360" w:lineRule="auto"/>
        <w:jc w:val="both"/>
      </w:pPr>
      <w:r>
        <w:tab/>
        <w:t>Essa, infatti, è applicabile esclusivamente al caso in cui vi sia una netta separazione tra il soggetto proprietario delle infrastrutture ed il soggetto titolare del contratto di somministrazione del bene distribuito attraverso le medesime infrastrutture.</w:t>
      </w:r>
    </w:p>
    <w:p w14:paraId="3132204B" w14:textId="1CFF2DAB" w:rsidR="00A879AA" w:rsidRDefault="00873328">
      <w:pPr>
        <w:spacing w:line="360" w:lineRule="auto"/>
        <w:jc w:val="both"/>
      </w:pPr>
      <w:r>
        <w:tab/>
        <w:t>Per meglio rappresentare come la disciplina novellata, dietro la quale FASTWEB S.p.A. vorrebbe trincerarsi, sia applicabile a diversa casistica richiamiamo la normativa di cui all’art. 21 del D.lgs 23 Maggio 2000 n. 164 concernente le disposizioni di attuazione della direttiva n. 98/30/CE inerente la distribuzione del gas naturale e la normativa di cui all’art. 1 del D.lgs 18 Giugno 2007 n. 73 convertito in legge n. 125 del 3 Agosto 2007, con la quale sono state disposte “misure urgenti per l’attuazione di disposizioni comunitarie in materia di liberalizzazione dei mercati dell’energia”.</w:t>
      </w:r>
    </w:p>
    <w:p w14:paraId="6B0D9AD6" w14:textId="0487A81B" w:rsidR="00A879AA" w:rsidRDefault="00873328">
      <w:pPr>
        <w:spacing w:line="360" w:lineRule="auto"/>
        <w:jc w:val="both"/>
      </w:pPr>
      <w:r>
        <w:tab/>
        <w:t xml:space="preserve">In tali tipi di distribuzione si assiste ad una netta separazione tra l’attività di distribuzione e quella di vendita che si concreta nel fatto che il gas o l’energia elettrica </w:t>
      </w:r>
      <w:r>
        <w:lastRenderedPageBreak/>
        <w:t>vengono distribuiti in rete da una determinata società (per esempio Enel Distribuzione s.p.a.) ed una volta che sono “transitate” nell’infrastruttura concessionata di proprietà esclusiva di un soggetto, vengono commercializzate da altre società (come nel caso in esame da Enel Energia s.p.a. e/o altre società deputate alla sola vendita) per poi raggiungere l’utente finale.</w:t>
      </w:r>
    </w:p>
    <w:p w14:paraId="03F9E96D" w14:textId="6348C303" w:rsidR="00A879AA" w:rsidRDefault="00873328">
      <w:pPr>
        <w:spacing w:line="360" w:lineRule="auto"/>
        <w:jc w:val="both"/>
      </w:pPr>
      <w:r>
        <w:tab/>
        <w:t xml:space="preserve">Ma ciò non accade nel caso e nel settore delle telecomunicazioni laddove il Legislatore </w:t>
      </w:r>
      <w:r>
        <w:rPr>
          <w:b/>
          <w:bCs/>
        </w:rPr>
        <w:t>non impone una separazione</w:t>
      </w:r>
      <w:r>
        <w:t xml:space="preserve"> tra soggetto fornitore e soggetto che poi effettivamente vende il prodotto (come nel richiamato caso di gas od energia elettrica), ma anzi impone e normativamente incentiva la condivisione delle reti/infrastrutture e ciò anche in attuazione di precise direttive comunitarie.</w:t>
      </w:r>
    </w:p>
    <w:p w14:paraId="257C9A72" w14:textId="796E348F" w:rsidR="00A879AA" w:rsidRDefault="00873328">
      <w:pPr>
        <w:spacing w:line="360" w:lineRule="auto"/>
        <w:jc w:val="both"/>
      </w:pPr>
      <w:r>
        <w:tab/>
        <w:t>Questa è la ragione per la quale il Legislatore ha appositamente previsto, per questa sola ipotesi di condivisione delle infrastrutture, il concetto applicativo di soggettività passiva mediata.</w:t>
      </w:r>
    </w:p>
    <w:p w14:paraId="383DC275" w14:textId="13E3566D" w:rsidR="00A879AA" w:rsidRDefault="00873328">
      <w:pPr>
        <w:spacing w:line="360" w:lineRule="auto"/>
        <w:jc w:val="both"/>
      </w:pPr>
      <w:r>
        <w:tab/>
        <w:t>Con la conseguenza che la normativa di cui all’art. 5 comma 14 quinquies del D.L. 146/2021, richiamata da FASTWEB S.p.A., è applicabile e/o riferibile esclusivamente ai casi in cui si deve attuare, per legge, una fisica separazione tra il soggetto titolare dell’infrastruttura ed il soggetto titolare del contratto di vendita del bene che, poi, distribuirà al cliente finale.</w:t>
      </w:r>
    </w:p>
    <w:p w14:paraId="3459E170" w14:textId="13774C79" w:rsidR="00A879AA" w:rsidRDefault="00873328">
      <w:pPr>
        <w:spacing w:line="360" w:lineRule="auto"/>
        <w:jc w:val="both"/>
      </w:pPr>
      <w:r>
        <w:tab/>
        <w:t xml:space="preserve">Inoltre, con la novella dell’anno 2021 il Legislatore nuovamente intervenendo nella disciplina di cui al comma 831 ha stabilito che: </w:t>
      </w:r>
      <w:r>
        <w:rPr>
          <w:i/>
          <w:iCs/>
        </w:rPr>
        <w:t>“il comma 831 dell’articolo 1 della Legge 27 dicembre 2019 n. 160 si interpreta nel senso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w:t>
      </w:r>
      <w:r>
        <w:t>.</w:t>
      </w:r>
    </w:p>
    <w:p w14:paraId="772A64D8" w14:textId="62BD6C43" w:rsidR="00A879AA" w:rsidRDefault="00873328">
      <w:pPr>
        <w:spacing w:line="360" w:lineRule="auto"/>
        <w:jc w:val="both"/>
      </w:pPr>
      <w:r>
        <w:rPr>
          <w:b/>
          <w:bCs/>
        </w:rPr>
        <w:tab/>
        <w:t>MA</w:t>
      </w:r>
      <w:r>
        <w:t xml:space="preserve"> questa è norma, come anticipato, valevole solo per i mercati di vendita/commercializzazione del gas e dell’energia elettrica e </w:t>
      </w:r>
      <w:r>
        <w:rPr>
          <w:b/>
          <w:bCs/>
        </w:rPr>
        <w:t>non già per il settore della telefonia</w:t>
      </w:r>
      <w:r>
        <w:t xml:space="preserve"> e trasmissione dati nel quale, non solo per espressa volontà normativa nazionale ma anche per volontà comunitaria, deve esistere, come in effetti esiste, </w:t>
      </w:r>
      <w:r>
        <w:rPr>
          <w:b/>
          <w:bCs/>
        </w:rPr>
        <w:t>condivisione</w:t>
      </w:r>
      <w:r>
        <w:t xml:space="preserve"> delle infrastrutture e delle reti.</w:t>
      </w:r>
    </w:p>
    <w:p w14:paraId="306BA689" w14:textId="17EF29EC" w:rsidR="00A879AA" w:rsidRDefault="00873328">
      <w:pPr>
        <w:spacing w:line="360" w:lineRule="auto"/>
        <w:jc w:val="both"/>
      </w:pPr>
      <w:r>
        <w:tab/>
        <w:t xml:space="preserve">Del resto, è la stessa FASTWEB S.p.A. nella narrativa del proprio atto a descrivere le modalità operative di condivisione delle infrastrutture e la modalità tecnica di collegamento denominata BITSTREAM NGA, </w:t>
      </w:r>
      <w:r>
        <w:rPr>
          <w:b/>
          <w:bCs/>
        </w:rPr>
        <w:t xml:space="preserve">che prevede che </w:t>
      </w:r>
      <w:r>
        <w:rPr>
          <w:b/>
          <w:bCs/>
        </w:rPr>
        <w:lastRenderedPageBreak/>
        <w:t>l’operatore sia presente non sul territorio comunale, né nella centrale TIM prossima alle abitazioni da servire, bensì esclusivamente in un Punto di Interconnessione (PDI) collocato a monte, a livello di area o macroarea</w:t>
      </w:r>
      <w:r>
        <w:t>.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2CE0972F" w14:textId="4D280592" w:rsidR="00A879AA" w:rsidRPr="00CC57B2" w:rsidRDefault="00873328">
      <w:pPr>
        <w:spacing w:line="360" w:lineRule="auto"/>
        <w:jc w:val="both"/>
      </w:pPr>
      <w:r>
        <w:tab/>
        <w:t xml:space="preserve">La natura stessa dell’infrastruttura vuole, quindi, una compresenza di più operatori che agiscono sulla/nella rete Tim/Telecom s.p.a. che utilizza, anch’essa, la rete insieme ai suoi competitors; </w:t>
      </w:r>
      <w:r>
        <w:rPr>
          <w:u w:val="single"/>
        </w:rPr>
        <w:t>ciò differentemente da quanto accade nel caso delle società proprietarie della rete di distribuzione del gas o dell’energia elettrica che non possono, per legge, direttamente vendere il prodotto agli utenti finali</w:t>
      </w:r>
      <w:r>
        <w:t>, dovendosi invece rivolgere ad altre società che effettuano (solo loro) la vendita, per commercializzare il prodotto veicolato nelle proprie infrastrutture (gas /energia elettrica).</w:t>
      </w:r>
    </w:p>
    <w:p w14:paraId="4B77697B" w14:textId="77777777" w:rsidR="00CC57B2" w:rsidRPr="00D20535" w:rsidRDefault="00CC57B2" w:rsidP="00CC57B2">
      <w:pPr>
        <w:spacing w:line="360" w:lineRule="auto"/>
        <w:ind w:firstLine="709"/>
        <w:rPr>
          <w:rFonts w:eastAsia="Calibri"/>
        </w:rPr>
      </w:pPr>
      <w:r>
        <w:rPr>
          <w:rFonts w:eastAsia="Calibri"/>
        </w:rPr>
        <w:t>Di seguito uno schema riassuntivo sulla differenza di utilizzo della rete tra le società di TLC e le società che commercializzano Gas ed Energia.</w:t>
      </w:r>
    </w:p>
    <w:p w14:paraId="5C80923F" w14:textId="77777777" w:rsidR="00CC57B2" w:rsidRDefault="00CC57B2">
      <w:pPr>
        <w:spacing w:line="360" w:lineRule="auto"/>
        <w:jc w:val="both"/>
      </w:pPr>
    </w:p>
    <w:p w14:paraId="6B50BADC" w14:textId="148A64A0" w:rsidR="00CC57B2" w:rsidRDefault="00824E76">
      <w:pPr>
        <w:spacing w:line="360" w:lineRule="auto"/>
        <w:jc w:val="both"/>
      </w:pPr>
      <w:r>
        <w:rPr>
          <w:rFonts w:eastAsia="Times New Roman"/>
          <w:noProof/>
        </w:rPr>
        <w:drawing>
          <wp:inline distT="0" distB="0" distL="0" distR="0" wp14:anchorId="1C430580" wp14:editId="4D48CFA0">
            <wp:extent cx="5875430" cy="4484536"/>
            <wp:effectExtent l="0" t="0" r="0" b="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8"/>
                    <a:stretch>
                      <a:fillRect/>
                    </a:stretch>
                  </pic:blipFill>
                  <pic:spPr>
                    <a:xfrm>
                      <a:off x="0" y="0"/>
                      <a:ext cx="5973974" cy="4559752"/>
                    </a:xfrm>
                    <a:prstGeom prst="rect">
                      <a:avLst/>
                    </a:prstGeom>
                  </pic:spPr>
                </pic:pic>
              </a:graphicData>
            </a:graphic>
          </wp:inline>
        </w:drawing>
      </w:r>
    </w:p>
    <w:p w14:paraId="6E9C4721" w14:textId="1C5330E2" w:rsidR="00CC57B2" w:rsidRDefault="00CC57B2" w:rsidP="00CC57B2">
      <w:pPr>
        <w:spacing w:line="360" w:lineRule="auto"/>
        <w:jc w:val="center"/>
      </w:pPr>
    </w:p>
    <w:p w14:paraId="3F14AF81" w14:textId="77777777" w:rsidR="00A879AA" w:rsidRDefault="00000000">
      <w:pPr>
        <w:spacing w:line="360" w:lineRule="auto"/>
        <w:jc w:val="both"/>
      </w:pPr>
      <w:r>
        <w:t>Quindi, quale settore, se non quello delle telecomunicazioni, dovrebbe vedere applicata la soggettività passiva in via mediata prevista dal legislatore?</w:t>
      </w:r>
    </w:p>
    <w:p w14:paraId="179DC201" w14:textId="41DC5371" w:rsidR="00A879AA" w:rsidRDefault="00873328">
      <w:pPr>
        <w:spacing w:line="360" w:lineRule="auto"/>
        <w:jc w:val="both"/>
      </w:pPr>
      <w:r>
        <w:tab/>
        <w:t xml:space="preserve">Oltre alla recentissima pronuncia della Corte di Legittimità innanzi richiamata, conferma quanto fin qui rilevato anche la recente giurisprudenza in materia nell’ambito delle telecomunicazioni; fra tante si richiama la recentissima sentenza resa dal </w:t>
      </w:r>
      <w:r>
        <w:rPr>
          <w:b/>
          <w:bCs/>
        </w:rPr>
        <w:t>TRIBUNALE DI BERGAMO n. 1523 del 25.11.2025 proprio contro FASTWEB S.p.A., nonché ancor più di recente TRIBUNALE DI BERGAMO n. 289 del 21.03.2026 proprio contro VODAFONE, ed ancora Tribunale di Treviso n. 240/2025 pubblicata il 20/02/2025, resa in appello, e la sentenza del Tribunale di Piacenza n. 207 del 06.05.2025. Che vengono indicate tra le altre per le puntuali motivazioni addotte, ed infatti:</w:t>
      </w:r>
    </w:p>
    <w:p w14:paraId="1A28678C" w14:textId="3C79EDDE" w:rsidR="00A879AA" w:rsidRDefault="00873328">
      <w:pPr>
        <w:spacing w:line="360" w:lineRule="auto"/>
        <w:jc w:val="both"/>
      </w:pPr>
      <w:r>
        <w:tab/>
        <w:t>Il Giudice di Bergamo ha così precisato:</w:t>
      </w:r>
    </w:p>
    <w:p w14:paraId="1B192EC4" w14:textId="77777777" w:rsidR="00A879AA" w:rsidRDefault="00000000">
      <w:pPr>
        <w:spacing w:line="360" w:lineRule="auto"/>
        <w:jc w:val="both"/>
      </w:pPr>
      <w:r>
        <w:rPr>
          <w:i/>
          <w:iCs/>
        </w:rPr>
        <w:t xml:space="preserve">“La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Pr>
          <w:b/>
          <w:bCs/>
        </w:rPr>
        <w:t>(doc. 11)</w:t>
      </w:r>
    </w:p>
    <w:p w14:paraId="3023E4EE" w14:textId="2CA732FE" w:rsidR="00A879AA" w:rsidRDefault="00873328">
      <w:pPr>
        <w:spacing w:line="360" w:lineRule="auto"/>
        <w:jc w:val="both"/>
      </w:pPr>
      <w:r>
        <w:tab/>
        <w:t xml:space="preserve">Sempre il </w:t>
      </w:r>
      <w:r>
        <w:rPr>
          <w:b/>
          <w:bCs/>
        </w:rPr>
        <w:t>Tribunale di Bergamo con la sentenza n. 289/2026 ha ribadito</w:t>
      </w:r>
      <w:r>
        <w:t>:</w:t>
      </w:r>
    </w:p>
    <w:p w14:paraId="6C123C20" w14:textId="77777777" w:rsidR="00A879AA" w:rsidRDefault="00000000">
      <w:pPr>
        <w:spacing w:line="360" w:lineRule="auto"/>
        <w:jc w:val="both"/>
      </w:pPr>
      <w:r>
        <w:rPr>
          <w:i/>
          <w:iCs/>
        </w:rPr>
        <w:t>“le attuali normative fanno riferimento ad un nuovo concetto basato sull’occupazione in via mediata, dove sussistono una pluralità di soggetti passivi, costituiti dal soggetto titolare e dai soggetti che occupano ed utilizzano l’area.</w:t>
      </w:r>
    </w:p>
    <w:p w14:paraId="12998446" w14:textId="77777777" w:rsidR="00A879AA" w:rsidRDefault="00000000">
      <w:pPr>
        <w:spacing w:line="360" w:lineRule="auto"/>
        <w:jc w:val="both"/>
      </w:pPr>
      <w:r>
        <w:rPr>
          <w:i/>
          <w:iCs/>
        </w:rPr>
        <w:lastRenderedPageBreak/>
        <w:t>Più precisamente, risulta aggiornata e superata la precedente normativa, che considerava il solo concessionario quale unico soggetto passivo, rendendo adeguata la normativa ad una tipologia relativa ad un mercato liberalizzato, dove vi sono più operatori che utilizzano la stessa infrastruttura per la fornitura del proprio servizio di telefonia.</w:t>
      </w:r>
    </w:p>
    <w:p w14:paraId="26743372" w14:textId="77777777" w:rsidR="00A879AA" w:rsidRDefault="00000000">
      <w:pPr>
        <w:spacing w:line="360" w:lineRule="auto"/>
        <w:jc w:val="both"/>
      </w:pPr>
      <w:r>
        <w:rPr>
          <w:i/>
          <w:iCs/>
        </w:rPr>
        <w:t>Inoltre, diversamente da quanto affermato da parte attrice, gli accordi wholesale sono pienamente riferibili alla fattispecie connessa all’“utilizzo materiale”.</w:t>
      </w:r>
    </w:p>
    <w:p w14:paraId="52E650DD" w14:textId="77777777" w:rsidR="00A879AA" w:rsidRDefault="00000000">
      <w:pPr>
        <w:spacing w:line="360" w:lineRule="auto"/>
        <w:jc w:val="both"/>
      </w:pPr>
      <w:r>
        <w:rPr>
          <w:i/>
          <w:iCs/>
        </w:rPr>
        <w:t>Infatti gli accordi wholesale VULA (Virtual Unbundled Local Access) sono accordi commerciali tra operatori di telecomunicazioni che permettono l’accesso alle reti di accesso locali (reti di fibra ottica o di rame) di un operatore dominante a un altro operatore, a condizioni eque e non discriminatorie.</w:t>
      </w:r>
    </w:p>
    <w:p w14:paraId="68B90DD1" w14:textId="77777777" w:rsidR="00A879AA" w:rsidRDefault="00000000">
      <w:pPr>
        <w:spacing w:line="360" w:lineRule="auto"/>
        <w:jc w:val="both"/>
      </w:pPr>
      <w:r>
        <w:rPr>
          <w:i/>
          <w:iCs/>
        </w:rPr>
        <w:t>In pratica, un operatore che non ha una rete di accesso propria può utilizzare la rete di un altro operatore per offrire servizi di accesso a internet e voce ai propri clienti.</w:t>
      </w:r>
    </w:p>
    <w:p w14:paraId="1E53FB78" w14:textId="77777777" w:rsidR="00A879AA" w:rsidRDefault="00000000">
      <w:pPr>
        <w:spacing w:line="360" w:lineRule="auto"/>
        <w:jc w:val="both"/>
      </w:pPr>
      <w:r>
        <w:rPr>
          <w:i/>
          <w:iCs/>
        </w:rPr>
        <w:t>Anche se l’accesso è definito “virtuale” in ambito tecnico-commerciale, lo stesso comporta un flusso fisico di dati che transita comunque mediante cavi e condutture esistenti sul suolo pubblico comunale.</w:t>
      </w:r>
    </w:p>
    <w:p w14:paraId="16E2FDB1" w14:textId="77777777" w:rsidR="00A879AA" w:rsidRDefault="00000000">
      <w:pPr>
        <w:spacing w:line="360" w:lineRule="auto"/>
        <w:jc w:val="both"/>
      </w:pPr>
      <w:r>
        <w:rPr>
          <w:i/>
          <w:iCs/>
        </w:rPr>
        <w:t>In base alle numerose sentenze di merito sull’argomento in questione, il criterio legato alla materialità dell’uso dell’infrastruttura di altro operatore, risulta compreso anche quello legato alla modalità di accesso virtuale, legata all’evoluzione ed al progresso tecnologico nell’ambito della telefonia.”</w:t>
      </w:r>
      <w:r>
        <w:t xml:space="preserve"> Tribunale di Bergamo n. 289 del 21.3.2026 </w:t>
      </w:r>
      <w:r>
        <w:rPr>
          <w:b/>
          <w:bCs/>
        </w:rPr>
        <w:t>(doc. 12)</w:t>
      </w:r>
      <w:r>
        <w:t>.</w:t>
      </w:r>
    </w:p>
    <w:p w14:paraId="1D2B33A3" w14:textId="255C0FD8" w:rsidR="00A879AA" w:rsidRDefault="00873328">
      <w:pPr>
        <w:spacing w:line="360" w:lineRule="auto"/>
        <w:jc w:val="both"/>
      </w:pPr>
      <w:r>
        <w:tab/>
        <w:t xml:space="preserve">Anche il Tribunale di Napoli si è di recente pronunciato ben chiarendo il concetto di </w:t>
      </w:r>
      <w:r>
        <w:rPr>
          <w:i/>
          <w:iCs/>
        </w:rPr>
        <w:t>“utilizzo materiale”</w:t>
      </w:r>
      <w:r>
        <w:t xml:space="preserve"> (</w:t>
      </w:r>
      <w:r>
        <w:rPr>
          <w:b/>
          <w:bCs/>
        </w:rPr>
        <w:t>Tribunale Napoli n. 5948 del 13.4.2026</w:t>
      </w:r>
      <w:r>
        <w:t xml:space="preserve"> </w:t>
      </w:r>
      <w:r>
        <w:rPr>
          <w:b/>
          <w:bCs/>
        </w:rPr>
        <w:t>doc. 13</w:t>
      </w:r>
      <w:r>
        <w:t>):</w:t>
      </w:r>
    </w:p>
    <w:p w14:paraId="1D68C0DE" w14:textId="77777777" w:rsidR="00A879AA" w:rsidRDefault="00000000">
      <w:pPr>
        <w:spacing w:line="360" w:lineRule="auto"/>
        <w:jc w:val="both"/>
      </w:pPr>
      <w:r>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56BBD785" w14:textId="57D89594" w:rsidR="00A879AA" w:rsidRDefault="00873328">
      <w:pPr>
        <w:spacing w:line="360" w:lineRule="auto"/>
        <w:jc w:val="both"/>
      </w:pPr>
      <w:r>
        <w:lastRenderedPageBreak/>
        <w:tab/>
        <w:t xml:space="preserve">Ed ancora, i giudici del </w:t>
      </w:r>
      <w:r>
        <w:rPr>
          <w:b/>
          <w:bCs/>
        </w:rPr>
        <w:t>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7F47DF1B" w14:textId="2AEF2CE1" w:rsidR="00A879AA" w:rsidRDefault="00873328">
      <w:pPr>
        <w:spacing w:line="360" w:lineRule="auto"/>
        <w:jc w:val="both"/>
      </w:pPr>
      <w:r>
        <w:tab/>
        <w:t>Si legge nella sentenza:</w:t>
      </w:r>
    </w:p>
    <w:p w14:paraId="03470E31" w14:textId="77777777" w:rsidR="00A879AA" w:rsidRDefault="00000000">
      <w:pPr>
        <w:spacing w:line="360" w:lineRule="auto"/>
        <w:jc w:val="both"/>
      </w:pPr>
      <w:r>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voluntas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Tribunale di Treviso n. 240/2025 del 20/02/2025, resa in appello </w:t>
      </w:r>
      <w:r>
        <w:rPr>
          <w:b/>
          <w:bCs/>
        </w:rPr>
        <w:t>(doc. 14)</w:t>
      </w:r>
      <w:r>
        <w:t>.</w:t>
      </w:r>
    </w:p>
    <w:p w14:paraId="57F8192F" w14:textId="34996C9C" w:rsidR="00A879AA" w:rsidRDefault="00873328">
      <w:pPr>
        <w:spacing w:line="360" w:lineRule="auto"/>
        <w:jc w:val="both"/>
      </w:pPr>
      <w:r>
        <w:tab/>
        <w:t xml:space="preserve">Il Tribunale di </w:t>
      </w:r>
      <w:r>
        <w:rPr>
          <w:b/>
          <w:bCs/>
        </w:rPr>
        <w:t>PIACENZA,</w:t>
      </w:r>
      <w:r>
        <w:t xml:space="preserve"> poi, rigettando l’opposizione di Vodafone, ha sempre posto l’accento sul concetto di occupazione mediata e sulla </w:t>
      </w:r>
      <w:r>
        <w:rPr>
          <w:i/>
          <w:iCs/>
        </w:rPr>
        <w:t>ratio</w:t>
      </w:r>
      <w:r>
        <w:t xml:space="preserve"> della norma di interpretazione autentica.</w:t>
      </w:r>
    </w:p>
    <w:p w14:paraId="63EB006F" w14:textId="7CE87156" w:rsidR="00A879AA" w:rsidRDefault="00873328">
      <w:pPr>
        <w:spacing w:line="360" w:lineRule="auto"/>
        <w:jc w:val="both"/>
      </w:pPr>
      <w:r>
        <w:tab/>
        <w:t>Si legge in sentenza:</w:t>
      </w:r>
    </w:p>
    <w:p w14:paraId="497C836E" w14:textId="77777777" w:rsidR="00A879AA" w:rsidRDefault="00000000">
      <w:pPr>
        <w:spacing w:line="360" w:lineRule="auto"/>
        <w:jc w:val="both"/>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w:t>
      </w:r>
      <w:r>
        <w:rPr>
          <w:i/>
          <w:iCs/>
        </w:rPr>
        <w:lastRenderedPageBreak/>
        <w:t xml:space="preserve">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Tribunale di Piacenza n. 207 del 06.05.2025 </w:t>
      </w:r>
      <w:r>
        <w:rPr>
          <w:b/>
          <w:bCs/>
        </w:rPr>
        <w:t>(doc. 15)</w:t>
      </w:r>
      <w:r>
        <w:t>.</w:t>
      </w:r>
    </w:p>
    <w:p w14:paraId="560E341A" w14:textId="6FB2359E" w:rsidR="00CC57B2" w:rsidRPr="008F42D3" w:rsidRDefault="00873328" w:rsidP="00CC57B2">
      <w:pPr>
        <w:spacing w:line="360" w:lineRule="auto"/>
        <w:jc w:val="both"/>
      </w:pPr>
      <w:r>
        <w:tab/>
        <w:t xml:space="preserve">Anche con successiva pronuncia, il </w:t>
      </w:r>
      <w:r>
        <w:rPr>
          <w:b/>
          <w:bCs/>
        </w:rPr>
        <w:t>Tribunale di Piacenza – in funzione di giudice di secondo grado (sent. n. 350 del 16.07.2025, R.G. 1562/2024) (doc. 16)</w:t>
      </w:r>
      <w:r>
        <w:t xml:space="preserve"> – ha confermato in appello il medesimo orientamento, precisando che </w:t>
      </w:r>
      <w:r>
        <w:rPr>
          <w:i/>
          <w:iCs/>
        </w:rPr>
        <w:t xml:space="preserve">“l’utilizzo materiale non implica modificazione fisica del suolo e l’occupazione mediata ricorre </w:t>
      </w:r>
      <w:r>
        <w:rPr>
          <w:i/>
          <w:iCs/>
        </w:rPr>
        <w:lastRenderedPageBreak/>
        <w:t>anche in caso di utilizzo virtuale e condiviso della rete”</w:t>
      </w:r>
      <w:r>
        <w:t xml:space="preserve"> e che </w:t>
      </w:r>
      <w:r>
        <w:rPr>
          <w:i/>
          <w:iCs/>
        </w:rPr>
        <w:t>“la separazione di cui alla norma interpretativa non è configurabile quando il venditore utilizza la rete del concessionario per erogare il servizio”</w:t>
      </w:r>
      <w:r>
        <w:t xml:space="preserve">. Il giudice di appello ha infatti precisato che:” </w:t>
      </w:r>
      <w:r>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79F1A0A9" w14:textId="77777777" w:rsidR="00CC57B2" w:rsidRPr="008F42D3" w:rsidRDefault="00CC57B2" w:rsidP="00CC57B2">
      <w:pPr>
        <w:numPr>
          <w:ilvl w:val="0"/>
          <w:numId w:val="2"/>
        </w:numPr>
        <w:spacing w:line="360" w:lineRule="auto"/>
        <w:contextualSpacing/>
        <w:jc w:val="both"/>
        <w:rPr>
          <w:b/>
          <w:bCs/>
          <w:i/>
          <w:iCs/>
        </w:rPr>
      </w:pPr>
      <w:r>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45AD5DB8" w14:textId="77777777" w:rsidR="00CC57B2" w:rsidRPr="008F42D3" w:rsidRDefault="00CC57B2" w:rsidP="00CC57B2">
      <w:pPr>
        <w:numPr>
          <w:ilvl w:val="0"/>
          <w:numId w:val="2"/>
        </w:numPr>
        <w:spacing w:line="360" w:lineRule="auto"/>
        <w:contextualSpacing/>
        <w:jc w:val="both"/>
        <w:rPr>
          <w:i/>
          <w:iCs/>
        </w:rPr>
      </w:pPr>
      <w:r>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2FEDEF9D" w14:textId="6C5BBCB3" w:rsidR="00CC57B2" w:rsidRPr="008F42D3" w:rsidRDefault="00CC57B2" w:rsidP="008F42D3">
      <w:pPr>
        <w:numPr>
          <w:ilvl w:val="0"/>
          <w:numId w:val="2"/>
        </w:numPr>
        <w:spacing w:line="360" w:lineRule="auto"/>
        <w:contextualSpacing/>
        <w:jc w:val="both"/>
        <w:rPr>
          <w:i/>
          <w:iCs/>
        </w:rPr>
      </w:pPr>
      <w:r>
        <w:rPr>
          <w:i/>
          <w:iCs/>
        </w:rPr>
        <w:t xml:space="preserve">Peraltro nel criterio di materialità dell’uso dell’infrastruttura altrui deve intendersi incluso anche quello con modalità virtuale considerata l’evoluzione tecnologica nel campo della telefonia.” </w:t>
      </w:r>
    </w:p>
    <w:p w14:paraId="2E412B3F" w14:textId="499AC659" w:rsidR="00A879AA" w:rsidRDefault="00873328">
      <w:pPr>
        <w:spacing w:line="360" w:lineRule="auto"/>
        <w:jc w:val="both"/>
      </w:pPr>
      <w:r>
        <w:tab/>
        <w:t xml:space="preserve">Ancora, il Tribunale di </w:t>
      </w:r>
      <w:r>
        <w:rPr>
          <w:b/>
          <w:bCs/>
        </w:rPr>
        <w:t>IVREA</w:t>
      </w:r>
      <w:r>
        <w:t xml:space="preserve"> – </w:t>
      </w:r>
      <w:r>
        <w:rPr>
          <w:b/>
          <w:bCs/>
        </w:rPr>
        <w:t>in funzione di giudice di secondo grado (sent. 29.09.2025, n. 1255) (doc. 17)</w:t>
      </w:r>
      <w:r>
        <w:t xml:space="preserve"> – ha rigettato l’appello proposto da un primario operatore telefonico avverso una decisione favorevole al Comune impositore,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xml:space="preserve">, con la conseguenza che </w:t>
      </w:r>
      <w:r>
        <w:rPr>
          <w:i/>
          <w:iCs/>
        </w:rPr>
        <w:t xml:space="preserve">“l’occupazione mediata </w:t>
      </w:r>
      <w:r>
        <w:rPr>
          <w:i/>
          <w:iCs/>
        </w:rPr>
        <w:lastRenderedPageBreak/>
        <w:t>del suolo pubblico è ravvisabile anche quando l’operatore accede alle infrastrutture del concessionario mediante sistemi tecnologici quali VULA, WS, FTTH OS, risultando irrilevante l’assenza di una materiale posa in opera di nuovi cavi”</w:t>
      </w:r>
      <w:r>
        <w:t>.</w:t>
      </w:r>
    </w:p>
    <w:p w14:paraId="1524DC17" w14:textId="48FADD81" w:rsidR="00A879AA" w:rsidRDefault="00873328">
      <w:pPr>
        <w:spacing w:line="360" w:lineRule="auto"/>
        <w:jc w:val="both"/>
      </w:pPr>
      <w:r>
        <w:tab/>
        <w:t xml:space="preserve">Infine, il </w:t>
      </w:r>
      <w:r>
        <w:rPr>
          <w:b/>
          <w:bCs/>
        </w:rPr>
        <w:t>Tribunale di BOLZANO (sent. 08.04.2024, n. 431) (doc. 18)</w:t>
      </w:r>
      <w: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i/>
          <w:iCs/>
        </w:rPr>
        <w:t>“parte da una premessa errata, confondendo un contratto di accesso o condivisione della rete con una separazione funzionale delle attività che non è rinvenibile nella realtà tecnica e normativa del settore TLC”</w:t>
      </w:r>
      <w:r>
        <w:t xml:space="preserve">; ha ulteriormente affermato che </w:t>
      </w:r>
      <w:r>
        <w:rPr>
          <w:i/>
          <w:iCs/>
        </w:rPr>
        <w:t>“sono soggetti passivi del canone tutti gli operatori che utilizzano, anche in via mediata, la rete del concessionario”</w:t>
      </w:r>
      <w:r>
        <w:t xml:space="preserve"> e che </w:t>
      </w:r>
      <w:r>
        <w:rPr>
          <w:i/>
          <w:iCs/>
        </w:rPr>
        <w:t>“l’uso materiale dell’infrastruttura non richiede l’installazione fisica di cavi e include anche l’utilizzo virtuale, coerentemente con l’evoluzione tecnologica”</w:t>
      </w:r>
      <w:r>
        <w:t>.</w:t>
      </w:r>
    </w:p>
    <w:p w14:paraId="421C2DC8" w14:textId="5B106C76" w:rsidR="00A879AA" w:rsidRDefault="00873328">
      <w:pPr>
        <w:spacing w:line="360" w:lineRule="auto"/>
        <w:jc w:val="both"/>
      </w:pPr>
      <w:r>
        <w:tab/>
        <w:t xml:space="preserve">Si menziona, anche, la recentissima sentenza resa dal </w:t>
      </w:r>
      <w:r>
        <w:rPr>
          <w:b/>
          <w:bCs/>
        </w:rPr>
        <w:t>Tribunale di Bolzano n. 908/2025 del 15.10.2025</w:t>
      </w:r>
      <w:r>
        <w:t xml:space="preserve">, che si produce </w:t>
      </w:r>
      <w:r>
        <w:rPr>
          <w:b/>
          <w:bCs/>
        </w:rPr>
        <w:t>(doc. 19)</w:t>
      </w:r>
      <w:r>
        <w:t xml:space="preserve">, che ha precisato: </w:t>
      </w:r>
      <w:r>
        <w:rPr>
          <w:i/>
          <w:iCs/>
        </w:rPr>
        <w:t>“nel settore delle telecomunicazioni, il legislatore non appare aver imposto alcuna separazione, ma anzi, in attuazione delle direttive europee settoriali, ha incentivato la condivisione delle reti (cfr. nella giurisprudenza di questo Tribunale di Bolzano le sentenze nn. 431 e 649/2024).</w:t>
      </w:r>
    </w:p>
    <w:p w14:paraId="4E1519D0" w14:textId="77777777" w:rsidR="00A879AA" w:rsidRPr="008F42D3" w:rsidRDefault="00000000">
      <w:pPr>
        <w:spacing w:line="360" w:lineRule="auto"/>
        <w:jc w:val="both"/>
        <w:rPr>
          <w:i/>
          <w:iCs/>
        </w:rPr>
      </w:pPr>
      <w:r>
        <w:rPr>
          <w:i/>
          <w:iCs/>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p>
    <w:p w14:paraId="5F25AE45" w14:textId="77777777" w:rsidR="008F42D3" w:rsidRPr="008F42D3" w:rsidRDefault="008F42D3" w:rsidP="008F42D3">
      <w:pPr>
        <w:spacing w:line="360" w:lineRule="auto"/>
        <w:ind w:firstLine="709"/>
        <w:jc w:val="both"/>
        <w:rPr>
          <w:rFonts w:eastAsia="Times New Roman"/>
          <w:kern w:val="1"/>
          <w:lang w:eastAsia="ar-SA"/>
        </w:rPr>
      </w:pPr>
      <w:r>
        <w:rPr>
          <w:rFonts w:eastAsia="Times New Roman"/>
          <w:kern w:val="1"/>
          <w:lang w:eastAsia="ar-SA"/>
        </w:rPr>
        <w:t>Tale sentenza è stata preceduta già da:</w:t>
      </w:r>
    </w:p>
    <w:p w14:paraId="439B78AA" w14:textId="77777777" w:rsidR="008F42D3" w:rsidRPr="008F42D3" w:rsidRDefault="008F42D3" w:rsidP="008F42D3">
      <w:pPr>
        <w:spacing w:line="360" w:lineRule="auto"/>
        <w:ind w:firstLine="709"/>
        <w:jc w:val="both"/>
        <w:rPr>
          <w:rFonts w:eastAsia="Times New Roman"/>
          <w:kern w:val="1"/>
          <w:lang w:eastAsia="ar-SA"/>
        </w:rPr>
      </w:pPr>
      <w:r>
        <w:rPr>
          <w:rFonts w:eastAsia="Times New Roman"/>
          <w:kern w:val="1"/>
          <w:lang w:eastAsia="ar-SA"/>
        </w:rPr>
        <w:t>- Tribunale di Bolzano Sentenza N. 431/2024</w:t>
      </w:r>
    </w:p>
    <w:p w14:paraId="3E70F0C4" w14:textId="77777777" w:rsidR="008F42D3" w:rsidRPr="008F42D3" w:rsidRDefault="008F42D3" w:rsidP="008F42D3">
      <w:pPr>
        <w:spacing w:line="360" w:lineRule="auto"/>
        <w:ind w:firstLine="709"/>
        <w:jc w:val="both"/>
        <w:rPr>
          <w:rFonts w:eastAsia="Times New Roman"/>
          <w:kern w:val="1"/>
          <w:lang w:eastAsia="ar-SA"/>
        </w:rPr>
      </w:pPr>
      <w:bookmarkStart w:id="0" w:name="m_4538845636176179816_m_-648566957053672"/>
      <w:r>
        <w:rPr>
          <w:rFonts w:eastAsia="Times New Roman"/>
          <w:kern w:val="1"/>
          <w:lang w:eastAsia="ar-SA"/>
        </w:rPr>
        <w:t>- Tribunale di Bolzano Sentenza N. 649/2024</w:t>
      </w:r>
      <w:bookmarkEnd w:id="0"/>
    </w:p>
    <w:p w14:paraId="0DD17555" w14:textId="77777777" w:rsidR="008F42D3" w:rsidRPr="008F42D3" w:rsidRDefault="008F42D3" w:rsidP="008F42D3">
      <w:pPr>
        <w:spacing w:line="360" w:lineRule="auto"/>
        <w:ind w:firstLine="709"/>
        <w:jc w:val="both"/>
        <w:rPr>
          <w:rFonts w:eastAsia="Times New Roman"/>
          <w:kern w:val="1"/>
          <w:lang w:eastAsia="ar-SA"/>
        </w:rPr>
      </w:pPr>
      <w:r>
        <w:rPr>
          <w:rFonts w:eastAsia="Times New Roman"/>
          <w:kern w:val="1"/>
          <w:lang w:eastAsia="ar-SA"/>
        </w:rPr>
        <w:t>- Tribunale di Padova Sentenza N. 1341/2024</w:t>
      </w:r>
    </w:p>
    <w:p w14:paraId="378F077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1409/2023</w:t>
      </w:r>
    </w:p>
    <w:p w14:paraId="051DFB95"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1410/2023</w:t>
      </w:r>
    </w:p>
    <w:p w14:paraId="6A494211"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1407/2023</w:t>
      </w:r>
    </w:p>
    <w:p w14:paraId="1778763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1411/2023</w:t>
      </w:r>
    </w:p>
    <w:p w14:paraId="035B24D9"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1414/2023</w:t>
      </w:r>
    </w:p>
    <w:p w14:paraId="5AA153A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167/2024</w:t>
      </w:r>
    </w:p>
    <w:p w14:paraId="7A12F7B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168/2024</w:t>
      </w:r>
    </w:p>
    <w:p w14:paraId="44B55330"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lastRenderedPageBreak/>
        <w:t>- Giudice di Pace di Treviso Sentenza N. 294/2024</w:t>
      </w:r>
    </w:p>
    <w:p w14:paraId="7B45251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5618/2023</w:t>
      </w:r>
    </w:p>
    <w:p w14:paraId="26ACB63A"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5744/2023</w:t>
      </w:r>
    </w:p>
    <w:p w14:paraId="4AD7A4DD"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5434/2023</w:t>
      </w:r>
    </w:p>
    <w:p w14:paraId="4DDC8B4D"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1511/2023</w:t>
      </w:r>
    </w:p>
    <w:p w14:paraId="20D8DAB9"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1550/2023</w:t>
      </w:r>
    </w:p>
    <w:p w14:paraId="3A4BA534"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454/2024</w:t>
      </w:r>
    </w:p>
    <w:p w14:paraId="030D8600"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6795/2024</w:t>
      </w:r>
    </w:p>
    <w:p w14:paraId="38DA53C4"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1058/2024</w:t>
      </w:r>
    </w:p>
    <w:p w14:paraId="2ACC4EAA"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RG 5385/2023</w:t>
      </w:r>
    </w:p>
    <w:p w14:paraId="7AF28CA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RG 4099/2023</w:t>
      </w:r>
    </w:p>
    <w:p w14:paraId="460B962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665/2023</w:t>
      </w:r>
    </w:p>
    <w:p w14:paraId="458D0135"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666/2023</w:t>
      </w:r>
    </w:p>
    <w:p w14:paraId="4D74255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RG 5588/2023</w:t>
      </w:r>
    </w:p>
    <w:p w14:paraId="7BC8972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RG 5949/2023</w:t>
      </w:r>
    </w:p>
    <w:p w14:paraId="595C71C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219/2024</w:t>
      </w:r>
    </w:p>
    <w:p w14:paraId="4A852C91"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Viterbo RG 1716/2023</w:t>
      </w:r>
    </w:p>
    <w:p w14:paraId="720B91A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Ancona Sentenza N. 80/2024</w:t>
      </w:r>
    </w:p>
    <w:p w14:paraId="40DF07AF"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Monza RG 6910/2023</w:t>
      </w:r>
    </w:p>
    <w:p w14:paraId="4736ACF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Portoferraio Sentenza N. 17/2024</w:t>
      </w:r>
    </w:p>
    <w:p w14:paraId="1795C118"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Parma RG 3192/2023</w:t>
      </w:r>
    </w:p>
    <w:p w14:paraId="671D6EE3"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Novara Sentenza N. 4824/2023</w:t>
      </w:r>
    </w:p>
    <w:p w14:paraId="6F33EB01"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Lanciano RG 639/2023</w:t>
      </w:r>
    </w:p>
    <w:p w14:paraId="35CB7ED3"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Ivrea RG 2842/2023</w:t>
      </w:r>
    </w:p>
    <w:p w14:paraId="5ACD2910" w14:textId="77777777" w:rsidR="008F42D3" w:rsidRPr="008F42D3" w:rsidRDefault="008F42D3" w:rsidP="008F42D3">
      <w:pPr>
        <w:shd w:val="clear" w:color="auto" w:fill="FFFFFF"/>
        <w:spacing w:line="360" w:lineRule="auto"/>
        <w:ind w:firstLine="709"/>
        <w:jc w:val="both"/>
        <w:rPr>
          <w:rFonts w:eastAsia="Calibri"/>
        </w:rPr>
      </w:pPr>
      <w:r>
        <w:rPr>
          <w:rFonts w:eastAsia="Calibri"/>
        </w:rPr>
        <w:t>- Giudice di Pace di Sondrio Sentenza N. 117/2024</w:t>
      </w:r>
    </w:p>
    <w:p w14:paraId="0083E646" w14:textId="7C80BF03" w:rsidR="008F42D3" w:rsidRPr="008F42D3" w:rsidRDefault="008F42D3" w:rsidP="008F42D3">
      <w:pPr>
        <w:shd w:val="clear" w:color="auto" w:fill="FFFFFF"/>
        <w:spacing w:line="360" w:lineRule="auto"/>
        <w:ind w:firstLine="709"/>
        <w:jc w:val="both"/>
        <w:rPr>
          <w:rFonts w:eastAsia="Calibri"/>
        </w:rPr>
      </w:pPr>
      <w:r>
        <w:rPr>
          <w:rFonts w:eastAsia="Calibri"/>
        </w:rPr>
        <w:t>- Giudice di Pace di Belluno RG 1263/2023</w:t>
      </w:r>
    </w:p>
    <w:p w14:paraId="1A8C1755" w14:textId="201DD977" w:rsidR="00A879AA" w:rsidRDefault="00873328">
      <w:pPr>
        <w:spacing w:line="360" w:lineRule="auto"/>
        <w:jc w:val="both"/>
      </w:pPr>
      <w:r>
        <w:tab/>
        <w:t>Con riguardo, poi, alla sentenza della Corte d’Appello di Venezia n. 276/2026 del 10 febbraio 2026, richiamata da FASTWEB S.p.A. a sostegno della propria tesi difensiva, occorre svolgere alcune considerazioni critiche.</w:t>
      </w:r>
    </w:p>
    <w:p w14:paraId="0B67D865" w14:textId="342C619B" w:rsidR="00A879AA" w:rsidRDefault="00873328">
      <w:pPr>
        <w:spacing w:line="360" w:lineRule="auto"/>
        <w:jc w:val="both"/>
      </w:pPr>
      <w:r>
        <w:tab/>
        <w:t xml:space="preserve">La pronuncia, lungi dal costituire un arresto definitivo della questione come visto, si pone in aperta contraddizione con la </w:t>
      </w:r>
      <w:r>
        <w:rPr>
          <w:i/>
          <w:iCs/>
        </w:rPr>
        <w:t>ratio legis</w:t>
      </w:r>
      <w:r>
        <w:t xml:space="preserve"> desumibile dall’evoluzione normativa del comma 831 e con le argomentazioni tecnico-giuridiche sviluppate dalla giurisprudenza di merito prevalente.</w:t>
      </w:r>
    </w:p>
    <w:p w14:paraId="29E55D3B" w14:textId="77777777" w:rsidR="00A879AA" w:rsidRDefault="00000000">
      <w:pPr>
        <w:spacing w:line="360" w:lineRule="auto"/>
        <w:jc w:val="both"/>
      </w:pPr>
      <w:r>
        <w:t xml:space="preserve">Il giudice veneziano ha, invero, attribuito valore di separazione funzionale a un mero accordo di accesso alla rete, </w:t>
      </w:r>
      <w:r>
        <w:rPr>
          <w:b/>
          <w:bCs/>
        </w:rPr>
        <w:t>confondendo così la separazione funzionale tipica dei settori gas/energia</w:t>
      </w:r>
      <w:r>
        <w:t xml:space="preserve"> – cui esclusivamente si riferisce la norma di interpretazione </w:t>
      </w:r>
      <w:r>
        <w:lastRenderedPageBreak/>
        <w:t xml:space="preserve">autentica di cui all’art. 5, comma 14-quinquies, D.L. 146/2021 – </w:t>
      </w:r>
      <w:r>
        <w:rPr>
          <w:b/>
          <w:bCs/>
        </w:rPr>
        <w:t>con la condivisione concorrenziale propria delle telecomunicazioni, che è di tutt’altra natura e risponde a una logica normativa opposta.</w:t>
      </w:r>
    </w:p>
    <w:p w14:paraId="5F365F4C" w14:textId="77777777" w:rsidR="00A879AA" w:rsidRDefault="00000000">
      <w:pPr>
        <w:spacing w:line="360" w:lineRule="auto"/>
        <w:jc w:val="both"/>
        <w:rPr>
          <w:b/>
          <w:bCs/>
        </w:rPr>
      </w:pPr>
      <w:r>
        <w:t xml:space="preserve">Come dimostrato dalle pronunce sopra richiamate – Tribunale di Bergamo n. 289 del 21.3.2026 e n. 1523 del 25.11.2025, Tribunale di Napoli n.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Pr>
          <w:b/>
          <w:bCs/>
        </w:rPr>
        <w:t>il costante e consolidato orientamento della giurisprudenza di merito, formatosi anche specificamente nei confronti di FASTWEB S.p.A., nel senso della piena soggettività passiva mediata degli operatori di telecomunicazioni che si avvalgono delle infrastrutture altrui e definitivamente confermato dalla Suprema Corte di Cassazione.</w:t>
      </w:r>
    </w:p>
    <w:p w14:paraId="0E8B58A7" w14:textId="04578CB1" w:rsidR="00434FB4" w:rsidRPr="00434FB4" w:rsidRDefault="00434FB4" w:rsidP="00434FB4">
      <w:pPr>
        <w:spacing w:line="360" w:lineRule="auto"/>
        <w:jc w:val="both"/>
        <w:rPr>
          <w:b/>
          <w:bCs/>
        </w:rPr>
      </w:pPr>
      <w:r>
        <w:rPr>
          <w:b/>
          <w:bCs/>
        </w:rPr>
        <w:tab/>
        <w:t>Sulla determinazione del canone.</w:t>
      </w:r>
    </w:p>
    <w:p w14:paraId="05D6FAB4" w14:textId="7E6372BC" w:rsidR="00434FB4" w:rsidRPr="00434FB4" w:rsidRDefault="00434FB4" w:rsidP="00434FB4">
      <w:pPr>
        <w:spacing w:line="360" w:lineRule="auto"/>
        <w:jc w:val="both"/>
      </w:pPr>
      <w:r>
        <w:t>Si rileva, in ogni caso e ad abundantiam, che il canone è stato liquidato nella sola misura minima di legge (€ 800,00 annui, oltre aggiornamento ISTAT ratione temporis) in conseguenza dell'omessa dichiarazione delle utenze attive da parte di FASTWEB S.p.A., e che la Società non ha mosso, in questa sede, alcuna contestazione specifica in ordine al quantum liquidato.</w:t>
      </w:r>
    </w:p>
    <w:p w14:paraId="2C9EB1CA" w14:textId="4B909606" w:rsidR="00434FB4" w:rsidRPr="00434FB4" w:rsidRDefault="00434FB4" w:rsidP="00434FB4">
      <w:pPr>
        <w:spacing w:line="360" w:lineRule="auto"/>
        <w:jc w:val="both"/>
      </w:pPr>
      <w:r>
        <w:tab/>
        <w:t>Resta in ogni caso priva di fondamento la caducazione della pretesa accessoria invocata da controparte: restando legittima la pretesa a titolo di canone, conseguono dovute anche la sanzione (art. 57 del Regolamento Comunale; comma 792, art. 1, L. 160/2019) e gli interessi (comma 802, art. 1, L. 160/2019), che di quella pretesa costituiscono mero accessorio.</w:t>
      </w:r>
    </w:p>
    <w:p w14:paraId="000B4B33" w14:textId="04D8467D" w:rsidR="00434FB4" w:rsidRPr="00434FB4" w:rsidRDefault="00434FB4" w:rsidP="00434FB4">
      <w:pPr>
        <w:spacing w:line="360" w:lineRule="auto"/>
        <w:jc w:val="both"/>
      </w:pPr>
      <w:r>
        <w:tab/>
        <w:t>L'opposizione è infondata e va rigettata.</w:t>
      </w:r>
    </w:p>
    <w:p w14:paraId="002B933C" w14:textId="77777777" w:rsidR="00A879AA" w:rsidRDefault="00000000">
      <w:pPr>
        <w:spacing w:line="360" w:lineRule="auto"/>
        <w:jc w:val="center"/>
      </w:pPr>
      <w:r>
        <w:t>* * *</w:t>
      </w:r>
    </w:p>
    <w:p w14:paraId="22BC0DB6" w14:textId="3B8B46F4" w:rsidR="00A879AA" w:rsidRDefault="00873328">
      <w:pPr>
        <w:spacing w:line="360" w:lineRule="auto"/>
        <w:jc w:val="both"/>
      </w:pPr>
      <w:r>
        <w:tab/>
        <w:t>Per tutto quanto sopra esposto, il Comune di Palestro, in persona del Sindaco e legale rappresentante pro tempore, come in epigrafe rappresentato e domiciliato, con espressa riserva di ogni integrazione, anche istruttoria, che dovesse rendersi necessaria,</w:t>
      </w:r>
    </w:p>
    <w:p w14:paraId="2366B957" w14:textId="77777777" w:rsidR="00A879AA" w:rsidRDefault="00000000">
      <w:pPr>
        <w:spacing w:line="360" w:lineRule="auto"/>
        <w:jc w:val="center"/>
      </w:pPr>
      <w:r>
        <w:rPr>
          <w:b/>
          <w:bCs/>
        </w:rPr>
        <w:t>CONCLUDE</w:t>
      </w:r>
    </w:p>
    <w:p w14:paraId="36E105A3" w14:textId="77777777" w:rsidR="00A879AA" w:rsidRDefault="00000000">
      <w:pPr>
        <w:spacing w:line="360" w:lineRule="auto"/>
        <w:jc w:val="both"/>
      </w:pPr>
      <w:r>
        <w:t>affinché l’Ill.mo Tribunale adito, disattesa ogni contraria istanza ed eccezione, voglia:</w:t>
      </w:r>
    </w:p>
    <w:p w14:paraId="71A21F8B" w14:textId="5CAE9D65" w:rsidR="00A879AA" w:rsidRDefault="00873328">
      <w:pPr>
        <w:spacing w:line="360" w:lineRule="auto"/>
        <w:jc w:val="both"/>
      </w:pPr>
      <w:r>
        <w:rPr>
          <w:b/>
          <w:bCs/>
        </w:rPr>
        <w:tab/>
        <w:t xml:space="preserve">In via pregiudiziale e preliminare: </w:t>
      </w:r>
      <w:r>
        <w:t xml:space="preserve">dichiarare il difetto di giurisdizione del Giudice Ordinario a conoscere della presente controversia, per essere la stessa </w:t>
      </w:r>
      <w:r>
        <w:lastRenderedPageBreak/>
        <w:t>devoluta alla giurisdizione esclusiva della Corte di Giustizia Tributaria competente per territorio, per le ragioni esposte in narrativa.</w:t>
      </w:r>
    </w:p>
    <w:p w14:paraId="73A115D3" w14:textId="31D90203" w:rsidR="00A879AA" w:rsidRDefault="00873328">
      <w:pPr>
        <w:spacing w:line="360" w:lineRule="auto"/>
        <w:jc w:val="both"/>
      </w:pPr>
      <w:r>
        <w:rPr>
          <w:b/>
          <w:bCs/>
        </w:rPr>
        <w:tab/>
        <w:t xml:space="preserve">Nel merito: </w:t>
      </w:r>
      <w:r>
        <w:t>accertare e dichiarare la legittimità e fondatezza dell’Avviso di Accertamento Esecutivo n. 5 del 02.03.2026 emesso dal Comune di Palestro nei confronti di FASTWEB S.p.A. e, per l’effetto, respingere l’opposizione proposta, con ogni conseguenziale statuizione di legge.</w:t>
      </w:r>
    </w:p>
    <w:p w14:paraId="05CF22F0" w14:textId="6D2EEA27" w:rsidR="00A879AA" w:rsidRDefault="00873328">
      <w:pPr>
        <w:spacing w:line="360" w:lineRule="auto"/>
        <w:jc w:val="both"/>
      </w:pPr>
      <w:r>
        <w:rPr>
          <w:b/>
          <w:bCs/>
        </w:rPr>
        <w:tab/>
        <w:t xml:space="preserve">In via gradata: </w:t>
      </w:r>
      <w:r>
        <w:t>rideterminare il Canone e la sanzione nella misura che risulterà a seguito dell’eventuale fase istruttoria sulla base delle prove offerte da FASTWEB S.p.A.</w:t>
      </w:r>
    </w:p>
    <w:p w14:paraId="767BF839" w14:textId="3BD9DBCB" w:rsidR="00A879AA" w:rsidRDefault="00873328">
      <w:pPr>
        <w:spacing w:line="360" w:lineRule="auto"/>
        <w:jc w:val="both"/>
      </w:pPr>
      <w:r>
        <w:tab/>
        <w:t>Con vittoria di spese e competenze di giudizio.</w:t>
      </w:r>
    </w:p>
    <w:p w14:paraId="0CEE94E7" w14:textId="2FD1DDBA" w:rsidR="00A879AA" w:rsidRDefault="00873328">
      <w:pPr>
        <w:spacing w:line="360" w:lineRule="auto"/>
        <w:jc w:val="both"/>
      </w:pPr>
      <w:r>
        <w:tab/>
        <w:t>Con riserva di ulteriore produzione documentale negli assegnandi termini processuali.</w:t>
      </w:r>
    </w:p>
    <w:p w14:paraId="37D30E80" w14:textId="77777777" w:rsidR="00A879AA" w:rsidRDefault="00000000" w:rsidP="00873328">
      <w:pPr>
        <w:spacing w:line="360" w:lineRule="auto"/>
        <w:jc w:val="center"/>
      </w:pPr>
      <w:r>
        <w:rPr>
          <w:b/>
          <w:bCs/>
        </w:rPr>
        <w:t>ATTESTAZIONE DI CONFORMITÀ DEGLI ATTI DEPOSITATI</w:t>
      </w:r>
    </w:p>
    <w:p w14:paraId="36E02143" w14:textId="77777777" w:rsidR="00A879AA" w:rsidRDefault="00000000" w:rsidP="009142C4">
      <w:pPr>
        <w:spacing w:line="360" w:lineRule="auto"/>
        <w:jc w:val="both"/>
      </w:pPr>
      <w:r>
        <w:t>Io sottoscritta Avv. Maria Voccia (c.f. VCCMRA66M64G813U), in qualità di difensore nominato nel presente procedimento, attesto, ai sensi dell’art. 22, co. 2, d.lgs. 82/2005, la conformità con gli originali delle copie per immagine dei seguenti documenti depositati:</w:t>
      </w:r>
    </w:p>
    <w:p w14:paraId="04D5BBEC" w14:textId="77777777" w:rsidR="00A879AA" w:rsidRDefault="00000000">
      <w:pPr>
        <w:spacing w:line="360" w:lineRule="auto"/>
        <w:jc w:val="both"/>
      </w:pPr>
      <w:r>
        <w:t>A) Atto di citazione in opposizione FASTWEB S.p.A.;</w:t>
      </w:r>
    </w:p>
    <w:p w14:paraId="16970336" w14:textId="77777777" w:rsidR="00A879AA" w:rsidRDefault="00000000">
      <w:pPr>
        <w:spacing w:line="360" w:lineRule="auto"/>
        <w:jc w:val="both"/>
      </w:pPr>
      <w:r>
        <w:t>B) Delibera di Costituzione in giudizio;</w:t>
      </w:r>
    </w:p>
    <w:p w14:paraId="3A62E41E" w14:textId="77777777" w:rsidR="00A879AA" w:rsidRDefault="00000000">
      <w:pPr>
        <w:spacing w:line="360" w:lineRule="auto"/>
        <w:jc w:val="both"/>
      </w:pPr>
      <w:r>
        <w:t>C) Sentenza Cassazione SS.UU. n. 12225 del 1.5.2026;</w:t>
      </w:r>
    </w:p>
    <w:p w14:paraId="7ED620E5" w14:textId="77777777" w:rsidR="00A879AA" w:rsidRDefault="00000000">
      <w:pPr>
        <w:spacing w:line="360" w:lineRule="auto"/>
        <w:jc w:val="both"/>
      </w:pPr>
      <w:r>
        <w:t>1) Regolamento CUP (Delibera di Consiglio Comunale n. 6 del 29.03.2021);</w:t>
      </w:r>
    </w:p>
    <w:p w14:paraId="77B8F4C3" w14:textId="77777777" w:rsidR="00A879AA" w:rsidRDefault="00000000">
      <w:pPr>
        <w:spacing w:line="360" w:lineRule="auto"/>
        <w:jc w:val="both"/>
      </w:pPr>
      <w:r>
        <w:t>2) Determinazione affidamento servizio Archivia Solution S.p.A. (Determina n. 122 del 02.07.2025);</w:t>
      </w:r>
    </w:p>
    <w:p w14:paraId="0D92DB8C" w14:textId="77777777" w:rsidR="00A879AA" w:rsidRDefault="00000000">
      <w:pPr>
        <w:spacing w:line="360" w:lineRule="auto"/>
        <w:jc w:val="both"/>
      </w:pPr>
      <w:r>
        <w:t>3) Richiesta di dichiarazione utenze del 10.07.2025 (Archivia Solution S.p.A.);</w:t>
      </w:r>
    </w:p>
    <w:p w14:paraId="55FD4354" w14:textId="77777777" w:rsidR="00A879AA" w:rsidRDefault="00000000">
      <w:pPr>
        <w:spacing w:line="360" w:lineRule="auto"/>
        <w:jc w:val="both"/>
      </w:pPr>
      <w:r>
        <w:t>4) Riscontro VODAFONE ITALIA S.p.A. del 04.08.2025;</w:t>
      </w:r>
    </w:p>
    <w:p w14:paraId="700CD391" w14:textId="77777777" w:rsidR="00A879AA" w:rsidRDefault="00000000">
      <w:pPr>
        <w:spacing w:line="360" w:lineRule="auto"/>
        <w:jc w:val="both"/>
      </w:pPr>
      <w:r>
        <w:t>5) Replica Archivia Solution S.p.A. del 04.09.2025;</w:t>
      </w:r>
    </w:p>
    <w:p w14:paraId="55FD4360" w14:textId="77777777" w:rsidR="00A879AA" w:rsidRDefault="00000000">
      <w:pPr>
        <w:spacing w:line="360" w:lineRule="auto"/>
        <w:jc w:val="both"/>
      </w:pPr>
      <w:r>
        <w:t>6) Riscontro VODAFONE ITALIA S.p.A. del 20.10.2025;</w:t>
      </w:r>
    </w:p>
    <w:p w14:paraId="371D4AA7" w14:textId="77777777" w:rsidR="00A879AA" w:rsidRDefault="00000000">
      <w:pPr>
        <w:spacing w:line="360" w:lineRule="auto"/>
        <w:jc w:val="both"/>
      </w:pPr>
      <w:r>
        <w:t>7) Avviso di Accertamento Esecutivo n. 5 del 02.03.2026;</w:t>
      </w:r>
    </w:p>
    <w:p w14:paraId="79C5AE93" w14:textId="77777777" w:rsidR="00A879AA" w:rsidRDefault="00000000">
      <w:pPr>
        <w:spacing w:line="360" w:lineRule="auto"/>
        <w:jc w:val="both"/>
      </w:pPr>
      <w:r>
        <w:t>8) Dati dell’Osservatorio sulle Comunicazioni AGCOM 2024;</w:t>
      </w:r>
    </w:p>
    <w:p w14:paraId="2FC7294D" w14:textId="77777777" w:rsidR="00A879AA" w:rsidRDefault="00000000">
      <w:pPr>
        <w:spacing w:line="360" w:lineRule="auto"/>
        <w:jc w:val="both"/>
      </w:pPr>
      <w:r>
        <w:t>9) Cassazione, Sezione Terza Civile, sentenza n. 11479 del 28.04.2026;</w:t>
      </w:r>
    </w:p>
    <w:p w14:paraId="06883808" w14:textId="77777777" w:rsidR="00A879AA" w:rsidRDefault="00000000">
      <w:pPr>
        <w:spacing w:line="360" w:lineRule="auto"/>
        <w:jc w:val="both"/>
      </w:pPr>
      <w:r>
        <w:t>10) Circolare MEF n. 1/DF del 20.01.2009;</w:t>
      </w:r>
    </w:p>
    <w:p w14:paraId="32DA4234" w14:textId="77777777" w:rsidR="00A879AA" w:rsidRDefault="00000000">
      <w:pPr>
        <w:spacing w:line="360" w:lineRule="auto"/>
        <w:jc w:val="both"/>
      </w:pPr>
      <w:r>
        <w:t>11) Sentenza Tribunale di Bergamo n. 1523/2025;</w:t>
      </w:r>
    </w:p>
    <w:p w14:paraId="7A2AA0AD" w14:textId="77777777" w:rsidR="00A879AA" w:rsidRDefault="00000000">
      <w:pPr>
        <w:spacing w:line="360" w:lineRule="auto"/>
        <w:jc w:val="both"/>
      </w:pPr>
      <w:r>
        <w:t>12) Sentenza Tribunale di Bergamo n. 289/2026;</w:t>
      </w:r>
    </w:p>
    <w:p w14:paraId="5062FA3E" w14:textId="77777777" w:rsidR="00A879AA" w:rsidRDefault="00000000">
      <w:pPr>
        <w:spacing w:line="360" w:lineRule="auto"/>
        <w:jc w:val="both"/>
      </w:pPr>
      <w:r>
        <w:t>13) Sentenza Tribunale di Napoli n. 5948/2026;</w:t>
      </w:r>
    </w:p>
    <w:p w14:paraId="0026FDDC" w14:textId="77777777" w:rsidR="00A879AA" w:rsidRDefault="00000000">
      <w:pPr>
        <w:spacing w:line="360" w:lineRule="auto"/>
        <w:jc w:val="both"/>
      </w:pPr>
      <w:r>
        <w:t>14) Sentenza Tribunale di Treviso n. 240/2025 del 20/02/2025 – appello;</w:t>
      </w:r>
    </w:p>
    <w:p w14:paraId="72E59286" w14:textId="77777777" w:rsidR="00A879AA" w:rsidRDefault="00000000">
      <w:pPr>
        <w:spacing w:line="360" w:lineRule="auto"/>
        <w:jc w:val="both"/>
      </w:pPr>
      <w:r>
        <w:t>15) Sentenza Tribunale di Piacenza n. 207 del 06.05.2025;</w:t>
      </w:r>
    </w:p>
    <w:p w14:paraId="6C3301F5" w14:textId="77777777" w:rsidR="00A879AA" w:rsidRDefault="00000000">
      <w:pPr>
        <w:spacing w:line="360" w:lineRule="auto"/>
        <w:jc w:val="both"/>
      </w:pPr>
      <w:r>
        <w:lastRenderedPageBreak/>
        <w:t>16) Sentenza Tribunale di Piacenza – II grado, n. 350 del 16.07.2025, R.G. 1562/2024;</w:t>
      </w:r>
    </w:p>
    <w:p w14:paraId="7BDF1600" w14:textId="77777777" w:rsidR="00A879AA" w:rsidRDefault="00000000">
      <w:pPr>
        <w:spacing w:line="360" w:lineRule="auto"/>
        <w:jc w:val="both"/>
      </w:pPr>
      <w:r>
        <w:t>17) Sentenza Tribunale di Ivrea – II grado, 29.09.2025, n. 1255;</w:t>
      </w:r>
    </w:p>
    <w:p w14:paraId="385C03E6" w14:textId="77777777" w:rsidR="00A879AA" w:rsidRDefault="00000000">
      <w:pPr>
        <w:spacing w:line="360" w:lineRule="auto"/>
        <w:jc w:val="both"/>
      </w:pPr>
      <w:r>
        <w:t>18) Sentenza Tribunale di Bolzano, 08.04.2024, n. 431;</w:t>
      </w:r>
    </w:p>
    <w:p w14:paraId="3D0E58CF" w14:textId="77777777" w:rsidR="00A879AA" w:rsidRDefault="00000000">
      <w:pPr>
        <w:spacing w:line="360" w:lineRule="auto"/>
        <w:jc w:val="both"/>
      </w:pPr>
      <w:r>
        <w:t>19) Sentenza Tribunale di Bolzano n. 908/2025.</w:t>
      </w:r>
    </w:p>
    <w:p w14:paraId="6A71D743" w14:textId="77777777" w:rsidR="00A879AA" w:rsidRDefault="00A879AA">
      <w:pPr>
        <w:spacing w:line="360" w:lineRule="auto"/>
        <w:jc w:val="both"/>
      </w:pPr>
    </w:p>
    <w:p w14:paraId="62420365" w14:textId="1B9AB4E6" w:rsidR="00A879AA" w:rsidRDefault="00000000">
      <w:pPr>
        <w:spacing w:line="360" w:lineRule="auto"/>
        <w:jc w:val="both"/>
      </w:pPr>
      <w:r>
        <w:t xml:space="preserve">Palestro – </w:t>
      </w:r>
      <w:r w:rsidR="009142C4">
        <w:t>Salerno, 30.06.2026</w:t>
      </w:r>
    </w:p>
    <w:p w14:paraId="19892F68" w14:textId="77BA66D4" w:rsidR="00A879AA" w:rsidRDefault="00000000">
      <w:pPr>
        <w:spacing w:line="360" w:lineRule="auto"/>
        <w:jc w:val="right"/>
      </w:pPr>
      <w:r>
        <w:rPr>
          <w:b/>
          <w:bCs/>
        </w:rPr>
        <w:t xml:space="preserve">Avv. </w:t>
      </w:r>
      <w:r w:rsidR="00CA7372" w:rsidRPr="00CA7372">
        <w:rPr>
          <w:b/>
          <w:bCs/>
        </w:rPr>
        <w:t>Maria Voccia De Felice</w:t>
      </w:r>
    </w:p>
    <w:sectPr w:rsidR="00A879AA" w:rsidSect="009142C4">
      <w:pgSz w:w="11906" w:h="16838"/>
      <w:pgMar w:top="426"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3A8134B7"/>
    <w:multiLevelType w:val="hybridMultilevel"/>
    <w:tmpl w:val="F93637C0"/>
    <w:lvl w:ilvl="0" w:tplc="1F7C2456">
      <w:start w:val="1"/>
      <w:numFmt w:val="bullet"/>
      <w:lvlText w:val="●"/>
      <w:lvlJc w:val="left"/>
      <w:pPr>
        <w:ind w:left="720" w:hanging="360"/>
      </w:pPr>
    </w:lvl>
    <w:lvl w:ilvl="1" w:tplc="63F88B88">
      <w:start w:val="1"/>
      <w:numFmt w:val="bullet"/>
      <w:lvlText w:val="○"/>
      <w:lvlJc w:val="left"/>
      <w:pPr>
        <w:ind w:left="1440" w:hanging="360"/>
      </w:pPr>
    </w:lvl>
    <w:lvl w:ilvl="2" w:tplc="8B969BDE">
      <w:start w:val="1"/>
      <w:numFmt w:val="bullet"/>
      <w:lvlText w:val="■"/>
      <w:lvlJc w:val="left"/>
      <w:pPr>
        <w:ind w:left="2160" w:hanging="360"/>
      </w:pPr>
    </w:lvl>
    <w:lvl w:ilvl="3" w:tplc="3606CC28">
      <w:start w:val="1"/>
      <w:numFmt w:val="bullet"/>
      <w:lvlText w:val="●"/>
      <w:lvlJc w:val="left"/>
      <w:pPr>
        <w:ind w:left="2880" w:hanging="360"/>
      </w:pPr>
    </w:lvl>
    <w:lvl w:ilvl="4" w:tplc="BB62487A">
      <w:start w:val="1"/>
      <w:numFmt w:val="bullet"/>
      <w:lvlText w:val="○"/>
      <w:lvlJc w:val="left"/>
      <w:pPr>
        <w:ind w:left="3600" w:hanging="360"/>
      </w:pPr>
    </w:lvl>
    <w:lvl w:ilvl="5" w:tplc="CD6C44D2">
      <w:start w:val="1"/>
      <w:numFmt w:val="bullet"/>
      <w:lvlText w:val="■"/>
      <w:lvlJc w:val="left"/>
      <w:pPr>
        <w:ind w:left="4320" w:hanging="360"/>
      </w:pPr>
    </w:lvl>
    <w:lvl w:ilvl="6" w:tplc="80362A94">
      <w:start w:val="1"/>
      <w:numFmt w:val="bullet"/>
      <w:lvlText w:val="●"/>
      <w:lvlJc w:val="left"/>
      <w:pPr>
        <w:ind w:left="5040" w:hanging="360"/>
      </w:pPr>
    </w:lvl>
    <w:lvl w:ilvl="7" w:tplc="C488346E">
      <w:start w:val="1"/>
      <w:numFmt w:val="bullet"/>
      <w:lvlText w:val="●"/>
      <w:lvlJc w:val="left"/>
      <w:pPr>
        <w:ind w:left="5760" w:hanging="360"/>
      </w:pPr>
    </w:lvl>
    <w:lvl w:ilvl="8" w:tplc="BA304AB4">
      <w:start w:val="1"/>
      <w:numFmt w:val="bullet"/>
      <w:lvlText w:val="●"/>
      <w:lvlJc w:val="left"/>
      <w:pPr>
        <w:ind w:left="6480" w:hanging="360"/>
      </w:pPr>
    </w:lvl>
  </w:abstractNum>
  <w:num w:numId="1" w16cid:durableId="880628194">
    <w:abstractNumId w:val="1"/>
    <w:lvlOverride w:ilvl="0">
      <w:startOverride w:val="1"/>
    </w:lvlOverride>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9AA"/>
    <w:rsid w:val="00152BC4"/>
    <w:rsid w:val="00153622"/>
    <w:rsid w:val="00153D72"/>
    <w:rsid w:val="00434FB4"/>
    <w:rsid w:val="007A5CE0"/>
    <w:rsid w:val="007C42E5"/>
    <w:rsid w:val="00824E76"/>
    <w:rsid w:val="00873328"/>
    <w:rsid w:val="008F42D3"/>
    <w:rsid w:val="009142C4"/>
    <w:rsid w:val="00953D02"/>
    <w:rsid w:val="00A70178"/>
    <w:rsid w:val="00A879AA"/>
    <w:rsid w:val="00CA7372"/>
    <w:rsid w:val="00CC57B2"/>
    <w:rsid w:val="00D02089"/>
    <w:rsid w:val="00D85915"/>
    <w:rsid w:val="00E03719"/>
    <w:rsid w:val="00E93F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EDFF"/>
  <w15:docId w15:val="{F46CEF56-57BB-1848-91B6-D750338F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mvocciaordsa@pec.giuffre.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voccia@vocciasp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503B5-C401-6A4B-A770-3F8A40F1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6804</Words>
  <Characters>38783</Characters>
  <Application>Microsoft Office Word</Application>
  <DocSecurity>0</DocSecurity>
  <Lines>323</Lines>
  <Paragraphs>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2</cp:revision>
  <dcterms:created xsi:type="dcterms:W3CDTF">2026-06-29T18:37:00Z</dcterms:created>
  <dcterms:modified xsi:type="dcterms:W3CDTF">2026-06-29T18:37:00Z</dcterms:modified>
</cp:coreProperties>
</file>