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BA55F0" w14:textId="77777777" w:rsidR="0054082B" w:rsidRPr="00286E13" w:rsidRDefault="0054082B" w:rsidP="0054082B">
      <w:pPr>
        <w:jc w:val="center"/>
      </w:pPr>
      <w:r>
        <w:rPr>
          <w:b/>
          <w:bCs/>
        </w:rPr>
        <w:t>Maria Voccia De Felice</w:t>
      </w:r>
    </w:p>
    <w:p w14:paraId="0F7F9D33" w14:textId="77777777" w:rsidR="0054082B" w:rsidRPr="00286E13" w:rsidRDefault="0054082B" w:rsidP="0054082B">
      <w:pPr>
        <w:jc w:val="center"/>
      </w:pPr>
      <w:r>
        <w:rPr>
          <w:b/>
          <w:bCs/>
        </w:rPr>
        <w:t>Avvocato</w:t>
      </w:r>
    </w:p>
    <w:p w14:paraId="2DBE6C2B" w14:textId="77777777" w:rsidR="0054082B" w:rsidRPr="00286E13" w:rsidRDefault="0054082B" w:rsidP="0054082B">
      <w:pPr>
        <w:jc w:val="center"/>
      </w:pPr>
      <w:r>
        <w:rPr>
          <w:b/>
          <w:bCs/>
        </w:rPr>
        <w:t>Patrocinante in Cassazione</w:t>
      </w:r>
    </w:p>
    <w:p w14:paraId="7D4881C3" w14:textId="77777777" w:rsidR="0054082B" w:rsidRPr="00286E13" w:rsidRDefault="0054082B" w:rsidP="0054082B">
      <w:pPr>
        <w:jc w:val="center"/>
      </w:pPr>
      <w:r>
        <w:rPr>
          <w:b/>
          <w:bCs/>
        </w:rPr>
        <w:t>Salerno - Via G. Vicinanza n. 42 – 84123</w:t>
      </w:r>
    </w:p>
    <w:p w14:paraId="61A7155E" w14:textId="77777777" w:rsidR="0054082B" w:rsidRPr="00286E13" w:rsidRDefault="0054082B" w:rsidP="0054082B">
      <w:pPr>
        <w:spacing w:after="200"/>
        <w:jc w:val="center"/>
      </w:pPr>
      <w:r>
        <w:rPr>
          <w:b/>
          <w:bCs/>
        </w:rPr>
        <w:t>tel. 089237255 mobile 335 6329269</w:t>
      </w:r>
    </w:p>
    <w:p w14:paraId="61EB96D5" w14:textId="77777777" w:rsidR="0054082B" w:rsidRDefault="0054082B" w:rsidP="0054082B">
      <w:pPr>
        <w:spacing w:after="200"/>
        <w:jc w:val="center"/>
        <w:rPr>
          <w:b/>
          <w:bCs/>
        </w:rPr>
      </w:pPr>
      <w:r>
        <w:rPr>
          <w:b/>
          <w:bCs/>
        </w:rPr>
        <w:t xml:space="preserve">mail: mvoccia@vocciaspa.com </w:t>
      </w:r>
      <w:proofErr w:type="spellStart"/>
      <w:r>
        <w:rPr>
          <w:b/>
          <w:bCs/>
        </w:rPr>
        <w:t>pec</w:t>
      </w:r>
      <w:proofErr w:type="spellEnd"/>
      <w:r>
        <w:rPr>
          <w:b/>
          <w:bCs/>
        </w:rPr>
        <w:t xml:space="preserve">: </w:t>
      </w:r>
      <w:hyperlink r:id="rId8" w:history="1">
        <w:r>
          <w:rPr>
            <w:rStyle w:val="Collegamentoipertestuale"/>
            <w:b/>
            <w:bCs/>
          </w:rPr>
          <w:t>mvocciaordsa@pec.giuffre.it</w:t>
        </w:r>
      </w:hyperlink>
    </w:p>
    <w:p w14:paraId="3C61EAC1" w14:textId="77777777" w:rsidR="007E79BC" w:rsidRDefault="007E79BC" w:rsidP="00864A21">
      <w:pPr>
        <w:spacing w:line="360" w:lineRule="auto"/>
        <w:jc w:val="center"/>
        <w:rPr>
          <w:b/>
          <w:bCs/>
        </w:rPr>
      </w:pPr>
    </w:p>
    <w:p w14:paraId="2A3C0A21" w14:textId="77777777" w:rsidR="0054082B" w:rsidRPr="00286E13" w:rsidRDefault="0054082B" w:rsidP="0054082B">
      <w:pPr>
        <w:spacing w:line="360" w:lineRule="auto"/>
      </w:pPr>
    </w:p>
    <w:p w14:paraId="5C5D6B0E" w14:textId="77777777" w:rsidR="0054082B" w:rsidRPr="00286E13" w:rsidRDefault="0054082B" w:rsidP="0054082B">
      <w:pPr>
        <w:spacing w:line="360" w:lineRule="auto"/>
        <w:jc w:val="center"/>
      </w:pPr>
      <w:r>
        <w:rPr>
          <w:b/>
          <w:bCs/>
        </w:rPr>
        <w:t>ON.LE CORTE DI GIUSTIZIA TRIBUTARIA DI PRIMO GRADO DI PERUGIA</w:t>
      </w:r>
    </w:p>
    <w:p w14:paraId="37690268" w14:textId="759FA398" w:rsidR="0054082B" w:rsidRDefault="00FA7217" w:rsidP="00FA7217">
      <w:pPr>
        <w:spacing w:line="360" w:lineRule="auto"/>
        <w:ind w:firstLine="567"/>
        <w:jc w:val="center"/>
        <w:rPr>
          <w:b/>
          <w:bCs/>
        </w:rPr>
      </w:pPr>
      <w:r w:rsidRPr="00FA7217">
        <w:rPr>
          <w:b/>
          <w:bCs/>
        </w:rPr>
        <w:t>Memoria di costituzione e controdeduzioni</w:t>
      </w:r>
    </w:p>
    <w:p w14:paraId="6AAAB313" w14:textId="77777777" w:rsidR="00FA7217" w:rsidRDefault="00FA7217" w:rsidP="00FA7217">
      <w:pPr>
        <w:spacing w:line="360" w:lineRule="auto"/>
        <w:ind w:firstLine="567"/>
        <w:jc w:val="center"/>
      </w:pPr>
    </w:p>
    <w:p w14:paraId="10BDBA75" w14:textId="77777777" w:rsidR="0057423B" w:rsidRPr="0057423B" w:rsidRDefault="0057423B" w:rsidP="0057423B">
      <w:pPr>
        <w:snapToGrid w:val="0"/>
        <w:spacing w:line="360" w:lineRule="auto"/>
        <w:ind w:firstLine="720"/>
        <w:jc w:val="both"/>
        <w:rPr>
          <w:rFonts w:eastAsia="Times New Roman"/>
          <w:color w:val="000000"/>
          <w:lang w:eastAsia="ar-SA"/>
        </w:rPr>
      </w:pPr>
      <w:r w:rsidRPr="0057423B">
        <w:rPr>
          <w:rFonts w:eastAsia="Times New Roman"/>
        </w:rPr>
        <w:t xml:space="preserve">Per il </w:t>
      </w:r>
      <w:r w:rsidRPr="0057423B">
        <w:rPr>
          <w:rFonts w:eastAsia="Times New Roman"/>
          <w:b/>
          <w:bCs/>
        </w:rPr>
        <w:t>Comune di Montefalco</w:t>
      </w:r>
      <w:r w:rsidRPr="0057423B">
        <w:rPr>
          <w:rFonts w:eastAsia="Times New Roman"/>
        </w:rPr>
        <w:t xml:space="preserve"> (C.F. 82001610540; P.IVA 00450630546), con sede in Montefalco (PG), Piazza del Comune n. 22 (06036), in persona del Sindaco e legale rappresentante pro tempore, </w:t>
      </w:r>
      <w:r w:rsidRPr="0057423B">
        <w:t>rappresentato e difeso</w:t>
      </w:r>
      <w:r w:rsidRPr="0057423B">
        <w:rPr>
          <w:rFonts w:eastAsia="Times New Roman"/>
          <w:color w:val="000000"/>
          <w:lang w:eastAsia="ar-SA"/>
        </w:rPr>
        <w:t xml:space="preserve">, in esecuzione della Delibera di </w:t>
      </w:r>
      <w:r w:rsidRPr="0057423B">
        <w:rPr>
          <w:rFonts w:eastAsia="Times New Roman"/>
          <w:b/>
          <w:bCs/>
          <w:color w:val="000000"/>
          <w:lang w:eastAsia="ar-SA"/>
        </w:rPr>
        <w:t>G.C. n. 87 del 02.07.2026,</w:t>
      </w:r>
      <w:r w:rsidRPr="0057423B">
        <w:rPr>
          <w:rFonts w:eastAsia="Times New Roman"/>
          <w:color w:val="000000"/>
          <w:lang w:eastAsia="ar-SA"/>
        </w:rPr>
        <w:t xml:space="preserve"> dall'Avv. Maria Voccia De Felice (C.F. VCCMRA66M64G813U), presso il cui studio elettivamente domicilia in Salerno alla Via G. Vicinanza n. 42, </w:t>
      </w:r>
      <w:r w:rsidRPr="0057423B">
        <w:rPr>
          <w:rFonts w:eastAsia="Times New Roman"/>
          <w:color w:val="000000"/>
          <w:u w:val="single"/>
          <w:lang w:eastAsia="ar-SA"/>
        </w:rPr>
        <w:t xml:space="preserve">il suddetto procuratore dichiara di voler ricevere le notifiche di legge a mezzo </w:t>
      </w:r>
      <w:proofErr w:type="spellStart"/>
      <w:r w:rsidRPr="0057423B">
        <w:rPr>
          <w:rFonts w:eastAsia="Times New Roman"/>
          <w:color w:val="000000"/>
          <w:u w:val="single"/>
          <w:lang w:eastAsia="ar-SA"/>
        </w:rPr>
        <w:t>pec</w:t>
      </w:r>
      <w:proofErr w:type="spellEnd"/>
      <w:r w:rsidRPr="0057423B">
        <w:rPr>
          <w:rFonts w:eastAsia="Times New Roman"/>
          <w:color w:val="000000"/>
          <w:u w:val="single"/>
          <w:lang w:eastAsia="ar-SA"/>
        </w:rPr>
        <w:t xml:space="preserve"> all’indirizzo </w:t>
      </w:r>
      <w:hyperlink r:id="rId9" w:history="1">
        <w:r w:rsidRPr="0057423B">
          <w:rPr>
            <w:rFonts w:eastAsia="Times New Roman"/>
            <w:b/>
            <w:bCs/>
            <w:color w:val="0563C1"/>
            <w:u w:val="single"/>
            <w:lang w:eastAsia="ar-SA"/>
          </w:rPr>
          <w:t>mvocciaordsa@pec.giuffre.it</w:t>
        </w:r>
      </w:hyperlink>
      <w:r w:rsidRPr="0057423B">
        <w:rPr>
          <w:rFonts w:eastAsia="Times New Roman"/>
          <w:color w:val="000000"/>
          <w:lang w:eastAsia="ar-SA"/>
        </w:rPr>
        <w:t>;</w:t>
      </w:r>
    </w:p>
    <w:p w14:paraId="59A6CCB4" w14:textId="77777777" w:rsidR="0057423B" w:rsidRPr="0057423B" w:rsidRDefault="0057423B" w:rsidP="0057423B">
      <w:pPr>
        <w:numPr>
          <w:ilvl w:val="0"/>
          <w:numId w:val="3"/>
        </w:numPr>
        <w:snapToGrid w:val="0"/>
        <w:spacing w:line="360" w:lineRule="auto"/>
        <w:contextualSpacing/>
        <w:jc w:val="right"/>
      </w:pPr>
      <w:r w:rsidRPr="0057423B">
        <w:rPr>
          <w:b/>
          <w:bCs/>
        </w:rPr>
        <w:t>RESISTENTE -</w:t>
      </w:r>
    </w:p>
    <w:p w14:paraId="6F080A0D" w14:textId="77777777" w:rsidR="0057423B" w:rsidRPr="0057423B" w:rsidRDefault="0057423B" w:rsidP="0057423B">
      <w:pPr>
        <w:snapToGrid w:val="0"/>
        <w:spacing w:line="360" w:lineRule="auto"/>
        <w:ind w:firstLine="720"/>
        <w:jc w:val="both"/>
        <w:rPr>
          <w:rFonts w:eastAsia="Times New Roman"/>
        </w:rPr>
      </w:pPr>
      <w:r w:rsidRPr="0057423B">
        <w:rPr>
          <w:rFonts w:eastAsia="Times New Roman"/>
          <w:b/>
          <w:bCs/>
        </w:rPr>
        <w:t>contro</w:t>
      </w:r>
    </w:p>
    <w:p w14:paraId="16BEF26C" w14:textId="77777777" w:rsidR="00075369" w:rsidRDefault="00206426" w:rsidP="00864A21">
      <w:pPr>
        <w:spacing w:line="360" w:lineRule="auto"/>
        <w:ind w:firstLine="567"/>
        <w:jc w:val="both"/>
      </w:pPr>
      <w:r>
        <w:rPr>
          <w:b/>
          <w:bCs/>
        </w:rPr>
        <w:t>FASTWEB S.p.A.</w:t>
      </w:r>
      <w:r>
        <w:t xml:space="preserve"> (C.F. e P.IVA 12878470157), Società a socio unico e soggetta all’attività di direzione e coordinamento di Swisscom A.G., con sede legale in Piazza Adriano Olivetti n. 1, 20139 – Milano (MI), </w:t>
      </w:r>
      <w:r>
        <w:rPr>
          <w:b/>
          <w:bCs/>
        </w:rPr>
        <w:t>quale società incorporante Vodafone Italia S.p.A.</w:t>
      </w:r>
      <w:r>
        <w:t xml:space="preserve"> (giusta atto di fusione per incorporazione del 18.12.2025, Rep. n. 10666/11563, Notaio Andrea De Costa, con efficacia dal 1° gennaio 2026), per il tramite della società procuratrice Lindam s.r.l., con sede in Roma, via Trionfale n. 6551, C.F. e P.IVA 12468191007, rappresentata e difesa dalla Prof. Avv. Daniela Mazzagreco, C.F. MZZDNL74D67G642Z, PEC danielamazzagreco@pecavvpa.it, e dall’Avv. Alessandra Alaimo, C.F. LMALSN74L53G273L, PEC alessandraalaimo@pecavvpa.it, con domicilio eletto presso lo studio della prima nella via Messina n. 4, 90141 Palermo.</w:t>
      </w:r>
    </w:p>
    <w:p w14:paraId="3666CB5D" w14:textId="77777777" w:rsidR="00075369" w:rsidRDefault="00206426" w:rsidP="0057423B">
      <w:pPr>
        <w:spacing w:before="60" w:after="80" w:line="360" w:lineRule="auto"/>
        <w:jc w:val="right"/>
      </w:pPr>
      <w:r>
        <w:rPr>
          <w:b/>
          <w:bCs/>
        </w:rPr>
        <w:t>– RICORRENTE –</w:t>
      </w:r>
    </w:p>
    <w:p w14:paraId="2094761E" w14:textId="77777777" w:rsidR="00075369" w:rsidRDefault="00206426" w:rsidP="00864A21">
      <w:pPr>
        <w:spacing w:before="120" w:after="120" w:line="360" w:lineRule="auto"/>
        <w:jc w:val="center"/>
      </w:pPr>
      <w:r>
        <w:t>* * *</w:t>
      </w:r>
    </w:p>
    <w:p w14:paraId="7A8433BD" w14:textId="1315881D" w:rsidR="00075369" w:rsidRDefault="0057423B" w:rsidP="0054082B">
      <w:pPr>
        <w:spacing w:after="80" w:line="360" w:lineRule="auto"/>
      </w:pPr>
      <w:r>
        <w:rPr>
          <w:b/>
          <w:bCs/>
        </w:rPr>
        <w:t>FATTO</w:t>
      </w:r>
    </w:p>
    <w:p w14:paraId="3CC1C781" w14:textId="77777777" w:rsidR="00075369" w:rsidRDefault="00206426" w:rsidP="00864A21">
      <w:pPr>
        <w:spacing w:line="360" w:lineRule="auto"/>
        <w:ind w:firstLine="567"/>
        <w:jc w:val="both"/>
      </w:pPr>
      <w:r>
        <w:lastRenderedPageBreak/>
        <w:t xml:space="preserve">Il Comune di Montefalco (PG), con Delibera del Consiglio Comunale n. 5 del 30.03.2021, successivamente modificata ed integrata con Delibera del Consiglio Comunale n. 5 del 12.02.2025,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710F84A4" w14:textId="42D5C936" w:rsidR="00075369" w:rsidRDefault="00206426" w:rsidP="00864A21">
      <w:pPr>
        <w:spacing w:line="360" w:lineRule="auto"/>
        <w:ind w:firstLine="567"/>
        <w:jc w:val="both"/>
      </w:pPr>
      <w:r>
        <w:t xml:space="preserve">Su incarico del Comune di Montefalco – giusto affidamento </w:t>
      </w:r>
      <w:r w:rsidR="00864A21">
        <w:t xml:space="preserve">del servizio di supporto </w:t>
      </w:r>
      <w:r>
        <w:t xml:space="preserve">di cui alla Determina n. 370 del 27.10.2025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7B606D2D" w14:textId="3C13785B" w:rsidR="00075369" w:rsidRDefault="00206426" w:rsidP="00864A21">
      <w:pPr>
        <w:spacing w:line="360" w:lineRule="auto"/>
        <w:ind w:firstLine="567"/>
        <w:jc w:val="both"/>
      </w:pPr>
      <w:r>
        <w:t xml:space="preserve">Quindi, con nota del </w:t>
      </w:r>
      <w:r>
        <w:rPr>
          <w:b/>
          <w:bCs/>
        </w:rPr>
        <w:t>7 gennaio 2026</w:t>
      </w:r>
      <w:r>
        <w:t xml:space="preserve"> </w:t>
      </w:r>
      <w:r>
        <w:rPr>
          <w:b/>
          <w:bCs/>
        </w:rPr>
        <w:t>(doc. 3)</w:t>
      </w:r>
      <w:r>
        <w:t xml:space="preserve">, la società Archivia Solution S.p.A. ha trasmesso </w:t>
      </w:r>
      <w:r>
        <w:rPr>
          <w:b/>
          <w:bCs/>
        </w:rPr>
        <w:t>a Vodafone Italia S.p.A. – oggi incorporata da Fastweb S.p.A.</w:t>
      </w:r>
      <w:r>
        <w:t xml:space="preserve"> – a mezzo PEC una richiesta di dichiarazione delle utenze attive nel Comune di Montefalco e dei versamenti effettuati a titolo di CUP per gli anni dal 2021 al 2025, evidenziando che, dai primi controlli eseguiti sulla piattaforma PagoPA e sugli altri canali di pagamento attivi, la società non risultava aver versato il Canone per alcuna delle annualità in verifica, invitando la stessa a regolarizzare la propria posizione entro quindici giorni, pena il ricorso alla procedura di accertamento su stima presuntiva. La </w:t>
      </w:r>
      <w:proofErr w:type="gramStart"/>
      <w:r>
        <w:t>predetta</w:t>
      </w:r>
      <w:proofErr w:type="gramEnd"/>
      <w:r>
        <w:t xml:space="preserve"> richiesta, con le relative ricevute di accettazione e consegna, risulta regolarmente notificata a mezzo PEC.</w:t>
      </w:r>
    </w:p>
    <w:p w14:paraId="3D49633D" w14:textId="77777777" w:rsidR="00075369" w:rsidRDefault="00206426" w:rsidP="00864A21">
      <w:pPr>
        <w:spacing w:line="360" w:lineRule="auto"/>
        <w:ind w:firstLine="567"/>
        <w:jc w:val="both"/>
      </w:pPr>
      <w:r>
        <w:t xml:space="preserve">La società </w:t>
      </w:r>
      <w:r>
        <w:rPr>
          <w:b/>
          <w:bCs/>
        </w:rPr>
        <w:t>non forniva alcun riscontro</w:t>
      </w:r>
      <w:r>
        <w:t xml:space="preserve"> alla richiesta, né presentava dichiarazione sul numero di utenze attive ad essa riconducibili, limitandosi – nel successivo ricorso – a contestare in astratto la propria soggettività passiva.</w:t>
      </w:r>
    </w:p>
    <w:p w14:paraId="4370F9CB" w14:textId="77777777" w:rsidR="00075369" w:rsidRDefault="00206426" w:rsidP="00864A21">
      <w:pPr>
        <w:spacing w:line="360" w:lineRule="auto"/>
        <w:ind w:firstLine="567"/>
        <w:jc w:val="both"/>
      </w:pPr>
      <w:r>
        <w:t>Attesa la mancata collaborazione della società, il Comune di Montefalco emetteva l’</w:t>
      </w:r>
      <w:r>
        <w:rPr>
          <w:b/>
          <w:bCs/>
        </w:rPr>
        <w:t>Avviso di Accertamento Esecutivo n. 6 del 16.03.2026</w:t>
      </w:r>
      <w:r>
        <w:t xml:space="preserve"> </w:t>
      </w:r>
      <w:r>
        <w:rPr>
          <w:b/>
          <w:bCs/>
        </w:rPr>
        <w:t>(doc. 4)</w:t>
      </w:r>
      <w:r>
        <w:t xml:space="preserve">, notificato in data 25.03.2026, avente ad oggetto l’omesso versamento del </w:t>
      </w:r>
      <w:r>
        <w:rPr>
          <w:b/>
          <w:bCs/>
        </w:rPr>
        <w:t>CUP</w:t>
      </w:r>
      <w:r>
        <w:t xml:space="preserve"> – ai sensi dell’art. 1, comma 831, L. 160/2019 – per le annualità 2021, 2022, 2023, 2024 e 2025, nei confronti di FASTWEB S.p.A., quale società incorporante Vodafone Italia S.p.A., per un importo complessivo di euro 6.245,00.</w:t>
      </w:r>
    </w:p>
    <w:p w14:paraId="602BCA65" w14:textId="7AB20426" w:rsidR="00075369" w:rsidRDefault="00206426" w:rsidP="00864A21">
      <w:pPr>
        <w:spacing w:line="360" w:lineRule="auto"/>
        <w:ind w:firstLine="567"/>
        <w:jc w:val="both"/>
      </w:pPr>
      <w:r>
        <w:t>Il Canone è stato determinato in via induttiva</w:t>
      </w:r>
      <w:r w:rsidR="005D7CE1" w:rsidRPr="005D7CE1">
        <w:t xml:space="preserve"> </w:t>
      </w:r>
      <w:r w:rsidR="005D7CE1">
        <w:t>stante l’omessa dichiarazione delle utenze attive</w:t>
      </w:r>
      <w:r>
        <w:t xml:space="preserve">, </w:t>
      </w:r>
      <w:r w:rsidR="005D7CE1">
        <w:rPr>
          <w:b/>
          <w:bCs/>
          <w:u w:val="single"/>
        </w:rPr>
        <w:t>ma</w:t>
      </w:r>
      <w:r w:rsidR="005F0EC3" w:rsidRPr="005F0EC3">
        <w:rPr>
          <w:b/>
          <w:bCs/>
          <w:u w:val="single"/>
        </w:rPr>
        <w:t xml:space="preserve"> è risultato dovuto solo </w:t>
      </w:r>
      <w:r w:rsidRPr="005F0EC3">
        <w:rPr>
          <w:b/>
          <w:bCs/>
          <w:u w:val="single"/>
        </w:rPr>
        <w:t>nella misura minima di legge (quota fissa) aggiornata secondo l’indice ISTAT</w:t>
      </w:r>
      <w:r>
        <w:t xml:space="preserve">, sulla base della popolazione residente </w:t>
      </w:r>
      <w:r>
        <w:lastRenderedPageBreak/>
        <w:t xml:space="preserve">nel Comune di Montefalco e dei dati nazionali forniti dall’Osservatorio sulle Comunicazioni AGCOM </w:t>
      </w:r>
      <w:r>
        <w:rPr>
          <w:b/>
          <w:bCs/>
        </w:rPr>
        <w:t>(doc. 5)</w:t>
      </w:r>
      <w:r>
        <w:t>.</w:t>
      </w:r>
    </w:p>
    <w:p w14:paraId="0B0062E1" w14:textId="77777777" w:rsidR="00075369" w:rsidRDefault="00206426" w:rsidP="00864A21">
      <w:pPr>
        <w:spacing w:line="360" w:lineRule="auto"/>
        <w:ind w:firstLine="567"/>
        <w:jc w:val="both"/>
      </w:pPr>
      <w:r>
        <w:t xml:space="preserve">Avverso tale avviso di accertamento FASTWEB S.p.A. ha proposto ricorso dinanzi a codesta </w:t>
      </w:r>
      <w:proofErr w:type="spellStart"/>
      <w:r>
        <w:t>On.le</w:t>
      </w:r>
      <w:proofErr w:type="spellEnd"/>
      <w:r>
        <w:t xml:space="preserve"> Corte, deducendo: </w:t>
      </w:r>
      <w:r>
        <w:rPr>
          <w:b/>
          <w:bCs/>
        </w:rPr>
        <w:t>I)</w:t>
      </w:r>
      <w:r>
        <w:t xml:space="preserve"> Illegittimità dell’avviso di accertamento per violazione dell’art. 6-bis della L. n. 212/2000, per avere il Comune omesso di comunicare lo schema d’atto; </w:t>
      </w:r>
      <w:r>
        <w:rPr>
          <w:b/>
          <w:bCs/>
        </w:rPr>
        <w:t>II)</w:t>
      </w:r>
      <w:r>
        <w:t xml:space="preserve"> Illegittimità dell’avviso di accertamento per aperta violazione dell’art. 1, comma 831, della L. n. 160/2019, dell’art. 5, comma 14-quinquies, del </w:t>
      </w:r>
      <w:proofErr w:type="spellStart"/>
      <w:r>
        <w:t>d.l.</w:t>
      </w:r>
      <w:proofErr w:type="spellEnd"/>
      <w:r>
        <w:t xml:space="preserve"> n. 146/2021 e dell’art. 43 del Regolamento Comunale. Difetto di legittimazione passiva di Fastweb </w:t>
      </w:r>
      <w:proofErr w:type="gramStart"/>
      <w:r>
        <w:t>s.p.a..</w:t>
      </w:r>
      <w:proofErr w:type="gramEnd"/>
    </w:p>
    <w:p w14:paraId="28DE1194" w14:textId="77777777" w:rsidR="00075369" w:rsidRDefault="00206426" w:rsidP="00864A21">
      <w:pPr>
        <w:spacing w:before="120" w:after="120" w:line="360" w:lineRule="auto"/>
        <w:jc w:val="center"/>
      </w:pPr>
      <w:r>
        <w:t>* * *</w:t>
      </w:r>
    </w:p>
    <w:p w14:paraId="6A552B50" w14:textId="77777777" w:rsidR="00075369" w:rsidRDefault="00206426" w:rsidP="00864A21">
      <w:pPr>
        <w:spacing w:line="360" w:lineRule="auto"/>
        <w:ind w:firstLine="567"/>
        <w:jc w:val="both"/>
      </w:pPr>
      <w:r>
        <w:t>Con il presente atto il Comune di Montefalco si costituisce in giudizio, contestando le domande, le eccezioni e le deduzioni avversarie, delle quali chiede il rigetto per i seguenti</w:t>
      </w:r>
    </w:p>
    <w:p w14:paraId="606B8004" w14:textId="77777777" w:rsidR="00075369" w:rsidRDefault="00206426" w:rsidP="00864A21">
      <w:pPr>
        <w:spacing w:before="120" w:after="80" w:line="360" w:lineRule="auto"/>
        <w:jc w:val="center"/>
      </w:pPr>
      <w:r>
        <w:rPr>
          <w:b/>
          <w:bCs/>
        </w:rPr>
        <w:t>MOTIVI</w:t>
      </w:r>
    </w:p>
    <w:p w14:paraId="171AFF22" w14:textId="77777777" w:rsidR="00075369" w:rsidRDefault="00206426" w:rsidP="005D7CE1">
      <w:pPr>
        <w:spacing w:before="240" w:after="120" w:line="360" w:lineRule="auto"/>
        <w:ind w:firstLine="567"/>
        <w:jc w:val="both"/>
      </w:pPr>
      <w:r>
        <w:rPr>
          <w:b/>
          <w:bCs/>
        </w:rPr>
        <w:t>I) Sulla pretesa “Illegittimità dell’avviso di accertamento per violazione dell’art. 6-bis della L. n. 212/2000”. Infondatezza.</w:t>
      </w:r>
    </w:p>
    <w:p w14:paraId="01BA817D" w14:textId="77777777" w:rsidR="00075369" w:rsidRDefault="00206426" w:rsidP="00864A21">
      <w:pPr>
        <w:spacing w:line="360" w:lineRule="auto"/>
        <w:ind w:firstLine="567"/>
        <w:jc w:val="both"/>
      </w:pPr>
      <w:r>
        <w:t>L’eccezione è infondata e va rigettata.</w:t>
      </w:r>
    </w:p>
    <w:p w14:paraId="6B064C7C" w14:textId="77777777" w:rsidR="00075369" w:rsidRDefault="00206426" w:rsidP="00864A21">
      <w:pPr>
        <w:spacing w:line="360" w:lineRule="auto"/>
        <w:ind w:firstLine="567"/>
        <w:jc w:val="both"/>
      </w:pPr>
      <w:r>
        <w:t xml:space="preserve">Va preliminarmente osservato che la sentenza delle Sezioni Unite della Corte di Cassazione n. 12225 del 1° maggio 2026, che ha definitivamente sancito la </w:t>
      </w:r>
      <w:r>
        <w:rPr>
          <w:b/>
          <w:bCs/>
        </w:rPr>
        <w:t>natura tributaria del CUP</w:t>
      </w:r>
      <w:r>
        <w:t xml:space="preserve"> – con la conseguente applicabilità del contraddittorio preventivo di cui all’art. 6-bis L. n. 212/2000, come novellato dal </w:t>
      </w:r>
      <w:proofErr w:type="spellStart"/>
      <w:r>
        <w:t>D.Lgs.</w:t>
      </w:r>
      <w:proofErr w:type="spellEnd"/>
      <w:r>
        <w:t xml:space="preserve"> n. 219/2023 – è </w:t>
      </w:r>
      <w:r>
        <w:rPr>
          <w:b/>
          <w:bCs/>
        </w:rPr>
        <w:t>successiva</w:t>
      </w:r>
      <w:r>
        <w:t xml:space="preserve"> sia all’avvio del procedimento precontenzioso (gennaio 2026) sia all’emissione dell’avviso di accertamento n. 6 (16 marzo 2026</w:t>
      </w:r>
      <w:r w:rsidRPr="005D7CE1">
        <w:rPr>
          <w:b/>
          <w:bCs/>
          <w:u w:val="single"/>
        </w:rPr>
        <w:t>): al momento in cui il Comune ha operato, la natura tributaria del CUP era ancora oggetto di acceso dibattito giurisprudenziale e dottrinale, e l’obbligo del contraddittorio preventivo non era pacificamente ritenuto applicabile alle entrate di natura patrimoniale</w:t>
      </w:r>
      <w:r>
        <w:t>.</w:t>
      </w:r>
    </w:p>
    <w:p w14:paraId="305E960C" w14:textId="77777777" w:rsidR="005D7CE1" w:rsidRDefault="00206426" w:rsidP="00864A21">
      <w:pPr>
        <w:spacing w:line="360" w:lineRule="auto"/>
        <w:ind w:firstLine="567"/>
        <w:jc w:val="both"/>
      </w:pPr>
      <w:r>
        <w:t xml:space="preserve">Ciò nondimeno, a prescindere dalla qualificazione giuridica dell’entrata vigente all’epoca dei fatti, </w:t>
      </w:r>
      <w:r w:rsidRPr="005D7CE1">
        <w:rPr>
          <w:b/>
          <w:bCs/>
          <w:u w:val="single"/>
        </w:rPr>
        <w:t>il Comune di Montefalco ha comunque garantito al contribuente una tutela procedimentale del tutto equivalente a quella imposta dall’art. 6-bis L. n. 212/2000, e anzi sovrapponibile nella sostanza allo schema d’atto ivi previsto</w:t>
      </w:r>
      <w:r>
        <w:t xml:space="preserve">. </w:t>
      </w:r>
    </w:p>
    <w:p w14:paraId="6BB1141A" w14:textId="0D194720" w:rsidR="00075369" w:rsidRDefault="005D7CE1" w:rsidP="00864A21">
      <w:pPr>
        <w:spacing w:line="360" w:lineRule="auto"/>
        <w:ind w:firstLine="567"/>
        <w:jc w:val="both"/>
      </w:pPr>
      <w:r>
        <w:lastRenderedPageBreak/>
        <w:t>Ed infatti, c</w:t>
      </w:r>
      <w:r w:rsidR="00206426">
        <w:t xml:space="preserve">on la nota del 7 gennaio 2026 </w:t>
      </w:r>
      <w:r w:rsidR="00206426" w:rsidRPr="00740A4B">
        <w:t xml:space="preserve">(doc. 3), </w:t>
      </w:r>
      <w:r w:rsidR="00206426">
        <w:t>Archivia Solution S.p.A. – per conto del Comune e giusta Determina n. 370 del 27.10.2025 – ha trasmesso a Vodafone Italia S.p.A. (poi incorporata in FASTWEB), a mezzo PEC, una comunicazione con la quale segnalava l’assenza di versamenti CUP risultante dai controlli su PagoPA, richiedeva la dichiarazione delle utenze attive e dei versamenti per gli anni 2021-2025, indicava le tariffe unitarie di riferimento e il calcolo del canone dovuto per ciascuna annualità ed assegnava un termine per presentare la dichiarazione e/o documentazione integrativa. Tale comunicazione ha posto il contribuente nelle condizioni di conoscere integralmente la pretesa e di interloquire con l’ente prima dell’adozione dell’atto definitivo: esattamente ciò che l’art. 6-bis L. n. 212/2000 mira a garantire.</w:t>
      </w:r>
    </w:p>
    <w:p w14:paraId="74D455C0" w14:textId="77777777" w:rsidR="005D7CE1" w:rsidRDefault="00206426" w:rsidP="00864A21">
      <w:pPr>
        <w:spacing w:line="360" w:lineRule="auto"/>
        <w:ind w:firstLine="567"/>
        <w:jc w:val="both"/>
      </w:pPr>
      <w:r>
        <w:t xml:space="preserve">FASTWEB S.p.A. – per il tramite della società incorporata Vodafone Italia S.p.A. – ha </w:t>
      </w:r>
      <w:r>
        <w:rPr>
          <w:b/>
          <w:bCs/>
        </w:rPr>
        <w:t>deliberatamente scelto di non rispondere</w:t>
      </w:r>
      <w:r>
        <w:t xml:space="preserve"> alla </w:t>
      </w:r>
      <w:proofErr w:type="gramStart"/>
      <w:r>
        <w:t>predetta</w:t>
      </w:r>
      <w:proofErr w:type="gramEnd"/>
      <w:r>
        <w:t xml:space="preserve"> comunicazione, né nel termine assegnato né successivamente sino all’emissione dell’avviso. </w:t>
      </w:r>
    </w:p>
    <w:p w14:paraId="035D1F29" w14:textId="1DCA4C0D" w:rsidR="00075369" w:rsidRPr="005D7CE1" w:rsidRDefault="00206426" w:rsidP="00864A21">
      <w:pPr>
        <w:spacing w:line="360" w:lineRule="auto"/>
        <w:ind w:firstLine="567"/>
        <w:jc w:val="both"/>
        <w:rPr>
          <w:u w:val="single"/>
        </w:rPr>
      </w:pPr>
      <w:r w:rsidRPr="005D7CE1">
        <w:rPr>
          <w:u w:val="single"/>
        </w:rPr>
        <w:t>La società non può ora lamentare in giudizio la violazione di una garanzia procedimentale che essa stessa ha consapevolmente disatteso nella fase precontenziosa, pur avendo avuto piena contezza della pretesa e piena facoltà di interloquire.</w:t>
      </w:r>
    </w:p>
    <w:p w14:paraId="16332375" w14:textId="77777777" w:rsidR="005D7CE1" w:rsidRDefault="00206426" w:rsidP="00864A21">
      <w:pPr>
        <w:spacing w:line="360" w:lineRule="auto"/>
        <w:ind w:firstLine="567"/>
        <w:jc w:val="both"/>
      </w:pPr>
      <w:r w:rsidRPr="000A0488">
        <w:t>In ogni caso, e in via subordinata</w:t>
      </w:r>
      <w:r w:rsidRPr="005D7CE1">
        <w:rPr>
          <w:u w:val="single"/>
        </w:rPr>
        <w:t>, l’art. 6-bis, comma 3, L. n. 212/2000 subordina l’annullabilità dell’atto alla dimostrazione, da parte del contribuente, delle ragioni che avrebbe potuto far valere se il contraddittorio fosse stato regolarmente attivato</w:t>
      </w:r>
      <w:r w:rsidRPr="000A0488">
        <w:t xml:space="preserve">. </w:t>
      </w:r>
    </w:p>
    <w:p w14:paraId="26812929" w14:textId="10EAAE73" w:rsidR="00075369" w:rsidRPr="005D7CE1" w:rsidRDefault="00206426" w:rsidP="00864A21">
      <w:pPr>
        <w:spacing w:line="360" w:lineRule="auto"/>
        <w:ind w:firstLine="567"/>
        <w:jc w:val="both"/>
        <w:rPr>
          <w:b/>
          <w:bCs/>
          <w:u w:val="single"/>
        </w:rPr>
      </w:pPr>
      <w:r w:rsidRPr="005D7CE1">
        <w:rPr>
          <w:b/>
          <w:bCs/>
          <w:u w:val="single"/>
        </w:rPr>
        <w:t>La Ricorrente non ha fornito alcuna prova di resistenza, né ha indicato quali diverse argomentazioni avrebbe potuto addurre, idonee a mutare l’esito del procedimento. L’eccezione è dunque infondata anche sotto tale ulteriore profilo.</w:t>
      </w:r>
    </w:p>
    <w:p w14:paraId="4414C563" w14:textId="77777777" w:rsidR="00075369" w:rsidRDefault="00206426" w:rsidP="005D7CE1">
      <w:pPr>
        <w:spacing w:before="240" w:after="120" w:line="360" w:lineRule="auto"/>
        <w:ind w:firstLine="567"/>
        <w:jc w:val="both"/>
      </w:pPr>
      <w:r>
        <w:rPr>
          <w:b/>
          <w:bCs/>
        </w:rPr>
        <w:t xml:space="preserve">II) Sulla pretesa “Illegittimità dell’avviso di accertamento per aperta violazione dell’art. 1, comma 831, della L. n. 160/2019, dell’art. 5, comma 14-quinquies, del </w:t>
      </w:r>
      <w:proofErr w:type="spellStart"/>
      <w:r>
        <w:rPr>
          <w:b/>
          <w:bCs/>
        </w:rPr>
        <w:t>d.l.</w:t>
      </w:r>
      <w:proofErr w:type="spellEnd"/>
      <w:r>
        <w:rPr>
          <w:b/>
          <w:bCs/>
        </w:rPr>
        <w:t xml:space="preserve"> n. 146/2021 e dell’art. 43 del Regolamento Comunale. Difetto di legittimazione passiva di Fastweb s.p.a.”.</w:t>
      </w:r>
    </w:p>
    <w:p w14:paraId="6BE54958" w14:textId="77777777" w:rsidR="00075369" w:rsidRPr="00DF73B2" w:rsidRDefault="00206426" w:rsidP="00864A21">
      <w:pPr>
        <w:spacing w:line="360" w:lineRule="auto"/>
        <w:ind w:firstLine="567"/>
        <w:jc w:val="both"/>
        <w:rPr>
          <w:b/>
          <w:bCs/>
          <w:u w:val="single"/>
        </w:rPr>
      </w:pPr>
      <w:r>
        <w:t xml:space="preserve">Con riferimento alle doglianze in epigrafe riportate, va in primo luogo riferito che di recente la </w:t>
      </w:r>
      <w:r w:rsidRPr="00DF73B2">
        <w:rPr>
          <w:b/>
          <w:bCs/>
          <w:u w:val="single"/>
        </w:rPr>
        <w:t>CORTE SUPREMA DI CASSAZIONE, Sezione Terza Civile, sentenza n. 11479 del 28 aprile 2026</w:t>
      </w:r>
      <w:r w:rsidRPr="00DF73B2">
        <w:rPr>
          <w:u w:val="single"/>
        </w:rPr>
        <w:t xml:space="preserve"> </w:t>
      </w:r>
      <w:r w:rsidRPr="00DF73B2">
        <w:rPr>
          <w:b/>
          <w:bCs/>
          <w:u w:val="single"/>
        </w:rPr>
        <w:t>(doc. 6)</w:t>
      </w:r>
      <w:r>
        <w:t xml:space="preserve"> ha chiarito – per la prima volta a livello di legittimità – le questioni giuridiche che costituiscono il nucleo del presente </w:t>
      </w:r>
      <w:r>
        <w:lastRenderedPageBreak/>
        <w:t xml:space="preserve">contenzioso, enunciando il seguente principio di diritto: </w:t>
      </w:r>
      <w:r w:rsidRPr="00DF73B2">
        <w:rPr>
          <w:b/>
          <w:bCs/>
          <w:i/>
          <w:iCs/>
          <w:u w:val="single"/>
        </w:rPr>
        <w:t>“il gestore di servizi telefonici il quale si avvalga dell’accesso ‘virtuale’ ad una rete di proprietà altrui (ad es., mediante tecnologia VULA) è obbligato al pagamento del CUP”</w:t>
      </w:r>
      <w:r w:rsidRPr="00DF73B2">
        <w:rPr>
          <w:b/>
          <w:bCs/>
          <w:u w:val="single"/>
        </w:rPr>
        <w:t xml:space="preserve"> (Cass. </w:t>
      </w:r>
      <w:proofErr w:type="spellStart"/>
      <w:r w:rsidRPr="00DF73B2">
        <w:rPr>
          <w:b/>
          <w:bCs/>
          <w:u w:val="single"/>
        </w:rPr>
        <w:t>Civ</w:t>
      </w:r>
      <w:proofErr w:type="spellEnd"/>
      <w:r w:rsidRPr="00DF73B2">
        <w:rPr>
          <w:b/>
          <w:bCs/>
          <w:u w:val="single"/>
        </w:rPr>
        <w:t>., Sez. III, n. 11479/2026).</w:t>
      </w:r>
    </w:p>
    <w:p w14:paraId="006E9F7F" w14:textId="77777777" w:rsidR="00DF73B2" w:rsidRDefault="00206426" w:rsidP="00864A21">
      <w:pPr>
        <w:spacing w:line="360" w:lineRule="auto"/>
        <w:ind w:firstLine="567"/>
        <w:jc w:val="both"/>
      </w:pPr>
      <w:r>
        <w:t xml:space="preserve">Ed infatti, la Corte ha statuito che la </w:t>
      </w:r>
      <w:r>
        <w:rPr>
          <w:b/>
          <w:bCs/>
        </w:rPr>
        <w:t>distinzione tra uso materiale e uso virtuale</w:t>
      </w:r>
      <w:r>
        <w:t xml:space="preserve"> dell’infrastruttura di rete, su cui si fonda la tesi della Ricorrente, </w:t>
      </w:r>
      <w:r>
        <w:rPr>
          <w:b/>
          <w:bCs/>
        </w:rPr>
        <w:t>è erronea in diritto</w:t>
      </w:r>
      <w:r>
        <w:t xml:space="preserve">: i segnali delle linee telefoniche si propagano per legge fisica sempre attraverso un supporto materiale, </w:t>
      </w:r>
      <w:r w:rsidRPr="00DF73B2">
        <w:rPr>
          <w:b/>
          <w:bCs/>
          <w:u w:val="single"/>
        </w:rPr>
        <w:t xml:space="preserve">sicché l’accesso VULA è virtuale unicamente nella modalità tecnica di accesso, non nell’utilizzo della rete, che rimane in ogni caso materiale e costituisce pertanto occupazione mediata ai sensi dell’art. 1, comma 831, L. 160/2019. </w:t>
      </w:r>
    </w:p>
    <w:p w14:paraId="1E07A23A" w14:textId="77777777" w:rsidR="00DF73B2" w:rsidRDefault="00206426" w:rsidP="00864A21">
      <w:pPr>
        <w:spacing w:line="360" w:lineRule="auto"/>
        <w:ind w:firstLine="567"/>
        <w:jc w:val="both"/>
      </w:pPr>
      <w:r w:rsidRPr="00DF73B2">
        <w:rPr>
          <w:b/>
          <w:bCs/>
          <w:u w:val="single"/>
        </w:rPr>
        <w:t>La Suprema Corte ha</w:t>
      </w:r>
      <w:r w:rsidR="00DF73B2" w:rsidRPr="00DF73B2">
        <w:rPr>
          <w:b/>
          <w:bCs/>
          <w:u w:val="single"/>
        </w:rPr>
        <w:t>,</w:t>
      </w:r>
      <w:r w:rsidRPr="00DF73B2">
        <w:rPr>
          <w:b/>
          <w:bCs/>
          <w:u w:val="single"/>
        </w:rPr>
        <w:t xml:space="preserve"> altresì</w:t>
      </w:r>
      <w:r w:rsidR="00DF73B2" w:rsidRPr="00DF73B2">
        <w:rPr>
          <w:b/>
          <w:bCs/>
          <w:u w:val="single"/>
        </w:rPr>
        <w:t>,</w:t>
      </w:r>
      <w:r w:rsidRPr="00DF73B2">
        <w:rPr>
          <w:b/>
          <w:bCs/>
          <w:u w:val="single"/>
        </w:rPr>
        <w:t xml:space="preserve"> definitivamente chiarito che l’art. 5, comma 14-quinquies, D.L. 146/2021 non è applicabile al settore delle telecomunicazioni</w:t>
      </w:r>
      <w:r>
        <w:t xml:space="preserve">: l’esenzione ivi prevista opera esclusivamente a favore di chi vende beni ai sensi dell’art. 1470 c.c. e non a favore di chi, come l’operatore telefonico, eroga un servizio. </w:t>
      </w:r>
    </w:p>
    <w:p w14:paraId="563BA1C3" w14:textId="49535C45" w:rsidR="00075369" w:rsidRDefault="00206426" w:rsidP="00864A21">
      <w:pPr>
        <w:spacing w:line="360" w:lineRule="auto"/>
        <w:ind w:firstLine="567"/>
        <w:jc w:val="both"/>
      </w:pPr>
      <w:r>
        <w:t>Trattandosi di norma eccezionale, essa è di stretta interpretazione e non è suscettibile di applicazione estensiva al settore TLC.</w:t>
      </w:r>
    </w:p>
    <w:p w14:paraId="48B9AC27" w14:textId="305A7F7A" w:rsidR="00075369" w:rsidRDefault="00DF73B2" w:rsidP="00864A21">
      <w:pPr>
        <w:spacing w:line="360" w:lineRule="auto"/>
        <w:ind w:firstLine="567"/>
        <w:jc w:val="both"/>
      </w:pPr>
      <w:r>
        <w:rPr>
          <w:b/>
          <w:bCs/>
        </w:rPr>
        <w:t xml:space="preserve">In ogni caso, per scrupolo difensivo di ripercorrono </w:t>
      </w:r>
      <w:r w:rsidR="00206426">
        <w:rPr>
          <w:b/>
          <w:bCs/>
        </w:rPr>
        <w:t>i fatti e la normativa di riferimento.</w:t>
      </w:r>
    </w:p>
    <w:p w14:paraId="160E26BE" w14:textId="6986942F" w:rsidR="00075369" w:rsidRDefault="00206426" w:rsidP="00864A21">
      <w:pPr>
        <w:spacing w:line="360" w:lineRule="auto"/>
        <w:ind w:firstLine="567"/>
        <w:jc w:val="both"/>
      </w:pPr>
      <w:r>
        <w:t xml:space="preserve">Nella narrativa avversaria, sostanzialmente, Fastweb S.p.A. richiama una normativa oltre che non più attuale, anche recisamente disattesa dallo stesso Legislatore oltre che afferente a diverse fattispecie normativamente regolamentate. </w:t>
      </w:r>
      <w:r w:rsidR="007E79BC">
        <w:tab/>
      </w:r>
      <w:r>
        <w:t xml:space="preserve">Pertanto, per meglio inquadrare la fattispecie, si impone un breve </w:t>
      </w:r>
      <w:r>
        <w:rPr>
          <w:i/>
          <w:iCs/>
        </w:rPr>
        <w:t>excursus</w:t>
      </w:r>
      <w:r>
        <w:t xml:space="preserve"> normativo in tema di legittimazione passiva, al fine di individuare il/i soggetto/i passivamente tenuti al pagamento del canone patrimoniale unico, anche nell’ipotesi di uso in via mediata, in condivisione, delle infrastrutture </w:t>
      </w:r>
      <w:proofErr w:type="spellStart"/>
      <w:r>
        <w:t>concessionate</w:t>
      </w:r>
      <w:proofErr w:type="spellEnd"/>
      <w:r>
        <w:t xml:space="preserve"> ad un unico Operatore.</w:t>
      </w:r>
    </w:p>
    <w:p w14:paraId="2AF77E5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Ebbene, la legge n. 160/2019 ha previsto che, in sostituzione dei precedenti prelievi Tosap e </w:t>
      </w:r>
      <w:proofErr w:type="spellStart"/>
      <w:r w:rsidRPr="00D20535">
        <w:rPr>
          <w:rFonts w:eastAsia="Times New Roman"/>
          <w:kern w:val="1"/>
          <w:lang w:eastAsia="ar-SA"/>
        </w:rPr>
        <w:t>Cosap</w:t>
      </w:r>
      <w:proofErr w:type="spellEnd"/>
      <w:r w:rsidRPr="00D20535">
        <w:rPr>
          <w:rFonts w:eastAsia="Times New Roman"/>
          <w:kern w:val="1"/>
          <w:lang w:eastAsia="ar-SA"/>
        </w:rPr>
        <w:t>, a partire dall'anno 2021 ogni Comune potesse e dovesse riscuotere attraverso il canone unico patrimoniale (d'ora in poi solo Cup) gli oneri derivanti dall'occupazione del suolo pubblico da parte dei singoli soggetti utilizzatori.</w:t>
      </w:r>
    </w:p>
    <w:p w14:paraId="73B5D43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Parallelamente all'istituzione di tale nuovo strumento di riscossione, la nuova disciplina normativa ha recepito anche tutta la casistica relativa alle occupazioni permanenti, realizzate attraverso la posa sul territorio comunale di cavi e condutture </w:t>
      </w:r>
      <w:r w:rsidRPr="00D20535">
        <w:rPr>
          <w:rFonts w:eastAsia="Times New Roman"/>
          <w:kern w:val="1"/>
          <w:lang w:eastAsia="ar-SA"/>
        </w:rPr>
        <w:lastRenderedPageBreak/>
        <w:t>per la fornitura di servizi di pubblica utilità tra cui, evidentemente, i servizi di telecomunicazione e trasferimento dati.</w:t>
      </w:r>
    </w:p>
    <w:p w14:paraId="219A7C2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E ciò ha fatto fornendo un'interpretazione che ora possiamo definire definitiva dell'art. 1 comma 831 della </w:t>
      </w:r>
      <w:proofErr w:type="gramStart"/>
      <w:r w:rsidRPr="00D20535">
        <w:rPr>
          <w:rFonts w:eastAsia="Times New Roman"/>
          <w:kern w:val="1"/>
          <w:lang w:eastAsia="ar-SA"/>
        </w:rPr>
        <w:t>predetta</w:t>
      </w:r>
      <w:proofErr w:type="gramEnd"/>
      <w:r w:rsidRPr="00D20535">
        <w:rPr>
          <w:rFonts w:eastAsia="Times New Roman"/>
          <w:kern w:val="1"/>
          <w:lang w:eastAsia="ar-SA"/>
        </w:rPr>
        <w:t xml:space="preserve"> Legge.</w:t>
      </w:r>
    </w:p>
    <w:p w14:paraId="09BE8AE2" w14:textId="77777777" w:rsidR="007E79BC" w:rsidRDefault="00206426" w:rsidP="00864A21">
      <w:pPr>
        <w:spacing w:line="360" w:lineRule="auto"/>
        <w:ind w:firstLine="567"/>
        <w:jc w:val="both"/>
      </w:pPr>
      <w:r>
        <w:t>Nella sua versione originaria, l’art. 1, comma 831, della Legge 160/2019 prevedeva che le società fornitrici di servizi pubblici e titolari di concessioni per l’occupazione del sottosuolo pubblico, attraverso cavi e condutture, dovessero versare il relativo canone in base al numero delle utenze ivi transitanti, sommando ad esse quelle delle altre aziende che, di fatto, usufruivano delle medesime infrastrutture</w:t>
      </w:r>
      <w:r w:rsidR="007E79BC">
        <w:t>.</w:t>
      </w:r>
    </w:p>
    <w:p w14:paraId="5FBDBB90" w14:textId="77777777" w:rsidR="007E79BC" w:rsidRDefault="007E79BC" w:rsidP="00864A21">
      <w:pPr>
        <w:spacing w:line="360" w:lineRule="auto"/>
        <w:ind w:firstLine="567"/>
        <w:jc w:val="both"/>
        <w:rPr>
          <w:rFonts w:eastAsia="Times New Roman"/>
          <w:kern w:val="1"/>
          <w:lang w:eastAsia="ar-SA"/>
        </w:rPr>
      </w:pPr>
      <w:r w:rsidRPr="00D20535">
        <w:rPr>
          <w:rFonts w:eastAsia="Times New Roman"/>
          <w:kern w:val="1"/>
          <w:lang w:eastAsia="ar-SA"/>
        </w:rPr>
        <w:t xml:space="preserve">Il titolare della concessione comunale avrebbe, poi, esercitato rivalsa sulle aziende che utilizzavano la stessa rete, per quanto complessivamente ed obbligatoriamente da esso anticipato al locale Comune anche in loro vece e favore.   </w:t>
      </w:r>
    </w:p>
    <w:p w14:paraId="03F2A9C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Nella vigenza di tale normativa o, meglio, prassi applicativa (</w:t>
      </w:r>
      <w:r w:rsidRPr="00D20535">
        <w:rPr>
          <w:rFonts w:eastAsia="Times New Roman"/>
          <w:b/>
          <w:bCs/>
          <w:kern w:val="1"/>
          <w:lang w:eastAsia="ar-SA"/>
        </w:rPr>
        <w:t>poiché tale</w:t>
      </w:r>
      <w:r w:rsidRPr="00D20535">
        <w:rPr>
          <w:rFonts w:eastAsia="Times New Roman"/>
          <w:kern w:val="1"/>
          <w:lang w:eastAsia="ar-SA"/>
        </w:rPr>
        <w:t xml:space="preserve"> </w:t>
      </w:r>
      <w:r w:rsidRPr="00D20535">
        <w:rPr>
          <w:rFonts w:eastAsia="Times New Roman"/>
          <w:b/>
          <w:bCs/>
          <w:kern w:val="1"/>
          <w:lang w:eastAsia="ar-SA"/>
        </w:rPr>
        <w:t>indirizzo normativo mai è entrato in vigore)</w:t>
      </w:r>
      <w:r w:rsidRPr="00D20535">
        <w:rPr>
          <w:rFonts w:eastAsia="Times New Roman"/>
          <w:kern w:val="1"/>
          <w:lang w:eastAsia="ar-SA"/>
        </w:rPr>
        <w:t xml:space="preserve"> il soggetto chiamato a corrispondere il canone sarebbe stato esclusivamente Tim/Telecom s.p.a., quale unico soggetto </w:t>
      </w:r>
      <w:proofErr w:type="spellStart"/>
      <w:r w:rsidRPr="00D20535">
        <w:rPr>
          <w:rFonts w:eastAsia="Times New Roman"/>
          <w:kern w:val="1"/>
          <w:lang w:eastAsia="ar-SA"/>
        </w:rPr>
        <w:t>concessionato</w:t>
      </w:r>
      <w:proofErr w:type="spellEnd"/>
      <w:r w:rsidRPr="00D20535">
        <w:rPr>
          <w:rFonts w:eastAsia="Times New Roman"/>
          <w:kern w:val="1"/>
          <w:lang w:eastAsia="ar-SA"/>
        </w:rPr>
        <w:t xml:space="preserve"> all'uso del sottosuolo pubblico salvo, come anticipato, il suo diritto alla rivalsa / regresso nei confronti degli altri utilizzatori tra cui, </w:t>
      </w:r>
      <w:r w:rsidRPr="00530E2D">
        <w:rPr>
          <w:rFonts w:eastAsia="Times New Roman"/>
        </w:rPr>
        <w:t xml:space="preserve">evidentemente, anche </w:t>
      </w:r>
      <w:r w:rsidRPr="00530E2D">
        <w:rPr>
          <w:rFonts w:eastAsia="Times New Roman"/>
          <w:b/>
          <w:bCs/>
        </w:rPr>
        <w:t>Vodafone Italia S.p.A., ora incorporata da FASTWEB S.p.A., che pacificamente utilizza, mediante le reti altrui, collegamenti</w:t>
      </w:r>
      <w:r w:rsidRPr="00530E2D">
        <w:rPr>
          <w:rFonts w:eastAsia="Times New Roman"/>
        </w:rPr>
        <w:t xml:space="preserve"> VULA (Virtual </w:t>
      </w:r>
      <w:proofErr w:type="spellStart"/>
      <w:r w:rsidRPr="00530E2D">
        <w:rPr>
          <w:rFonts w:eastAsia="Times New Roman"/>
        </w:rPr>
        <w:t>Unbundled</w:t>
      </w:r>
      <w:proofErr w:type="spellEnd"/>
      <w:r w:rsidRPr="00530E2D">
        <w:rPr>
          <w:rFonts w:eastAsia="Times New Roman"/>
        </w:rPr>
        <w:t xml:space="preserve"> Local Access), NGA (Next Generation Access) e SLU (Sub Loop </w:t>
      </w:r>
      <w:proofErr w:type="spellStart"/>
      <w:r w:rsidRPr="00530E2D">
        <w:rPr>
          <w:rFonts w:eastAsia="Times New Roman"/>
        </w:rPr>
        <w:t>Unbundling</w:t>
      </w:r>
      <w:proofErr w:type="spellEnd"/>
      <w:r w:rsidRPr="00530E2D">
        <w:rPr>
          <w:rFonts w:eastAsia="Times New Roman"/>
        </w:rPr>
        <w:t xml:space="preserve">); per chiarezza espositiva si evidenzia che con tali acronimi si indicano le modalità che gli operatori di rete hanno a disposizione per accedere alla rete dell’operatore </w:t>
      </w:r>
      <w:proofErr w:type="spellStart"/>
      <w:r w:rsidRPr="00530E2D">
        <w:rPr>
          <w:rFonts w:eastAsia="Times New Roman"/>
        </w:rPr>
        <w:t>concessionato</w:t>
      </w:r>
      <w:proofErr w:type="spellEnd"/>
      <w:r w:rsidRPr="00530E2D">
        <w:rPr>
          <w:rFonts w:eastAsia="Times New Roman"/>
        </w:rPr>
        <w:t xml:space="preserve"> Tim/Telecom s.p.a./Open Fiber, ex monopolista delle infrastrutture nazionali</w:t>
      </w:r>
      <w:r w:rsidRPr="00D20535">
        <w:rPr>
          <w:rFonts w:eastAsia="Times New Roman"/>
          <w:kern w:val="1"/>
          <w:lang w:eastAsia="ar-SA"/>
        </w:rPr>
        <w:t>.</w:t>
      </w:r>
    </w:p>
    <w:p w14:paraId="0F67F3EA"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t xml:space="preserve">Tuttavia, </w:t>
      </w:r>
      <w:r w:rsidRPr="00D20535">
        <w:rPr>
          <w:rFonts w:eastAsia="Times New Roman"/>
          <w:kern w:val="1"/>
          <w:lang w:eastAsia="ar-SA"/>
        </w:rPr>
        <w:t xml:space="preserve">poi, il Legislatore con il </w:t>
      </w:r>
      <w:r w:rsidRPr="00530E2D">
        <w:rPr>
          <w:rFonts w:eastAsia="Times New Roman"/>
          <w:b/>
          <w:bCs/>
          <w:kern w:val="1"/>
          <w:u w:val="single"/>
          <w:lang w:eastAsia="ar-SA"/>
        </w:rPr>
        <w:t>comma 848 della Legge 178/2020</w:t>
      </w:r>
      <w:r w:rsidRPr="00D20535">
        <w:rPr>
          <w:rFonts w:eastAsia="Times New Roman"/>
          <w:kern w:val="1"/>
          <w:lang w:eastAsia="ar-SA"/>
        </w:rPr>
        <w:t xml:space="preserve"> ha apportato radicali modifiche, stravolgendola, alla disciplina riscrivendo il comma 831 ed introducendo il concetto della c.d. </w:t>
      </w:r>
      <w:r w:rsidRPr="00D20535">
        <w:rPr>
          <w:rFonts w:eastAsia="Times New Roman"/>
          <w:b/>
          <w:bCs/>
          <w:kern w:val="1"/>
          <w:u w:val="single"/>
          <w:lang w:eastAsia="ar-SA"/>
        </w:rPr>
        <w:t>soggettività passiva in via mediata</w:t>
      </w:r>
      <w:r w:rsidRPr="00D20535">
        <w:rPr>
          <w:rFonts w:eastAsia="Times New Roman"/>
          <w:kern w:val="1"/>
          <w:lang w:eastAsia="ar-SA"/>
        </w:rPr>
        <w:t xml:space="preserve"> quale presupposto per l'applicazione della norma di cui, di seguito, riportiamo la sintesi.</w:t>
      </w:r>
    </w:p>
    <w:p w14:paraId="5A3901DF" w14:textId="77777777" w:rsidR="007E79BC" w:rsidRDefault="00206426" w:rsidP="00864A21">
      <w:pPr>
        <w:spacing w:line="360" w:lineRule="auto"/>
        <w:ind w:firstLine="567"/>
        <w:jc w:val="both"/>
      </w:pPr>
      <w:r>
        <w:t>Ad oggi, quindi, il criterio informatore della fattispecie risulta il seguente: “</w:t>
      </w:r>
      <w:r>
        <w:rPr>
          <w:i/>
          <w:iCs/>
        </w:rPr>
        <w:t xml:space="preserve">il canone è dovuto dal soggetto titolare dell’atto di concessione dell’occupazione del suolo pubblico e dai soggetti che occupano il suolo pubblico </w:t>
      </w:r>
      <w:r w:rsidRPr="007E79BC">
        <w:rPr>
          <w:i/>
          <w:iCs/>
          <w:u w:val="single"/>
        </w:rPr>
        <w:t>anche in via mediata</w:t>
      </w:r>
      <w:r>
        <w:rPr>
          <w:i/>
          <w:iCs/>
        </w:rPr>
        <w:t xml:space="preserve"> attraverso l’utilizzo materiale delle infrastrutture del soggetto titolare della concessione </w:t>
      </w:r>
      <w:r w:rsidRPr="007E79BC">
        <w:rPr>
          <w:i/>
          <w:iCs/>
          <w:u w:val="single"/>
        </w:rPr>
        <w:t>sulla base del numero delle rispettive utenze</w:t>
      </w:r>
      <w:r>
        <w:rPr>
          <w:i/>
          <w:iCs/>
        </w:rPr>
        <w:t xml:space="preserve"> moltiplicate per la seguente tariffa forfettaria … omissis …</w:t>
      </w:r>
      <w:r>
        <w:t xml:space="preserve">”. </w:t>
      </w:r>
    </w:p>
    <w:p w14:paraId="50A07D01" w14:textId="508B4FF2" w:rsidR="007E79BC" w:rsidRPr="00E65BA3" w:rsidRDefault="007E79BC" w:rsidP="007E79BC">
      <w:pPr>
        <w:spacing w:line="360" w:lineRule="auto"/>
        <w:ind w:firstLine="708"/>
        <w:contextualSpacing/>
        <w:jc w:val="both"/>
        <w:rPr>
          <w:rFonts w:eastAsia="Times New Roman"/>
        </w:rPr>
      </w:pPr>
      <w:r w:rsidRPr="00D20535">
        <w:rPr>
          <w:rFonts w:eastAsia="Times New Roman"/>
          <w:kern w:val="1"/>
          <w:lang w:eastAsia="ar-SA"/>
        </w:rPr>
        <w:lastRenderedPageBreak/>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sidRPr="00D20535">
        <w:rPr>
          <w:rFonts w:eastAsia="Times New Roman"/>
          <w:i/>
          <w:iCs/>
          <w:kern w:val="1"/>
          <w:lang w:eastAsia="ar-SA"/>
        </w:rPr>
        <w:t xml:space="preserve"> </w:t>
      </w:r>
      <w:r w:rsidRPr="00D20535">
        <w:rPr>
          <w:rFonts w:eastAsia="Times New Roman"/>
          <w:kern w:val="1"/>
          <w:lang w:eastAsia="ar-SA"/>
        </w:rPr>
        <w:t>stessa Tim/Telecom s.p.a.</w:t>
      </w:r>
      <w:r w:rsidRPr="00D20535">
        <w:rPr>
          <w:rFonts w:eastAsia="Times New Roman"/>
          <w:i/>
          <w:iCs/>
          <w:kern w:val="1"/>
          <w:lang w:eastAsia="ar-SA"/>
        </w:rPr>
        <w:t xml:space="preserve"> </w:t>
      </w:r>
      <w:r w:rsidRPr="00D20535">
        <w:rPr>
          <w:rFonts w:eastAsia="Times New Roman"/>
          <w:kern w:val="1"/>
          <w:lang w:eastAsia="ar-SA"/>
        </w:rPr>
        <w:t>al fine di erogare il servizio al proprio Cliente finale, rappresentato dalle singole abitazioni private e/o aziende del territorio nazionale.</w:t>
      </w:r>
      <w:r>
        <w:rPr>
          <w:rFonts w:eastAsia="Times New Roman"/>
          <w:kern w:val="1"/>
          <w:lang w:eastAsia="ar-SA"/>
        </w:rPr>
        <w:t xml:space="preserve"> </w:t>
      </w:r>
      <w:r w:rsidRPr="00E65BA3">
        <w:rPr>
          <w:rFonts w:eastAsia="Times New Roman"/>
        </w:rPr>
        <w:t xml:space="preserve">È questo, in piena evidenza, il caso di </w:t>
      </w:r>
      <w:r w:rsidRPr="00E65BA3">
        <w:rPr>
          <w:rFonts w:eastAsia="Times New Roman"/>
          <w:b/>
          <w:bCs/>
        </w:rPr>
        <w:t>Vodafone Italia S.p.A., ora incorporata da FASTWEB S.p.A.</w:t>
      </w:r>
      <w:r w:rsidRPr="00E65BA3">
        <w:rPr>
          <w:rFonts w:eastAsia="Times New Roman"/>
        </w:rPr>
        <w:t>, per gli anni 2021-202</w:t>
      </w:r>
      <w:r>
        <w:rPr>
          <w:rFonts w:eastAsia="Times New Roman"/>
        </w:rPr>
        <w:t>5</w:t>
      </w:r>
      <w:r w:rsidRPr="00E65BA3">
        <w:rPr>
          <w:rFonts w:eastAsia="Times New Roman"/>
        </w:rPr>
        <w:t>.</w:t>
      </w:r>
    </w:p>
    <w:p w14:paraId="064726D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Si noti che: il principio cristallizzato nella nuova formulazione ed interpretazione dell'art. 1 comma 831 è stato mutuato da una risalente Circolare interpretativa del Mef pubblicata nell'anno 2009 (che si produce – </w:t>
      </w:r>
      <w:r w:rsidRPr="00E65BA3">
        <w:rPr>
          <w:rFonts w:eastAsia="Times New Roman"/>
          <w:b/>
          <w:bCs/>
          <w:kern w:val="1"/>
          <w:lang w:eastAsia="ar-SA"/>
        </w:rPr>
        <w:t xml:space="preserve">doc. </w:t>
      </w:r>
      <w:r>
        <w:rPr>
          <w:rFonts w:eastAsia="Times New Roman"/>
          <w:b/>
          <w:bCs/>
          <w:kern w:val="1"/>
          <w:lang w:eastAsia="ar-SA"/>
        </w:rPr>
        <w:t>7</w:t>
      </w:r>
      <w:r w:rsidRPr="00D20535">
        <w:rPr>
          <w:rFonts w:eastAsia="Times New Roman"/>
          <w:kern w:val="1"/>
          <w:lang w:eastAsia="ar-SA"/>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72A9B5C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3B35F74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Risulta, infatti, che, alla luce della precedente normativa, il criterio applicativo della Tosap o </w:t>
      </w:r>
      <w:proofErr w:type="spellStart"/>
      <w:r w:rsidRPr="00D20535">
        <w:rPr>
          <w:rFonts w:eastAsia="Times New Roman"/>
          <w:kern w:val="1"/>
          <w:lang w:eastAsia="ar-SA"/>
        </w:rPr>
        <w:t>Cosap</w:t>
      </w:r>
      <w:proofErr w:type="spellEnd"/>
      <w:r w:rsidRPr="00D20535">
        <w:rPr>
          <w:rFonts w:eastAsia="Times New Roman"/>
          <w:kern w:val="1"/>
          <w:lang w:eastAsia="ar-SA"/>
        </w:rPr>
        <w:t xml:space="preserve"> si realizzava in base al numero delle singole utenze attive, rilevate al 31 </w:t>
      </w:r>
      <w:proofErr w:type="gramStart"/>
      <w:r w:rsidRPr="00D20535">
        <w:rPr>
          <w:rFonts w:eastAsia="Times New Roman"/>
          <w:kern w:val="1"/>
          <w:lang w:eastAsia="ar-SA"/>
        </w:rPr>
        <w:t>Dicembre</w:t>
      </w:r>
      <w:proofErr w:type="gramEnd"/>
      <w:r w:rsidRPr="00D20535">
        <w:rPr>
          <w:rFonts w:eastAsia="Times New Roman"/>
          <w:kern w:val="1"/>
          <w:lang w:eastAsia="ar-SA"/>
        </w:rPr>
        <w:t xml:space="preserve"> dell'anno precedente, moltiplicato per la relativa tariffa forfettaria che veniva stabilita dal Legislatore per ogni utenza. </w:t>
      </w:r>
    </w:p>
    <w:p w14:paraId="7BCC4C3D" w14:textId="77777777" w:rsidR="0049336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r w:rsidR="007349B6">
        <w:rPr>
          <w:rFonts w:eastAsia="Times New Roman"/>
          <w:kern w:val="1"/>
          <w:lang w:eastAsia="ar-SA"/>
        </w:rPr>
        <w:t xml:space="preserve">, </w:t>
      </w:r>
      <w:r w:rsidR="007349B6" w:rsidRPr="007349B6">
        <w:rPr>
          <w:rFonts w:eastAsia="Times New Roman"/>
          <w:kern w:val="1"/>
          <w:lang w:eastAsia="ar-SA"/>
        </w:rPr>
        <w:t xml:space="preserve">con speculare decremento delle entrate comunali, posto che il concessionario versa ora solo la quota di propria spettanza e non più l’intero del dovuto. </w:t>
      </w:r>
    </w:p>
    <w:p w14:paraId="205C85A9" w14:textId="5701D16E" w:rsidR="007E79BC" w:rsidRPr="00D20535" w:rsidRDefault="007349B6" w:rsidP="007E79BC">
      <w:pPr>
        <w:suppressAutoHyphens/>
        <w:overflowPunct w:val="0"/>
        <w:autoSpaceDE w:val="0"/>
        <w:spacing w:line="360" w:lineRule="auto"/>
        <w:ind w:firstLine="709"/>
        <w:jc w:val="both"/>
        <w:textAlignment w:val="baseline"/>
        <w:rPr>
          <w:rFonts w:eastAsia="Times New Roman"/>
          <w:kern w:val="1"/>
          <w:lang w:eastAsia="ar-SA"/>
        </w:rPr>
      </w:pPr>
      <w:r w:rsidRPr="007349B6">
        <w:rPr>
          <w:rFonts w:eastAsia="Times New Roman"/>
          <w:kern w:val="1"/>
          <w:lang w:eastAsia="ar-SA"/>
        </w:rPr>
        <w:t>Da qui l’incontestabile individuazione, da parte del Comune di Montefalco, in FASTWEB S.p.A., nella qualità di incorporante di Vodafone Italia S.p.A., di uno dei soggetti passivamente tenuti al versamento del canone, per la parte legata ad occupazioni in via mediata tramite le infrastrutture di altri soggetti.</w:t>
      </w:r>
    </w:p>
    <w:p w14:paraId="4C6C438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sidRPr="00D20535">
        <w:rPr>
          <w:rFonts w:eastAsia="Times New Roman"/>
          <w:kern w:val="1"/>
          <w:lang w:eastAsia="ar-SA"/>
        </w:rPr>
        <w:lastRenderedPageBreak/>
        <w:t xml:space="preserve">Invero, la norma richiamata da </w:t>
      </w:r>
      <w:r w:rsidRPr="00D20535">
        <w:rPr>
          <w:rFonts w:eastAsia="Times New Roman"/>
          <w:bCs/>
          <w:kern w:val="1"/>
          <w:lang w:eastAsia="ar-SA"/>
        </w:rPr>
        <w:t>FASTWEB S.p.A</w:t>
      </w:r>
      <w:r w:rsidRPr="00D20535">
        <w:rPr>
          <w:rFonts w:eastAsia="Times New Roman"/>
          <w:kern w:val="1"/>
          <w:lang w:eastAsia="ar-SA"/>
        </w:rPr>
        <w:t xml:space="preserve">., secondo la quale la casistica della condivisione delle reti, come sopra esposta, ricadrebbe nell'ambito applicativo dell'interpretazione autentica del comma 831, successivamente introdotta dal Legislatore, riguarda altra e diversa fattispecie, </w:t>
      </w:r>
      <w:r w:rsidRPr="00D20535">
        <w:rPr>
          <w:rFonts w:eastAsia="Times New Roman"/>
          <w:kern w:val="1"/>
          <w:u w:val="single"/>
          <w:lang w:eastAsia="ar-SA"/>
        </w:rPr>
        <w:t>ben distinta di quella oggi portata all'attenzione del Giudice.</w:t>
      </w:r>
    </w:p>
    <w:p w14:paraId="1E029A5B"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Essa, infatti, è applicabile esclusivamente al caso in cui vi sia una </w:t>
      </w:r>
      <w:r w:rsidRPr="00D20535">
        <w:rPr>
          <w:rFonts w:eastAsia="Times New Roman"/>
          <w:kern w:val="1"/>
          <w:u w:val="single"/>
          <w:lang w:eastAsia="ar-SA"/>
        </w:rPr>
        <w:t>netta separazione tra il soggetto proprietario delle infrastrutture ed il soggetto titolare del contratto di somministrazione del bene distribuito</w:t>
      </w:r>
      <w:r w:rsidRPr="00D20535">
        <w:rPr>
          <w:rFonts w:eastAsia="Times New Roman"/>
          <w:kern w:val="1"/>
          <w:lang w:eastAsia="ar-SA"/>
        </w:rPr>
        <w:t xml:space="preserve"> attraverso le medesime infrastrutture.</w:t>
      </w:r>
    </w:p>
    <w:p w14:paraId="64E85E6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Per meglio rappresentare come la disciplina novellata, dietro la quale </w:t>
      </w:r>
      <w:r w:rsidRPr="00D20535">
        <w:rPr>
          <w:rFonts w:eastAsia="Times New Roman"/>
          <w:bCs/>
          <w:kern w:val="1"/>
          <w:lang w:eastAsia="ar-SA"/>
        </w:rPr>
        <w:t xml:space="preserve">FASTWEB S.p.A. </w:t>
      </w:r>
      <w:r w:rsidRPr="00D20535">
        <w:rPr>
          <w:rFonts w:eastAsia="Times New Roman"/>
          <w:kern w:val="1"/>
          <w:lang w:eastAsia="ar-SA"/>
        </w:rPr>
        <w:t xml:space="preserve">vorrebbe trincerarsi, sia applicabile a diversa casistica richiamiamo la normativa di cui all'art. 21 del </w:t>
      </w:r>
      <w:proofErr w:type="spellStart"/>
      <w:r w:rsidRPr="00D20535">
        <w:rPr>
          <w:rFonts w:eastAsia="Times New Roman"/>
          <w:kern w:val="1"/>
          <w:lang w:eastAsia="ar-SA"/>
        </w:rPr>
        <w:t>D.lgs</w:t>
      </w:r>
      <w:proofErr w:type="spellEnd"/>
      <w:r w:rsidRPr="00D20535">
        <w:rPr>
          <w:rFonts w:eastAsia="Times New Roman"/>
          <w:kern w:val="1"/>
          <w:lang w:eastAsia="ar-SA"/>
        </w:rPr>
        <w:t xml:space="preserve"> 23 Maggio 2000 n. 164 concernente le disposizioni di attuazione della direttiva  n. 98/30/CE inerente la </w:t>
      </w:r>
      <w:r w:rsidRPr="00D20535">
        <w:rPr>
          <w:rFonts w:eastAsia="Times New Roman"/>
          <w:kern w:val="1"/>
          <w:u w:val="single"/>
          <w:lang w:eastAsia="ar-SA"/>
        </w:rPr>
        <w:t>distribuzione del gas</w:t>
      </w:r>
      <w:r w:rsidRPr="00D20535">
        <w:rPr>
          <w:rFonts w:eastAsia="Times New Roman"/>
          <w:kern w:val="1"/>
          <w:lang w:eastAsia="ar-SA"/>
        </w:rPr>
        <w:t xml:space="preserve"> naturale e la normativa di cui all'art. 1 del </w:t>
      </w:r>
      <w:proofErr w:type="spellStart"/>
      <w:r w:rsidRPr="00D20535">
        <w:rPr>
          <w:rFonts w:eastAsia="Times New Roman"/>
          <w:kern w:val="1"/>
          <w:lang w:eastAsia="ar-SA"/>
        </w:rPr>
        <w:t>D.lgs</w:t>
      </w:r>
      <w:proofErr w:type="spellEnd"/>
      <w:r w:rsidRPr="00D20535">
        <w:rPr>
          <w:rFonts w:eastAsia="Times New Roman"/>
          <w:kern w:val="1"/>
          <w:lang w:eastAsia="ar-SA"/>
        </w:rPr>
        <w:t xml:space="preserve"> 18 Giugno 2007 n. 73 convertita in legge n. 125 del 3 Agosto 2007, con la quale sono state disposte “misure urgenti per l'attuazione di disposizioni comunitarie </w:t>
      </w:r>
      <w:r w:rsidRPr="00D20535">
        <w:rPr>
          <w:rFonts w:eastAsia="Times New Roman"/>
          <w:kern w:val="1"/>
          <w:u w:val="single"/>
          <w:lang w:eastAsia="ar-SA"/>
        </w:rPr>
        <w:t>in materia di</w:t>
      </w:r>
      <w:r w:rsidRPr="00D20535">
        <w:rPr>
          <w:rFonts w:eastAsia="Times New Roman"/>
          <w:kern w:val="1"/>
          <w:lang w:eastAsia="ar-SA"/>
        </w:rPr>
        <w:t xml:space="preserve"> </w:t>
      </w:r>
      <w:r w:rsidRPr="00D20535">
        <w:rPr>
          <w:rFonts w:eastAsia="Times New Roman"/>
          <w:kern w:val="1"/>
          <w:u w:val="single"/>
          <w:lang w:eastAsia="ar-SA"/>
        </w:rPr>
        <w:t>liberalizzazione dei mercati dell'energia</w:t>
      </w:r>
      <w:r w:rsidRPr="00D20535">
        <w:rPr>
          <w:rFonts w:eastAsia="Times New Roman"/>
          <w:kern w:val="1"/>
          <w:lang w:eastAsia="ar-SA"/>
        </w:rPr>
        <w:t xml:space="preserve">”.     </w:t>
      </w:r>
    </w:p>
    <w:p w14:paraId="417ADBAE"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In tali tipi di distribuzione si assiste ad un </w:t>
      </w:r>
      <w:r w:rsidRPr="00D20535">
        <w:rPr>
          <w:rFonts w:eastAsia="Times New Roman"/>
          <w:kern w:val="1"/>
          <w:u w:val="single"/>
          <w:lang w:eastAsia="ar-SA"/>
        </w:rPr>
        <w:t>netta separazione tra l'attività di</w:t>
      </w:r>
      <w:r w:rsidRPr="00D20535">
        <w:rPr>
          <w:rFonts w:eastAsia="Times New Roman"/>
          <w:kern w:val="1"/>
          <w:lang w:eastAsia="ar-SA"/>
        </w:rPr>
        <w:t xml:space="preserve">  </w:t>
      </w:r>
      <w:r w:rsidRPr="00D20535">
        <w:rPr>
          <w:rFonts w:eastAsia="Times New Roman"/>
          <w:kern w:val="1"/>
          <w:u w:val="single"/>
          <w:lang w:eastAsia="ar-SA"/>
        </w:rPr>
        <w:t>distribuzione e quella di vendita</w:t>
      </w:r>
      <w:r w:rsidRPr="00D20535">
        <w:rPr>
          <w:rFonts w:eastAsia="Times New Roman"/>
          <w:kern w:val="1"/>
          <w:lang w:eastAsia="ar-SA"/>
        </w:rPr>
        <w:t xml:space="preserve"> che si concreta nel fatto che il </w:t>
      </w:r>
      <w:r w:rsidRPr="00D20535">
        <w:rPr>
          <w:rFonts w:eastAsia="Times New Roman"/>
          <w:kern w:val="1"/>
          <w:u w:val="single"/>
          <w:lang w:eastAsia="ar-SA"/>
        </w:rPr>
        <w:t>gas</w:t>
      </w:r>
      <w:r w:rsidRPr="00D20535">
        <w:rPr>
          <w:rFonts w:eastAsia="Times New Roman"/>
          <w:kern w:val="1"/>
          <w:lang w:eastAsia="ar-SA"/>
        </w:rPr>
        <w:t xml:space="preserve"> o l'</w:t>
      </w:r>
      <w:r w:rsidRPr="00D20535">
        <w:rPr>
          <w:rFonts w:eastAsia="Times New Roman"/>
          <w:kern w:val="1"/>
          <w:u w:val="single"/>
          <w:lang w:eastAsia="ar-SA"/>
        </w:rPr>
        <w:t>energia elettrica vengono distribuiti in rete da una determinata società</w:t>
      </w:r>
      <w:r w:rsidRPr="00D20535">
        <w:rPr>
          <w:rFonts w:eastAsia="Times New Roman"/>
          <w:kern w:val="1"/>
          <w:lang w:eastAsia="ar-SA"/>
        </w:rPr>
        <w:t xml:space="preserve"> (per esempio Enel Distribuzione s.p.a.) ed </w:t>
      </w:r>
      <w:r w:rsidRPr="00D20535">
        <w:rPr>
          <w:rFonts w:eastAsia="Times New Roman"/>
          <w:kern w:val="1"/>
          <w:u w:val="single"/>
          <w:lang w:eastAsia="ar-SA"/>
        </w:rPr>
        <w:t xml:space="preserve">una volta che sono “transitate” nell'infrastruttura </w:t>
      </w:r>
      <w:proofErr w:type="spellStart"/>
      <w:r w:rsidRPr="00D20535">
        <w:rPr>
          <w:rFonts w:eastAsia="Times New Roman"/>
          <w:kern w:val="1"/>
          <w:u w:val="single"/>
          <w:lang w:eastAsia="ar-SA"/>
        </w:rPr>
        <w:t>concessionata</w:t>
      </w:r>
      <w:proofErr w:type="spellEnd"/>
      <w:r w:rsidRPr="00D20535">
        <w:rPr>
          <w:rFonts w:eastAsia="Times New Roman"/>
          <w:kern w:val="1"/>
          <w:u w:val="single"/>
          <w:lang w:eastAsia="ar-SA"/>
        </w:rPr>
        <w:t xml:space="preserve"> di proprietà esclusiva di un soggetto, vengono commercializzate da altre società</w:t>
      </w:r>
      <w:r w:rsidRPr="00D20535">
        <w:rPr>
          <w:rFonts w:eastAsia="Times New Roman"/>
          <w:kern w:val="1"/>
          <w:lang w:eastAsia="ar-SA"/>
        </w:rPr>
        <w:t xml:space="preserve"> (come nel caso in esame da Enel Energia s.p.a. e/o altre società deputate alla sola vendita) per poi raggiungere l'utente finale.</w:t>
      </w:r>
    </w:p>
    <w:p w14:paraId="214A6D84"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sidRPr="00D20535">
        <w:rPr>
          <w:rFonts w:eastAsia="Times New Roman"/>
          <w:kern w:val="1"/>
          <w:lang w:eastAsia="ar-SA"/>
        </w:rPr>
        <w:t xml:space="preserve">Ma ciò non accade nel caso e </w:t>
      </w:r>
      <w:r w:rsidRPr="00D20535">
        <w:rPr>
          <w:rFonts w:eastAsia="Times New Roman"/>
          <w:kern w:val="1"/>
          <w:u w:val="single"/>
          <w:lang w:eastAsia="ar-SA"/>
        </w:rPr>
        <w:t>nel settore delle telecomunicazioni</w:t>
      </w:r>
      <w:r w:rsidRPr="00D20535">
        <w:rPr>
          <w:rFonts w:eastAsia="Times New Roman"/>
          <w:kern w:val="1"/>
          <w:lang w:eastAsia="ar-SA"/>
        </w:rPr>
        <w:t xml:space="preserve"> laddove </w:t>
      </w:r>
      <w:r w:rsidRPr="00D20535">
        <w:rPr>
          <w:rFonts w:eastAsia="Times New Roman"/>
          <w:kern w:val="1"/>
          <w:u w:val="single"/>
          <w:lang w:eastAsia="ar-SA"/>
        </w:rPr>
        <w:t>il</w:t>
      </w:r>
      <w:r w:rsidRPr="00D20535">
        <w:rPr>
          <w:rFonts w:eastAsia="Times New Roman"/>
          <w:kern w:val="1"/>
          <w:lang w:eastAsia="ar-SA"/>
        </w:rPr>
        <w:t xml:space="preserve"> </w:t>
      </w:r>
      <w:r w:rsidRPr="00D20535">
        <w:rPr>
          <w:rFonts w:eastAsia="Times New Roman"/>
          <w:kern w:val="1"/>
          <w:u w:val="single"/>
          <w:lang w:eastAsia="ar-SA"/>
        </w:rPr>
        <w:t xml:space="preserve">Legislatore </w:t>
      </w:r>
      <w:r w:rsidRPr="00D20535">
        <w:rPr>
          <w:rFonts w:eastAsia="Times New Roman"/>
          <w:b/>
          <w:bCs/>
          <w:kern w:val="1"/>
          <w:u w:val="single"/>
          <w:lang w:eastAsia="ar-SA"/>
        </w:rPr>
        <w:t>non impone una separazione</w:t>
      </w:r>
      <w:r w:rsidRPr="00D20535">
        <w:rPr>
          <w:rFonts w:eastAsia="Times New Roman"/>
          <w:kern w:val="1"/>
          <w:lang w:eastAsia="ar-SA"/>
        </w:rPr>
        <w:t xml:space="preserve"> tra soggetto fornitore e soggetto che poi effettivamente vende il prodotto (come nel richiamato caso di gas od energia elettrica), </w:t>
      </w:r>
      <w:r w:rsidRPr="00D20535">
        <w:rPr>
          <w:rFonts w:eastAsia="Times New Roman"/>
          <w:kern w:val="1"/>
          <w:u w:val="single"/>
          <w:lang w:eastAsia="ar-SA"/>
        </w:rPr>
        <w:t>ma anzi impone e normativamente incentiva la condivisione delle</w:t>
      </w:r>
      <w:r w:rsidRPr="00D20535">
        <w:rPr>
          <w:rFonts w:eastAsia="Times New Roman"/>
          <w:kern w:val="1"/>
          <w:lang w:eastAsia="ar-SA"/>
        </w:rPr>
        <w:t xml:space="preserve"> </w:t>
      </w:r>
      <w:r w:rsidRPr="00D20535">
        <w:rPr>
          <w:rFonts w:eastAsia="Times New Roman"/>
          <w:kern w:val="1"/>
          <w:u w:val="single"/>
          <w:lang w:eastAsia="ar-SA"/>
        </w:rPr>
        <w:t>reti/infrastrutture</w:t>
      </w:r>
      <w:r w:rsidRPr="00D20535">
        <w:rPr>
          <w:rFonts w:eastAsia="Times New Roman"/>
          <w:kern w:val="1"/>
          <w:lang w:eastAsia="ar-SA"/>
        </w:rPr>
        <w:t xml:space="preserve"> e ciò anche in attuazione di precise direttive comunitarie.</w:t>
      </w:r>
    </w:p>
    <w:p w14:paraId="0EC97ED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u w:val="single"/>
          <w:lang w:eastAsia="ar-SA"/>
        </w:rPr>
        <w:t>Questa è la ragione</w:t>
      </w:r>
      <w:r w:rsidRPr="00D20535">
        <w:rPr>
          <w:rFonts w:eastAsia="Times New Roman"/>
          <w:kern w:val="1"/>
          <w:lang w:eastAsia="ar-SA"/>
        </w:rPr>
        <w:t xml:space="preserve"> per la quale il Legislatore ha appositamente previsto, per questa sola ipotesi di condivisione delle infrastrutture, il concetto applicativo di </w:t>
      </w:r>
      <w:r w:rsidRPr="00D20535">
        <w:rPr>
          <w:rFonts w:eastAsia="Times New Roman"/>
          <w:kern w:val="1"/>
          <w:u w:val="single"/>
          <w:lang w:eastAsia="ar-SA"/>
        </w:rPr>
        <w:t>soggettività passiva mediata</w:t>
      </w:r>
      <w:r w:rsidRPr="00D20535">
        <w:rPr>
          <w:rFonts w:eastAsia="Times New Roman"/>
          <w:kern w:val="1"/>
          <w:lang w:eastAsia="ar-SA"/>
        </w:rPr>
        <w:t>.</w:t>
      </w:r>
    </w:p>
    <w:p w14:paraId="6312E925"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Con la conseguenza che la normativa di cui all'art. </w:t>
      </w:r>
      <w:r w:rsidRPr="00D20535">
        <w:rPr>
          <w:rFonts w:eastAsia="Times New Roman"/>
          <w:kern w:val="1"/>
          <w:u w:val="single"/>
          <w:lang w:eastAsia="ar-SA"/>
        </w:rPr>
        <w:t xml:space="preserve">5 comma 14 </w:t>
      </w:r>
      <w:r w:rsidRPr="00D20535">
        <w:rPr>
          <w:rFonts w:eastAsia="Times New Roman"/>
          <w:i/>
          <w:iCs/>
          <w:kern w:val="1"/>
          <w:u w:val="single"/>
          <w:lang w:eastAsia="ar-SA"/>
        </w:rPr>
        <w:t>quinquies</w:t>
      </w:r>
      <w:r w:rsidRPr="00D20535">
        <w:rPr>
          <w:rFonts w:eastAsia="Times New Roman"/>
          <w:kern w:val="1"/>
          <w:lang w:eastAsia="ar-SA"/>
        </w:rPr>
        <w:t xml:space="preserve"> </w:t>
      </w:r>
      <w:r w:rsidRPr="00D20535">
        <w:rPr>
          <w:rFonts w:eastAsia="Times New Roman"/>
          <w:kern w:val="1"/>
          <w:u w:val="single"/>
          <w:lang w:eastAsia="ar-SA"/>
        </w:rPr>
        <w:t>del D.L. 146/2021,</w:t>
      </w:r>
      <w:r w:rsidRPr="00D20535">
        <w:rPr>
          <w:rFonts w:eastAsia="Times New Roman"/>
          <w:kern w:val="1"/>
          <w:lang w:eastAsia="ar-SA"/>
        </w:rPr>
        <w:t xml:space="preserve"> richiamata da </w:t>
      </w:r>
      <w:r w:rsidRPr="00D20535">
        <w:rPr>
          <w:rFonts w:eastAsia="Times New Roman"/>
          <w:bCs/>
          <w:kern w:val="1"/>
          <w:lang w:eastAsia="ar-SA"/>
        </w:rPr>
        <w:t xml:space="preserve">FASTWEB </w:t>
      </w:r>
      <w:proofErr w:type="gramStart"/>
      <w:r w:rsidRPr="00D20535">
        <w:rPr>
          <w:rFonts w:eastAsia="Times New Roman"/>
          <w:bCs/>
          <w:kern w:val="1"/>
          <w:lang w:eastAsia="ar-SA"/>
        </w:rPr>
        <w:t xml:space="preserve">S.p.A. </w:t>
      </w:r>
      <w:r w:rsidRPr="00D20535">
        <w:rPr>
          <w:rFonts w:eastAsia="Times New Roman"/>
          <w:kern w:val="1"/>
          <w:lang w:eastAsia="ar-SA"/>
        </w:rPr>
        <w:t>,</w:t>
      </w:r>
      <w:proofErr w:type="gramEnd"/>
      <w:r w:rsidRPr="00D20535">
        <w:rPr>
          <w:rFonts w:eastAsia="Times New Roman"/>
          <w:kern w:val="1"/>
          <w:lang w:eastAsia="ar-SA"/>
        </w:rPr>
        <w:t xml:space="preserve"> </w:t>
      </w:r>
      <w:r w:rsidRPr="00D20535">
        <w:rPr>
          <w:rFonts w:eastAsia="Times New Roman"/>
          <w:kern w:val="1"/>
          <w:u w:val="single"/>
          <w:lang w:eastAsia="ar-SA"/>
        </w:rPr>
        <w:t xml:space="preserve">è applicabile e/o riferibile </w:t>
      </w:r>
      <w:r w:rsidRPr="00D20535">
        <w:rPr>
          <w:rFonts w:eastAsia="Times New Roman"/>
          <w:kern w:val="1"/>
          <w:u w:val="single"/>
          <w:lang w:eastAsia="ar-SA"/>
        </w:rPr>
        <w:lastRenderedPageBreak/>
        <w:t>esclusivamente ai casi in cui si deve attuare, per legge, una fisica separazione tra il soggetto titolare dell'infrastruttura ed il soggetto titolare del contratto di vendita del bene che, poi, distribuirà al cliente finale</w:t>
      </w:r>
      <w:r w:rsidRPr="00D20535">
        <w:rPr>
          <w:rFonts w:eastAsia="Times New Roman"/>
          <w:kern w:val="1"/>
          <w:lang w:eastAsia="ar-SA"/>
        </w:rPr>
        <w:t>.</w:t>
      </w:r>
    </w:p>
    <w:p w14:paraId="5B0AC2A3"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Inoltre, con la novella dell'anno 2021 il Legislatore nuovamente intervenendo nella disciplina di cui al comma 831 ha stabilito che: “</w:t>
      </w:r>
      <w:r w:rsidRPr="00D20535">
        <w:rPr>
          <w:rFonts w:eastAsia="Times New Roman"/>
          <w:i/>
          <w:iCs/>
          <w:kern w:val="1"/>
          <w:lang w:eastAsia="ar-SA"/>
        </w:rPr>
        <w:t xml:space="preserve">il comma 831 dell'articolo 1 della Legge 27 dicembre 2019 n. 160 si interpreta nel senso che: a) per le occupazioni permanenti di suolo pubblico effettuate nei settori </w:t>
      </w:r>
      <w:r w:rsidRPr="00DD42D3">
        <w:rPr>
          <w:rFonts w:eastAsia="Times New Roman"/>
          <w:b/>
          <w:bCs/>
          <w:i/>
          <w:iCs/>
          <w:kern w:val="1"/>
          <w:u w:val="single"/>
          <w:lang w:eastAsia="ar-SA"/>
        </w:rPr>
        <w:t>in cui è prevista una separazione</w:t>
      </w:r>
      <w:r w:rsidRPr="00D20535">
        <w:rPr>
          <w:rFonts w:eastAsia="Times New Roman"/>
          <w:i/>
          <w:iCs/>
          <w:kern w:val="1"/>
          <w:lang w:eastAsia="ar-SA"/>
        </w:rPr>
        <w:t xml:space="preserve">, in ragione di assetti normativi regolamentari o contrattuali </w:t>
      </w:r>
      <w:r w:rsidRPr="00DD42D3">
        <w:rPr>
          <w:rFonts w:eastAsia="Times New Roman"/>
          <w:b/>
          <w:bCs/>
          <w:i/>
          <w:iCs/>
          <w:kern w:val="1"/>
          <w:u w:val="single"/>
          <w:lang w:eastAsia="ar-SA"/>
        </w:rPr>
        <w:t>tra i soggetti titolari delle infrastrutture ed i soggetti titolari del contratto di vendita del bene distribuito alla clien</w:t>
      </w:r>
      <w:r w:rsidRPr="00D20535">
        <w:rPr>
          <w:rFonts w:eastAsia="Times New Roman"/>
          <w:i/>
          <w:iCs/>
          <w:kern w:val="1"/>
          <w:u w:val="single"/>
          <w:lang w:eastAsia="ar-SA"/>
        </w:rPr>
        <w:t>tela</w:t>
      </w:r>
      <w:r w:rsidRPr="00D20535">
        <w:rPr>
          <w:rFonts w:eastAsia="Times New Roman"/>
          <w:i/>
          <w:iCs/>
          <w:kern w:val="1"/>
          <w:lang w:eastAsia="ar-SA"/>
        </w:rPr>
        <w:t xml:space="preserve"> finale, </w:t>
      </w:r>
      <w:r w:rsidRPr="00DD42D3">
        <w:rPr>
          <w:rFonts w:eastAsia="Times New Roman"/>
          <w:b/>
          <w:bCs/>
          <w:i/>
          <w:iCs/>
          <w:kern w:val="1"/>
          <w:u w:val="single"/>
          <w:lang w:eastAsia="ar-SA"/>
        </w:rPr>
        <w:t>non</w:t>
      </w:r>
      <w:r>
        <w:rPr>
          <w:rFonts w:eastAsia="Times New Roman"/>
          <w:b/>
          <w:bCs/>
          <w:i/>
          <w:iCs/>
          <w:kern w:val="1"/>
          <w:u w:val="single"/>
          <w:lang w:eastAsia="ar-SA"/>
        </w:rPr>
        <w:t xml:space="preserve"> </w:t>
      </w:r>
      <w:r w:rsidRPr="00DD42D3">
        <w:rPr>
          <w:rFonts w:eastAsia="Times New Roman"/>
          <w:b/>
          <w:bCs/>
          <w:i/>
          <w:iCs/>
          <w:kern w:val="1"/>
          <w:u w:val="single"/>
          <w:lang w:eastAsia="ar-SA"/>
        </w:rPr>
        <w:t>configurandosi alcuna occupazione in via mediata</w:t>
      </w:r>
      <w:r w:rsidRPr="00D20535">
        <w:rPr>
          <w:rFonts w:eastAsia="Times New Roman"/>
          <w:i/>
          <w:iCs/>
          <w:kern w:val="1"/>
          <w:lang w:eastAsia="ar-SA"/>
        </w:rPr>
        <w:t xml:space="preserve"> ed alcun utilizzo materiale delle infrastrutture da parte della società di vendita, </w:t>
      </w:r>
      <w:r w:rsidRPr="00DD42D3">
        <w:rPr>
          <w:rFonts w:eastAsia="Times New Roman"/>
          <w:b/>
          <w:bCs/>
          <w:i/>
          <w:iCs/>
          <w:kern w:val="1"/>
          <w:u w:val="single"/>
          <w:lang w:eastAsia="ar-SA"/>
        </w:rPr>
        <w:t>il canone è dovuto esclusivamente dal soggetto titolare</w:t>
      </w:r>
      <w:r w:rsidRPr="00DD42D3">
        <w:rPr>
          <w:rFonts w:eastAsia="Times New Roman"/>
          <w:b/>
          <w:bCs/>
          <w:i/>
          <w:iCs/>
          <w:kern w:val="1"/>
          <w:lang w:eastAsia="ar-SA"/>
        </w:rPr>
        <w:t xml:space="preserve"> </w:t>
      </w:r>
      <w:r w:rsidRPr="00DD42D3">
        <w:rPr>
          <w:rFonts w:eastAsia="Times New Roman"/>
          <w:b/>
          <w:bCs/>
          <w:i/>
          <w:iCs/>
          <w:kern w:val="1"/>
          <w:u w:val="single"/>
          <w:lang w:eastAsia="ar-SA"/>
        </w:rPr>
        <w:t>dell'atto concessione</w:t>
      </w:r>
      <w:r w:rsidRPr="00D20535">
        <w:rPr>
          <w:rFonts w:eastAsia="Times New Roman"/>
          <w:i/>
          <w:iCs/>
          <w:kern w:val="1"/>
          <w:lang w:eastAsia="ar-SA"/>
        </w:rPr>
        <w:t xml:space="preserve"> delle infrastrutture, in base alle utenze delle predette società di vendita”.</w:t>
      </w:r>
    </w:p>
    <w:p w14:paraId="46D9BFA1"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D42D3">
        <w:rPr>
          <w:rFonts w:eastAsia="Times New Roman"/>
          <w:b/>
          <w:bCs/>
          <w:kern w:val="1"/>
          <w:lang w:eastAsia="ar-SA"/>
        </w:rPr>
        <w:t>MA</w:t>
      </w:r>
      <w:r w:rsidRPr="00D20535">
        <w:rPr>
          <w:rFonts w:eastAsia="Times New Roman"/>
          <w:kern w:val="1"/>
          <w:lang w:eastAsia="ar-SA"/>
        </w:rPr>
        <w:t xml:space="preserve"> questa è norma, come anticipato, </w:t>
      </w:r>
      <w:r w:rsidRPr="00D20535">
        <w:rPr>
          <w:rFonts w:eastAsia="Times New Roman"/>
          <w:kern w:val="1"/>
          <w:u w:val="single"/>
          <w:lang w:eastAsia="ar-SA"/>
        </w:rPr>
        <w:t>valevole solo per i mercati di</w:t>
      </w:r>
      <w:r w:rsidRPr="00D20535">
        <w:rPr>
          <w:rFonts w:eastAsia="Times New Roman"/>
          <w:kern w:val="1"/>
          <w:lang w:eastAsia="ar-SA"/>
        </w:rPr>
        <w:t xml:space="preserve"> vendita/commercializzazione del </w:t>
      </w:r>
      <w:r w:rsidRPr="00D20535">
        <w:rPr>
          <w:rFonts w:eastAsia="Times New Roman"/>
          <w:kern w:val="1"/>
          <w:u w:val="single"/>
          <w:lang w:eastAsia="ar-SA"/>
        </w:rPr>
        <w:t xml:space="preserve">gas e dell'energia elettrica e </w:t>
      </w:r>
      <w:r w:rsidRPr="00DD42D3">
        <w:rPr>
          <w:rFonts w:eastAsia="Times New Roman"/>
          <w:b/>
          <w:bCs/>
          <w:kern w:val="1"/>
          <w:u w:val="single"/>
          <w:lang w:eastAsia="ar-SA"/>
        </w:rPr>
        <w:t>non già per il settore della telefonia</w:t>
      </w:r>
      <w:r w:rsidRPr="00D20535">
        <w:rPr>
          <w:rFonts w:eastAsia="Times New Roman"/>
          <w:kern w:val="1"/>
          <w:lang w:eastAsia="ar-SA"/>
        </w:rPr>
        <w:t xml:space="preserve"> e trasmissione dati </w:t>
      </w:r>
      <w:r w:rsidRPr="00D20535">
        <w:rPr>
          <w:rFonts w:eastAsia="Times New Roman"/>
          <w:kern w:val="1"/>
          <w:u w:val="single"/>
          <w:lang w:eastAsia="ar-SA"/>
        </w:rPr>
        <w:t>nel quale</w:t>
      </w:r>
      <w:r w:rsidRPr="00D20535">
        <w:rPr>
          <w:rFonts w:eastAsia="Times New Roman"/>
          <w:kern w:val="1"/>
          <w:lang w:eastAsia="ar-SA"/>
        </w:rPr>
        <w:t xml:space="preserve">, non solo per espressa volontà normativa nazionale ma anche per volontà comunitaria, </w:t>
      </w:r>
      <w:r w:rsidRPr="00D20535">
        <w:rPr>
          <w:rFonts w:eastAsia="Times New Roman"/>
          <w:kern w:val="1"/>
          <w:u w:val="single"/>
          <w:lang w:eastAsia="ar-SA"/>
        </w:rPr>
        <w:t>deve esistere</w:t>
      </w:r>
      <w:r w:rsidRPr="00D20535">
        <w:rPr>
          <w:rFonts w:eastAsia="Times New Roman"/>
          <w:kern w:val="1"/>
          <w:lang w:eastAsia="ar-SA"/>
        </w:rPr>
        <w:t xml:space="preserve">, come in effetti esiste, </w:t>
      </w:r>
      <w:r w:rsidRPr="00D20535">
        <w:rPr>
          <w:rFonts w:eastAsia="Times New Roman"/>
          <w:b/>
          <w:bCs/>
          <w:kern w:val="1"/>
          <w:u w:val="single"/>
          <w:lang w:eastAsia="ar-SA"/>
        </w:rPr>
        <w:t>condivisione</w:t>
      </w:r>
      <w:r w:rsidRPr="00D20535">
        <w:rPr>
          <w:rFonts w:eastAsia="Times New Roman"/>
          <w:kern w:val="1"/>
          <w:u w:val="single"/>
          <w:lang w:eastAsia="ar-SA"/>
        </w:rPr>
        <w:t xml:space="preserve"> delle infrastrutture e delle reti</w:t>
      </w:r>
      <w:r w:rsidRPr="00D20535">
        <w:rPr>
          <w:rFonts w:eastAsia="Times New Roman"/>
          <w:kern w:val="1"/>
          <w:lang w:eastAsia="ar-SA"/>
        </w:rPr>
        <w:t>.</w:t>
      </w:r>
    </w:p>
    <w:p w14:paraId="2A996A3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Del resto, è la stessa FASTWEB S.p.A. nella narrativa del proprio atto a descrivere le modalità operative di condivisione delle infrastrutture e la modalità tecnica di collegamento denominata BITSTREAM NGA, </w:t>
      </w:r>
      <w:r w:rsidRPr="000F04A3">
        <w:rPr>
          <w:rFonts w:eastAsia="Times New Roman"/>
          <w:b/>
          <w:bCs/>
          <w:kern w:val="1"/>
          <w:lang w:eastAsia="ar-SA"/>
        </w:rPr>
        <w:t>che prevede che l'operatore sia presente non</w:t>
      </w:r>
      <w:r w:rsidRPr="00D20535">
        <w:rPr>
          <w:rFonts w:eastAsia="Times New Roman"/>
          <w:b/>
          <w:bCs/>
          <w:kern w:val="1"/>
          <w:lang w:eastAsia="ar-SA"/>
        </w:rPr>
        <w:t xml:space="preserve"> sul territorio comunale, né nella centrale TIM prossima alle abitazioni da servire, bensì esclusivamente in un Punto di Interconnessione (PDI) collocato a monte, a livello di area o macroarea</w:t>
      </w:r>
      <w:r w:rsidRPr="00D20535">
        <w:rPr>
          <w:rFonts w:eastAsia="Times New Roman"/>
          <w:kern w:val="1"/>
          <w:lang w:eastAsia="ar-SA"/>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286A2D80"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La natura stessa dell'infrastruttura vuole, quindi, una compresenza di più operatori che agiscono sulla/nella rete Tim/Telecom s.p.a. che utilizza, anch'essa, la rete insieme ai suoi competitors; </w:t>
      </w:r>
      <w:r w:rsidRPr="00D20535">
        <w:rPr>
          <w:rFonts w:eastAsia="Times New Roman"/>
          <w:kern w:val="1"/>
          <w:u w:val="single"/>
          <w:lang w:eastAsia="ar-SA"/>
        </w:rPr>
        <w:t xml:space="preserve">ciò differentemente da quanto accade nel caso delle società proprietarie della rete di distribuzione del gas o dell'energia elettrica che non </w:t>
      </w:r>
      <w:r w:rsidRPr="00D20535">
        <w:rPr>
          <w:rFonts w:eastAsia="Times New Roman"/>
          <w:kern w:val="1"/>
          <w:u w:val="single"/>
          <w:lang w:eastAsia="ar-SA"/>
        </w:rPr>
        <w:lastRenderedPageBreak/>
        <w:t>possono, per legge, direttamente vendere il prodotto agli utenti finali,</w:t>
      </w:r>
      <w:r w:rsidRPr="00D20535">
        <w:rPr>
          <w:rFonts w:eastAsia="Times New Roman"/>
          <w:kern w:val="1"/>
          <w:lang w:eastAsia="ar-SA"/>
        </w:rPr>
        <w:t xml:space="preserve"> dovendosi invece rivolgere ad altre società che effettuano (solo loro) la vendita, per commercializzare il prodotto veicolato nelle proprie infrastrutture (gas /energia elettrica). </w:t>
      </w:r>
    </w:p>
    <w:p w14:paraId="0C60476B" w14:textId="77777777" w:rsidR="007E79BC" w:rsidRPr="00D20535" w:rsidRDefault="007E79BC" w:rsidP="007E79BC">
      <w:pPr>
        <w:spacing w:line="360" w:lineRule="auto"/>
        <w:ind w:firstLine="709"/>
        <w:rPr>
          <w:rFonts w:eastAsia="Calibri"/>
        </w:rPr>
      </w:pPr>
      <w:r w:rsidRPr="00D20535">
        <w:rPr>
          <w:rFonts w:eastAsia="Calibri"/>
        </w:rPr>
        <w:t>Di seguito uno schema riassuntivo sulla differenza di utilizzo della rete tra le società di TLC e le società che commercializzano Gas ed Energia.</w:t>
      </w:r>
    </w:p>
    <w:p w14:paraId="46725B84" w14:textId="5A8C9AF1" w:rsidR="007E79BC" w:rsidRDefault="007E79BC" w:rsidP="007E79BC">
      <w:pPr>
        <w:spacing w:line="360" w:lineRule="auto"/>
        <w:ind w:firstLine="567"/>
        <w:jc w:val="both"/>
        <w:rPr>
          <w:rFonts w:eastAsia="Times New Roman"/>
          <w:b/>
          <w:bCs/>
          <w:i/>
          <w:iCs/>
          <w:kern w:val="1"/>
          <w:u w:val="single"/>
          <w:lang w:eastAsia="ar-SA"/>
        </w:rPr>
      </w:pPr>
    </w:p>
    <w:p w14:paraId="1FDFCE30" w14:textId="36C93BFC" w:rsidR="007E79BC" w:rsidRDefault="007E79BC" w:rsidP="00C357E6">
      <w:pPr>
        <w:spacing w:line="360" w:lineRule="auto"/>
        <w:jc w:val="both"/>
        <w:rPr>
          <w:rFonts w:eastAsia="Times New Roman"/>
          <w:b/>
          <w:bCs/>
          <w:i/>
          <w:iCs/>
          <w:kern w:val="1"/>
          <w:u w:val="single"/>
          <w:lang w:eastAsia="ar-SA"/>
        </w:rPr>
      </w:pPr>
      <w:r w:rsidRPr="00D20535">
        <w:rPr>
          <w:rFonts w:eastAsia="Times New Roman"/>
          <w:noProof/>
        </w:rPr>
        <w:drawing>
          <wp:inline distT="0" distB="0" distL="0" distR="0" wp14:anchorId="610F063D" wp14:editId="0CC75145">
            <wp:extent cx="5731510" cy="4857927"/>
            <wp:effectExtent l="0" t="0" r="0" b="635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10"/>
                    <a:stretch>
                      <a:fillRect/>
                    </a:stretch>
                  </pic:blipFill>
                  <pic:spPr>
                    <a:xfrm>
                      <a:off x="0" y="0"/>
                      <a:ext cx="5731510" cy="4857927"/>
                    </a:xfrm>
                    <a:prstGeom prst="rect">
                      <a:avLst/>
                    </a:prstGeom>
                  </pic:spPr>
                </pic:pic>
              </a:graphicData>
            </a:graphic>
          </wp:inline>
        </w:drawing>
      </w:r>
    </w:p>
    <w:p w14:paraId="5A4F8653" w14:textId="77777777" w:rsidR="007E79BC" w:rsidRDefault="007E79BC" w:rsidP="007E79BC">
      <w:pPr>
        <w:spacing w:line="360" w:lineRule="auto"/>
        <w:ind w:firstLine="567"/>
        <w:jc w:val="both"/>
        <w:rPr>
          <w:rFonts w:eastAsia="Times New Roman"/>
          <w:b/>
          <w:bCs/>
          <w:i/>
          <w:iCs/>
          <w:kern w:val="1"/>
          <w:u w:val="single"/>
          <w:lang w:eastAsia="ar-SA"/>
        </w:rPr>
      </w:pPr>
    </w:p>
    <w:p w14:paraId="4DFE6B53" w14:textId="77777777" w:rsidR="007E79BC" w:rsidRPr="00D20535" w:rsidRDefault="007E79BC" w:rsidP="007E79BC">
      <w:pPr>
        <w:spacing w:line="360" w:lineRule="auto"/>
        <w:ind w:firstLine="709"/>
        <w:jc w:val="both"/>
        <w:rPr>
          <w:rFonts w:eastAsia="Calibri"/>
        </w:rPr>
      </w:pPr>
      <w:r w:rsidRPr="00D20535">
        <w:rPr>
          <w:rFonts w:eastAsia="Calibri"/>
        </w:rPr>
        <w:t>Quindi, quale settore, se non quello delle telecomunicazioni, dovrebbe vedere applicata la soggettività passiva in via mediata prevista dal legislatore?</w:t>
      </w:r>
    </w:p>
    <w:p w14:paraId="72326F0F" w14:textId="77777777" w:rsidR="00075369" w:rsidRPr="007E79BC" w:rsidRDefault="00206426" w:rsidP="00864A21">
      <w:pPr>
        <w:spacing w:line="360" w:lineRule="auto"/>
        <w:ind w:firstLine="567"/>
        <w:jc w:val="both"/>
        <w:rPr>
          <w:u w:val="single"/>
        </w:rPr>
      </w:pPr>
      <w:r w:rsidRPr="00C357E6">
        <w:rPr>
          <w:b/>
          <w:bCs/>
          <w:u w:val="single"/>
        </w:rPr>
        <w:t>Oltre alla recentissima pronuncia della Corte di legittimità</w:t>
      </w:r>
      <w:r>
        <w:t xml:space="preserve"> innanzi richiamata, conferma quanto fin qui rilevato anche la recente giurisprudenza di merito in materia di telecomunicazioni; fra tante si richiamano, per le puntuali motivazioni addotte, le sentenze del </w:t>
      </w:r>
      <w:r w:rsidRPr="007E79BC">
        <w:rPr>
          <w:b/>
          <w:bCs/>
          <w:u w:val="single"/>
        </w:rPr>
        <w:t xml:space="preserve">Tribunale di Bergamo n. 1523 del 25.11.2025, proprio contro FASTWEB S.p.A., e n. 289 del 21.03.2026 contro Vodafone, nonché del </w:t>
      </w:r>
      <w:r w:rsidRPr="007E79BC">
        <w:rPr>
          <w:b/>
          <w:bCs/>
          <w:u w:val="single"/>
        </w:rPr>
        <w:lastRenderedPageBreak/>
        <w:t>Tribunale di Treviso n. 240/2025 e del Tribunale di Piacenza n. 207 del 06.05.2025</w:t>
      </w:r>
      <w:r w:rsidRPr="007E79BC">
        <w:rPr>
          <w:u w:val="single"/>
        </w:rPr>
        <w:t>, ed infatti:</w:t>
      </w:r>
    </w:p>
    <w:p w14:paraId="13DB7CA0" w14:textId="77777777" w:rsidR="00075369" w:rsidRDefault="00206426" w:rsidP="00864A21">
      <w:pPr>
        <w:spacing w:line="360" w:lineRule="auto"/>
        <w:ind w:firstLine="567"/>
        <w:jc w:val="both"/>
      </w:pPr>
      <w:r>
        <w:t>Il Giudice di Bergamo ha così precisato:</w:t>
      </w:r>
    </w:p>
    <w:p w14:paraId="6648C86F" w14:textId="23B65CF9" w:rsidR="00075369" w:rsidRDefault="00206426" w:rsidP="00864A21">
      <w:pPr>
        <w:spacing w:before="40" w:after="40" w:line="360" w:lineRule="auto"/>
        <w:ind w:left="567" w:right="283"/>
        <w:jc w:val="both"/>
      </w:pPr>
      <w:r>
        <w:rPr>
          <w:i/>
          <w:iCs/>
        </w:rPr>
        <w:t>“</w:t>
      </w:r>
      <w:r w:rsidR="007E79BC" w:rsidRPr="00801F75">
        <w:rPr>
          <w:i/>
          <w:iCs/>
        </w:rPr>
        <w:t xml:space="preserve">La norma nel testo attualmente vigente dispone: il canone è dovuto dal soggetto titolare dell’atto di concessione dell’occupazione del suolo pubblico e dai soggetti che occupano il suolo pubblico, </w:t>
      </w:r>
      <w:r w:rsidR="007E79BC" w:rsidRPr="00801F75">
        <w:rPr>
          <w:b/>
          <w:bCs/>
          <w:i/>
          <w:iCs/>
        </w:rPr>
        <w:t>anche in via mediata, attraverso l’utilizzo materiale delle infrastrutture del soggetto titolare della concessione</w:t>
      </w:r>
      <w:r w:rsidR="007E79BC" w:rsidRPr="00801F75">
        <w:rPr>
          <w:i/>
          <w:iCs/>
        </w:rPr>
        <w:t xml:space="preserve"> sulla base del numero delle rispettive utenze moltiplicate per la seguente tariffa forfetaria. </w:t>
      </w: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Tribunale di Bergamo n. 1523 del 25.11.2025 </w:t>
      </w:r>
      <w:r w:rsidRPr="009D6E1F">
        <w:rPr>
          <w:b/>
          <w:bCs/>
          <w:i/>
          <w:iCs/>
        </w:rPr>
        <w:t>(doc. 8).</w:t>
      </w:r>
    </w:p>
    <w:p w14:paraId="113E4104" w14:textId="77777777" w:rsidR="00075369" w:rsidRDefault="00206426" w:rsidP="00864A21">
      <w:pPr>
        <w:spacing w:line="360" w:lineRule="auto"/>
        <w:ind w:firstLine="567"/>
        <w:jc w:val="both"/>
      </w:pPr>
      <w:r>
        <w:t xml:space="preserve">Sempre il </w:t>
      </w:r>
      <w:r w:rsidRPr="00112740">
        <w:rPr>
          <w:b/>
          <w:bCs/>
        </w:rPr>
        <w:t>Tribunale di Bergamo, con la sentenza 289/2026,</w:t>
      </w:r>
      <w:r>
        <w:t xml:space="preserve"> ha ribadito:</w:t>
      </w:r>
    </w:p>
    <w:p w14:paraId="44B4EA4B" w14:textId="77777777" w:rsidR="00112740" w:rsidRDefault="00206426" w:rsidP="00864A21">
      <w:pPr>
        <w:spacing w:before="40" w:after="40" w:line="360" w:lineRule="auto"/>
        <w:ind w:left="567" w:right="283"/>
        <w:jc w:val="both"/>
        <w:rPr>
          <w:i/>
          <w:iCs/>
        </w:rPr>
      </w:pPr>
      <w:r>
        <w:rPr>
          <w:i/>
          <w:iCs/>
        </w:rPr>
        <w:t xml:space="preserve">“le attuali normative fanno riferimento ad un nuovo concetto basato sull’occupazione in via mediata, dove sussistono una pluralità di soggetti passivi, costituiti dal soggetto titolare e dai soggetti che occupano ed utilizzano l’area. </w:t>
      </w:r>
    </w:p>
    <w:p w14:paraId="40B0133F" w14:textId="77777777" w:rsidR="00112740" w:rsidRDefault="00206426" w:rsidP="00864A21">
      <w:pPr>
        <w:spacing w:before="40" w:after="40" w:line="360" w:lineRule="auto"/>
        <w:ind w:left="567" w:right="283"/>
        <w:jc w:val="both"/>
        <w:rPr>
          <w:i/>
          <w:iCs/>
        </w:rPr>
      </w:pPr>
      <w:r>
        <w:rPr>
          <w:i/>
          <w:iCs/>
        </w:rPr>
        <w:t xml:space="preserve">Più precisamente, risulta aggiornata e superata la precedente normativa, che considerava il solo concessionario quale unico soggetto passivo, rendendo adeguata la normativa ad un mercato liberalizzato, dove vi sono più operatori </w:t>
      </w:r>
      <w:r>
        <w:rPr>
          <w:i/>
          <w:iCs/>
        </w:rPr>
        <w:lastRenderedPageBreak/>
        <w:t xml:space="preserve">che utilizzano la stessa infrastruttura per la fornitura del proprio servizio di telefonia. </w:t>
      </w:r>
    </w:p>
    <w:p w14:paraId="37FC0D4D" w14:textId="77777777" w:rsidR="00112740" w:rsidRDefault="00206426" w:rsidP="00864A21">
      <w:pPr>
        <w:spacing w:before="40" w:after="40" w:line="360" w:lineRule="auto"/>
        <w:ind w:left="567" w:right="283"/>
        <w:jc w:val="both"/>
        <w:rPr>
          <w:i/>
          <w:iCs/>
        </w:rPr>
      </w:pPr>
      <w:r>
        <w:rPr>
          <w:i/>
          <w:iCs/>
        </w:rPr>
        <w:t xml:space="preserve">Inoltre, diversamente da quanto affermato da parte attrice, gli accordi </w:t>
      </w:r>
      <w:proofErr w:type="spellStart"/>
      <w:r>
        <w:rPr>
          <w:i/>
          <w:iCs/>
        </w:rPr>
        <w:t>wholesale</w:t>
      </w:r>
      <w:proofErr w:type="spellEnd"/>
      <w:r>
        <w:rPr>
          <w:i/>
          <w:iCs/>
        </w:rPr>
        <w:t xml:space="preserve"> sono pienamente riferibili alla fattispecie connessa all’‘utilizzo materiale’. </w:t>
      </w:r>
    </w:p>
    <w:p w14:paraId="2041D2F2" w14:textId="7B7DCE52" w:rsidR="00112740" w:rsidRPr="00801F75" w:rsidRDefault="00112740" w:rsidP="00112740">
      <w:pPr>
        <w:autoSpaceDE w:val="0"/>
        <w:autoSpaceDN w:val="0"/>
        <w:adjustRightInd w:val="0"/>
        <w:spacing w:line="360" w:lineRule="auto"/>
        <w:jc w:val="both"/>
        <w:rPr>
          <w:rFonts w:eastAsia="Times New Roman"/>
          <w:i/>
          <w:iCs/>
          <w:color w:val="000000"/>
        </w:rPr>
      </w:pPr>
      <w:r>
        <w:rPr>
          <w:rFonts w:eastAsia="Times New Roman"/>
          <w:i/>
          <w:iCs/>
          <w:color w:val="000000"/>
        </w:rPr>
        <w:tab/>
      </w:r>
      <w:proofErr w:type="gramStart"/>
      <w:r w:rsidRPr="00801F75">
        <w:rPr>
          <w:rFonts w:eastAsia="Times New Roman"/>
          <w:i/>
          <w:iCs/>
          <w:color w:val="000000"/>
        </w:rPr>
        <w:t>Infatti</w:t>
      </w:r>
      <w:proofErr w:type="gramEnd"/>
      <w:r w:rsidRPr="00801F75">
        <w:rPr>
          <w:rFonts w:eastAsia="Times New Roman"/>
          <w:i/>
          <w:iCs/>
          <w:color w:val="000000"/>
        </w:rPr>
        <w:t xml:space="preserve"> gli accordi </w:t>
      </w:r>
      <w:proofErr w:type="spellStart"/>
      <w:r w:rsidRPr="00801F75">
        <w:rPr>
          <w:rFonts w:eastAsia="Times New Roman"/>
          <w:i/>
          <w:iCs/>
          <w:color w:val="000000"/>
        </w:rPr>
        <w:t>wholesale</w:t>
      </w:r>
      <w:proofErr w:type="spellEnd"/>
      <w:r w:rsidRPr="00801F75">
        <w:rPr>
          <w:rFonts w:eastAsia="Times New Roman"/>
          <w:i/>
          <w:iCs/>
          <w:color w:val="000000"/>
        </w:rPr>
        <w:t xml:space="preserve"> VULA </w:t>
      </w:r>
      <w:proofErr w:type="gramStart"/>
      <w:r w:rsidRPr="00801F75">
        <w:rPr>
          <w:rFonts w:eastAsia="Times New Roman"/>
          <w:i/>
          <w:iCs/>
          <w:color w:val="000000"/>
        </w:rPr>
        <w:t>( Virtual</w:t>
      </w:r>
      <w:proofErr w:type="gramEnd"/>
      <w:r w:rsidRPr="00801F75">
        <w:rPr>
          <w:rFonts w:eastAsia="Times New Roman"/>
          <w:i/>
          <w:iCs/>
          <w:color w:val="000000"/>
        </w:rPr>
        <w:t xml:space="preserve"> </w:t>
      </w:r>
      <w:proofErr w:type="spellStart"/>
      <w:r w:rsidRPr="00801F75">
        <w:rPr>
          <w:rFonts w:eastAsia="Times New Roman"/>
          <w:i/>
          <w:iCs/>
          <w:color w:val="000000"/>
        </w:rPr>
        <w:t>Unbundled</w:t>
      </w:r>
      <w:proofErr w:type="spellEnd"/>
      <w:r w:rsidRPr="00801F75">
        <w:rPr>
          <w:rFonts w:eastAsia="Times New Roman"/>
          <w:i/>
          <w:iCs/>
          <w:color w:val="000000"/>
        </w:rPr>
        <w:t xml:space="preserve"> Local </w:t>
      </w:r>
      <w:proofErr w:type="gramStart"/>
      <w:r w:rsidRPr="00801F75">
        <w:rPr>
          <w:rFonts w:eastAsia="Times New Roman"/>
          <w:i/>
          <w:iCs/>
          <w:color w:val="000000"/>
        </w:rPr>
        <w:t>Access )</w:t>
      </w:r>
      <w:proofErr w:type="gramEnd"/>
      <w:r w:rsidRPr="00801F75">
        <w:rPr>
          <w:rFonts w:eastAsia="Times New Roman"/>
          <w:i/>
          <w:iCs/>
          <w:color w:val="000000"/>
        </w:rPr>
        <w:t xml:space="preserve"> sono </w:t>
      </w:r>
      <w:r>
        <w:rPr>
          <w:rFonts w:eastAsia="Times New Roman"/>
          <w:i/>
          <w:iCs/>
          <w:color w:val="000000"/>
        </w:rPr>
        <w:tab/>
      </w:r>
      <w:r w:rsidRPr="00801F75">
        <w:rPr>
          <w:rFonts w:eastAsia="Times New Roman"/>
          <w:i/>
          <w:iCs/>
          <w:color w:val="000000"/>
        </w:rPr>
        <w:t xml:space="preserve">accordi commerciali tra operatori di telecomunicazioni che permettono </w:t>
      </w:r>
      <w:r>
        <w:rPr>
          <w:rFonts w:eastAsia="Times New Roman"/>
          <w:i/>
          <w:iCs/>
          <w:color w:val="000000"/>
        </w:rPr>
        <w:tab/>
      </w:r>
      <w:r w:rsidRPr="00801F75">
        <w:rPr>
          <w:rFonts w:eastAsia="Times New Roman"/>
          <w:i/>
          <w:iCs/>
          <w:color w:val="000000"/>
        </w:rPr>
        <w:t xml:space="preserve">l’accesso alle reti di accesso locali </w:t>
      </w:r>
      <w:proofErr w:type="gramStart"/>
      <w:r w:rsidRPr="00801F75">
        <w:rPr>
          <w:rFonts w:eastAsia="Times New Roman"/>
          <w:i/>
          <w:iCs/>
          <w:color w:val="000000"/>
        </w:rPr>
        <w:t>( reti</w:t>
      </w:r>
      <w:proofErr w:type="gramEnd"/>
      <w:r w:rsidRPr="00801F75">
        <w:rPr>
          <w:rFonts w:eastAsia="Times New Roman"/>
          <w:i/>
          <w:iCs/>
          <w:color w:val="000000"/>
        </w:rPr>
        <w:t xml:space="preserve"> di fibra ottica o di </w:t>
      </w:r>
      <w:proofErr w:type="gramStart"/>
      <w:r w:rsidRPr="00801F75">
        <w:rPr>
          <w:rFonts w:eastAsia="Times New Roman"/>
          <w:i/>
          <w:iCs/>
          <w:color w:val="000000"/>
        </w:rPr>
        <w:t>rame )</w:t>
      </w:r>
      <w:proofErr w:type="gramEnd"/>
      <w:r w:rsidRPr="00801F75">
        <w:rPr>
          <w:rFonts w:eastAsia="Times New Roman"/>
          <w:i/>
          <w:iCs/>
          <w:color w:val="000000"/>
        </w:rPr>
        <w:t xml:space="preserve"> di un operatore </w:t>
      </w:r>
      <w:r>
        <w:rPr>
          <w:rFonts w:eastAsia="Times New Roman"/>
          <w:i/>
          <w:iCs/>
          <w:color w:val="000000"/>
        </w:rPr>
        <w:tab/>
      </w:r>
      <w:r w:rsidRPr="00801F75">
        <w:rPr>
          <w:rFonts w:eastAsia="Times New Roman"/>
          <w:i/>
          <w:iCs/>
          <w:color w:val="000000"/>
        </w:rPr>
        <w:t xml:space="preserve">dominante a un altro </w:t>
      </w:r>
      <w:proofErr w:type="gramStart"/>
      <w:r w:rsidRPr="00801F75">
        <w:rPr>
          <w:rFonts w:eastAsia="Times New Roman"/>
          <w:i/>
          <w:iCs/>
          <w:color w:val="000000"/>
        </w:rPr>
        <w:t>operatore ,</w:t>
      </w:r>
      <w:proofErr w:type="gramEnd"/>
      <w:r w:rsidRPr="00801F75">
        <w:rPr>
          <w:rFonts w:eastAsia="Times New Roman"/>
          <w:i/>
          <w:iCs/>
          <w:color w:val="000000"/>
        </w:rPr>
        <w:t xml:space="preserve"> a condizioni eque e non </w:t>
      </w:r>
      <w:proofErr w:type="gramStart"/>
      <w:r w:rsidRPr="00801F75">
        <w:rPr>
          <w:rFonts w:eastAsia="Times New Roman"/>
          <w:i/>
          <w:iCs/>
          <w:color w:val="000000"/>
        </w:rPr>
        <w:t>discriminatorie .</w:t>
      </w:r>
      <w:proofErr w:type="gramEnd"/>
      <w:r w:rsidRPr="00801F75">
        <w:rPr>
          <w:rFonts w:eastAsia="Times New Roman"/>
          <w:i/>
          <w:iCs/>
          <w:color w:val="000000"/>
        </w:rPr>
        <w:t xml:space="preserve"> </w:t>
      </w:r>
    </w:p>
    <w:p w14:paraId="184657A5" w14:textId="167B0586" w:rsidR="00112740" w:rsidRPr="00801F75" w:rsidRDefault="00112740" w:rsidP="00112740">
      <w:pPr>
        <w:autoSpaceDE w:val="0"/>
        <w:autoSpaceDN w:val="0"/>
        <w:adjustRightInd w:val="0"/>
        <w:spacing w:line="360" w:lineRule="auto"/>
        <w:jc w:val="both"/>
        <w:rPr>
          <w:rFonts w:eastAsia="Times New Roman"/>
          <w:i/>
          <w:iCs/>
          <w:color w:val="000000"/>
        </w:rPr>
      </w:pPr>
      <w:r>
        <w:rPr>
          <w:rFonts w:eastAsia="Times New Roman"/>
          <w:i/>
          <w:iCs/>
          <w:color w:val="000000"/>
        </w:rPr>
        <w:tab/>
      </w:r>
      <w:r w:rsidRPr="00801F75">
        <w:rPr>
          <w:rFonts w:eastAsia="Times New Roman"/>
          <w:i/>
          <w:iCs/>
          <w:color w:val="000000"/>
        </w:rPr>
        <w:t xml:space="preserve">In </w:t>
      </w:r>
      <w:proofErr w:type="gramStart"/>
      <w:r w:rsidRPr="00801F75">
        <w:rPr>
          <w:rFonts w:eastAsia="Times New Roman"/>
          <w:i/>
          <w:iCs/>
          <w:color w:val="000000"/>
        </w:rPr>
        <w:t>pratica ,</w:t>
      </w:r>
      <w:proofErr w:type="gramEnd"/>
      <w:r w:rsidRPr="00801F75">
        <w:rPr>
          <w:rFonts w:eastAsia="Times New Roman"/>
          <w:i/>
          <w:iCs/>
          <w:color w:val="000000"/>
        </w:rPr>
        <w:t xml:space="preserve"> un operatore che non ha una rete di accesso propria può utilizzare </w:t>
      </w:r>
      <w:r>
        <w:rPr>
          <w:rFonts w:eastAsia="Times New Roman"/>
          <w:i/>
          <w:iCs/>
          <w:color w:val="000000"/>
        </w:rPr>
        <w:tab/>
      </w:r>
      <w:r w:rsidRPr="00801F75">
        <w:rPr>
          <w:rFonts w:eastAsia="Times New Roman"/>
          <w:i/>
          <w:iCs/>
          <w:color w:val="000000"/>
        </w:rPr>
        <w:t xml:space="preserve">la rete di un altro operatore per offrire servizi di accesso a internet e voce ai </w:t>
      </w:r>
      <w:r>
        <w:rPr>
          <w:rFonts w:eastAsia="Times New Roman"/>
          <w:i/>
          <w:iCs/>
          <w:color w:val="000000"/>
        </w:rPr>
        <w:tab/>
      </w:r>
      <w:r w:rsidRPr="00801F75">
        <w:rPr>
          <w:rFonts w:eastAsia="Times New Roman"/>
          <w:i/>
          <w:iCs/>
          <w:color w:val="000000"/>
        </w:rPr>
        <w:t xml:space="preserve">propri </w:t>
      </w:r>
      <w:proofErr w:type="gramStart"/>
      <w:r w:rsidRPr="00801F75">
        <w:rPr>
          <w:rFonts w:eastAsia="Times New Roman"/>
          <w:i/>
          <w:iCs/>
          <w:color w:val="000000"/>
        </w:rPr>
        <w:t>clienti .</w:t>
      </w:r>
      <w:proofErr w:type="gramEnd"/>
      <w:r w:rsidRPr="00801F75">
        <w:rPr>
          <w:rFonts w:eastAsia="Times New Roman"/>
          <w:i/>
          <w:iCs/>
          <w:color w:val="000000"/>
        </w:rPr>
        <w:t xml:space="preserve"> </w:t>
      </w:r>
    </w:p>
    <w:p w14:paraId="71DB1235" w14:textId="77777777" w:rsidR="00BE2202" w:rsidRDefault="00206426" w:rsidP="00864A21">
      <w:pPr>
        <w:spacing w:before="40" w:after="40" w:line="360" w:lineRule="auto"/>
        <w:ind w:left="567" w:right="283"/>
        <w:jc w:val="both"/>
        <w:rPr>
          <w:i/>
          <w:iCs/>
        </w:rPr>
      </w:pPr>
      <w:r>
        <w:rPr>
          <w:i/>
          <w:iCs/>
        </w:rPr>
        <w:t xml:space="preserve">Anche se l’accesso è definito ‘virtuale’ in ambito tecnico-commerciale, lo stesso comporta un flusso fisico di dati che transita comunque mediante cavi e condutture esistenti sul suolo pubblico comunale. </w:t>
      </w:r>
    </w:p>
    <w:p w14:paraId="1C50DF24" w14:textId="64537C79" w:rsidR="00075369" w:rsidRDefault="00206426" w:rsidP="00864A21">
      <w:pPr>
        <w:spacing w:before="40" w:after="40" w:line="360" w:lineRule="auto"/>
        <w:ind w:left="567" w:right="283"/>
        <w:jc w:val="both"/>
      </w:pPr>
      <w:r>
        <w:rPr>
          <w:i/>
          <w:iCs/>
        </w:rPr>
        <w:t xml:space="preserve">In base alle numerose sentenze di merito sull’argomento, il criterio legato alla materialità dell’uso dell’infrastruttura di altro operatore risulta comprendere anche quello legato alla modalità di accesso virtuale, legata all’evoluzione ed al progresso tecnologico nell’ambito della telefonia”. Tribunale di Bergamo n. 289 del 21.03.2026 </w:t>
      </w:r>
      <w:r w:rsidRPr="00BE2202">
        <w:rPr>
          <w:b/>
          <w:bCs/>
          <w:i/>
          <w:iCs/>
        </w:rPr>
        <w:t>(doc. 9).</w:t>
      </w:r>
    </w:p>
    <w:p w14:paraId="658D33C1" w14:textId="77777777" w:rsidR="00075369" w:rsidRDefault="00206426" w:rsidP="00864A21">
      <w:pPr>
        <w:spacing w:line="360" w:lineRule="auto"/>
        <w:ind w:firstLine="567"/>
        <w:jc w:val="both"/>
      </w:pPr>
      <w:r>
        <w:t xml:space="preserve">Anche il Tribunale di Napoli si è di recente pronunciato chiarendo il concetto di </w:t>
      </w:r>
      <w:r>
        <w:rPr>
          <w:i/>
          <w:iCs/>
        </w:rPr>
        <w:t>“utilizzo materiale”</w:t>
      </w:r>
      <w:r>
        <w:t xml:space="preserve"> (</w:t>
      </w:r>
      <w:r>
        <w:rPr>
          <w:b/>
          <w:bCs/>
        </w:rPr>
        <w:t>Tribunale di Napoli n. 5948 del 13.04.2026 – doc. 10</w:t>
      </w:r>
      <w:r>
        <w:t>):</w:t>
      </w:r>
    </w:p>
    <w:p w14:paraId="75075E7C" w14:textId="1CFEC6ED" w:rsidR="00075369" w:rsidRDefault="00206426" w:rsidP="00864A21">
      <w:pPr>
        <w:spacing w:before="40" w:after="40" w:line="360" w:lineRule="auto"/>
        <w:ind w:left="567" w:right="283"/>
        <w:jc w:val="both"/>
      </w:pPr>
      <w:r>
        <w:rPr>
          <w:i/>
          <w:iCs/>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w:t>
      </w:r>
      <w:r w:rsidR="00BE2202" w:rsidRPr="00801F75">
        <w:rPr>
          <w:rFonts w:eastAsia="Times New Roman"/>
          <w:i/>
          <w:iCs/>
        </w:rPr>
        <w:t xml:space="preserve">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w:t>
      </w:r>
      <w:r>
        <w:rPr>
          <w:i/>
          <w:iCs/>
        </w:rPr>
        <w:t xml:space="preserve">Diversamente, la previsione </w:t>
      </w:r>
      <w:r>
        <w:rPr>
          <w:i/>
          <w:iCs/>
        </w:rPr>
        <w:lastRenderedPageBreak/>
        <w:t>normativa finirebbe per essere priva di effettiva portata applicativa nel settore in cui l’utilizzo della rete altrui è tecnicamente fisiologico”.</w:t>
      </w:r>
    </w:p>
    <w:p w14:paraId="116458F0" w14:textId="77777777" w:rsidR="00BE2202" w:rsidRPr="00801F75" w:rsidRDefault="00BE2202" w:rsidP="00BE2202">
      <w:pPr>
        <w:spacing w:line="360" w:lineRule="auto"/>
        <w:ind w:firstLine="709"/>
        <w:contextualSpacing/>
        <w:jc w:val="both"/>
      </w:pPr>
      <w:r w:rsidRPr="00801F75">
        <w:t xml:space="preserve">Ed ancora, i giudici del </w:t>
      </w:r>
      <w:r w:rsidRPr="00801F75">
        <w:rPr>
          <w:b/>
          <w:bCs/>
        </w:rPr>
        <w:t>Tribunale di TREVISO</w:t>
      </w:r>
      <w:r w:rsidRPr="00801F75">
        <w:t xml:space="preserve"> hanno rigettato, ancora una volta, l’appello di una primaria compagnia telefonica che insisteva nel ritenersi estranea alla soggettività passiva mediata in relazione alla fornitura del servizio di telecomunicazioni.</w:t>
      </w:r>
    </w:p>
    <w:p w14:paraId="51B4B70B" w14:textId="77777777" w:rsidR="00BE2202" w:rsidRPr="00801F75" w:rsidRDefault="00BE2202" w:rsidP="00BE2202">
      <w:pPr>
        <w:spacing w:line="360" w:lineRule="auto"/>
        <w:ind w:firstLine="708"/>
        <w:contextualSpacing/>
        <w:jc w:val="both"/>
      </w:pPr>
      <w:r w:rsidRPr="00801F75">
        <w:t>Si legge nella sentenza:</w:t>
      </w:r>
    </w:p>
    <w:p w14:paraId="16C8E6DF" w14:textId="77777777" w:rsidR="00075369" w:rsidRPr="00BE2202" w:rsidRDefault="00206426" w:rsidP="00864A21">
      <w:pPr>
        <w:spacing w:before="40" w:after="40" w:line="360" w:lineRule="auto"/>
        <w:ind w:left="567" w:right="283"/>
        <w:jc w:val="both"/>
        <w:rPr>
          <w:b/>
          <w:bCs/>
        </w:rPr>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come sinonimo di utilizzo che non necessariamente rimanda ad una modificazione della realtà esterna …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 </w:t>
      </w:r>
      <w:r w:rsidRPr="00BE2202">
        <w:rPr>
          <w:b/>
          <w:bCs/>
          <w:i/>
          <w:iCs/>
        </w:rPr>
        <w:t>(doc. 11).</w:t>
      </w:r>
    </w:p>
    <w:p w14:paraId="344DABD0" w14:textId="77777777" w:rsidR="00075369" w:rsidRDefault="00206426" w:rsidP="00864A21">
      <w:pPr>
        <w:spacing w:line="360" w:lineRule="auto"/>
        <w:ind w:firstLine="567"/>
        <w:jc w:val="both"/>
      </w:pPr>
      <w:r>
        <w:t xml:space="preserve">Il </w:t>
      </w:r>
      <w:r>
        <w:rPr>
          <w:b/>
          <w:bCs/>
        </w:rPr>
        <w:t>Tribunale di PIACENZA</w:t>
      </w:r>
      <w:r>
        <w:t xml:space="preserve">, rigettando l’opposizione di Vodafone, ha posto l’accento sul concetto di occupazione mediata e sulla </w:t>
      </w:r>
      <w:r>
        <w:rPr>
          <w:i/>
          <w:iCs/>
        </w:rPr>
        <w:t>ratio</w:t>
      </w:r>
      <w:r>
        <w:t xml:space="preserve"> della norma di interpretazione autentica, leggendosi in sentenza:</w:t>
      </w:r>
    </w:p>
    <w:p w14:paraId="22C52A3F" w14:textId="12EB1FAE" w:rsidR="00075369" w:rsidRDefault="00EC0A7E" w:rsidP="00EC0A7E">
      <w:pPr>
        <w:spacing w:line="360" w:lineRule="auto"/>
        <w:ind w:firstLine="567"/>
        <w:jc w:val="both"/>
      </w:pPr>
      <w:r w:rsidRPr="00801F75">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w:t>
      </w:r>
      <w:r w:rsidRPr="00801F75">
        <w:rPr>
          <w:i/>
          <w:iCs/>
        </w:rPr>
        <w:lastRenderedPageBreak/>
        <w:t xml:space="preserve">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801F75">
        <w:rPr>
          <w:b/>
          <w:bCs/>
          <w:i/>
          <w:iCs/>
        </w:rPr>
        <w:t>Tribunale di Piacenza n. 207 del 06.05.2025</w:t>
      </w:r>
      <w:r>
        <w:rPr>
          <w:i/>
          <w:iCs/>
        </w:rPr>
        <w:t xml:space="preserve"> </w:t>
      </w:r>
      <w:r w:rsidRPr="00EC0A7E">
        <w:rPr>
          <w:b/>
          <w:bCs/>
          <w:i/>
          <w:iCs/>
        </w:rPr>
        <w:t>(doc. 12).</w:t>
      </w:r>
    </w:p>
    <w:p w14:paraId="339973C6" w14:textId="77777777" w:rsidR="009C31BA" w:rsidRPr="0019494B" w:rsidRDefault="00206426" w:rsidP="009C31BA">
      <w:pPr>
        <w:spacing w:line="360" w:lineRule="auto"/>
        <w:ind w:firstLine="360"/>
        <w:contextualSpacing/>
        <w:jc w:val="both"/>
        <w:rPr>
          <w:b/>
          <w:bCs/>
          <w:i/>
          <w:iCs/>
        </w:rPr>
      </w:pPr>
      <w:r>
        <w:lastRenderedPageBreak/>
        <w:t xml:space="preserve">Con successiva pronuncia, il </w:t>
      </w:r>
      <w:r>
        <w:rPr>
          <w:b/>
          <w:bCs/>
        </w:rPr>
        <w:t>Tribunale di Piacenza – in funzione di giudice di secondo grado (</w:t>
      </w:r>
      <w:proofErr w:type="spellStart"/>
      <w:r>
        <w:rPr>
          <w:b/>
          <w:bCs/>
        </w:rPr>
        <w:t>sent</w:t>
      </w:r>
      <w:proofErr w:type="spellEnd"/>
      <w:r>
        <w:rPr>
          <w:b/>
          <w:bCs/>
        </w:rPr>
        <w:t>. n. 350 del 16.07.2025, R.G. 1562/2024) (doc. 13)</w:t>
      </w:r>
      <w:r>
        <w:t xml:space="preserve"> – </w:t>
      </w:r>
      <w:r w:rsidR="009C31BA" w:rsidRPr="00801F75">
        <w:t>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r w:rsidR="009C31BA">
        <w:t xml:space="preserve"> il giudice di appello ha infatti precisato che:” </w:t>
      </w:r>
      <w:r w:rsidR="009C31BA" w:rsidRPr="0019494B">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20FB377E" w14:textId="77777777" w:rsidR="009C31BA" w:rsidRPr="0019494B" w:rsidRDefault="009C31BA" w:rsidP="009C31BA">
      <w:pPr>
        <w:numPr>
          <w:ilvl w:val="0"/>
          <w:numId w:val="2"/>
        </w:numPr>
        <w:spacing w:line="360" w:lineRule="auto"/>
        <w:contextualSpacing/>
        <w:jc w:val="both"/>
        <w:rPr>
          <w:b/>
          <w:bCs/>
          <w:i/>
          <w:iCs/>
        </w:rPr>
      </w:pPr>
      <w:r w:rsidRPr="0019494B">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608C97F7" w14:textId="77777777" w:rsidR="009C31BA" w:rsidRPr="0019494B" w:rsidRDefault="009C31BA" w:rsidP="009C31BA">
      <w:pPr>
        <w:numPr>
          <w:ilvl w:val="0"/>
          <w:numId w:val="2"/>
        </w:numPr>
        <w:spacing w:line="360" w:lineRule="auto"/>
        <w:contextualSpacing/>
        <w:jc w:val="both"/>
        <w:rPr>
          <w:i/>
          <w:iCs/>
        </w:rPr>
      </w:pPr>
      <w:r w:rsidRPr="0019494B">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CAECB9B" w14:textId="77777777" w:rsidR="009C31BA" w:rsidRPr="0019494B" w:rsidRDefault="009C31BA" w:rsidP="009C31BA">
      <w:pPr>
        <w:numPr>
          <w:ilvl w:val="0"/>
          <w:numId w:val="2"/>
        </w:numPr>
        <w:spacing w:line="360" w:lineRule="auto"/>
        <w:contextualSpacing/>
        <w:jc w:val="both"/>
        <w:rPr>
          <w:i/>
          <w:iCs/>
        </w:rPr>
      </w:pPr>
      <w:proofErr w:type="gramStart"/>
      <w:r w:rsidRPr="0019494B">
        <w:rPr>
          <w:i/>
          <w:iCs/>
        </w:rPr>
        <w:t>Peraltro</w:t>
      </w:r>
      <w:proofErr w:type="gramEnd"/>
      <w:r w:rsidRPr="0019494B">
        <w:rPr>
          <w:i/>
          <w:iCs/>
        </w:rPr>
        <w:t xml:space="preserve"> nel criterio di materialità dell’uso dell’infrastruttura altrui deve intendersi incluso anche quello con modalità virtuale considerata l’evoluzione tecnologica nel campo della telefonia.</w:t>
      </w:r>
      <w:r>
        <w:rPr>
          <w:i/>
          <w:iCs/>
        </w:rPr>
        <w:t>”</w:t>
      </w:r>
      <w:r w:rsidRPr="0019494B">
        <w:rPr>
          <w:i/>
          <w:iCs/>
        </w:rPr>
        <w:t xml:space="preserve"> </w:t>
      </w:r>
    </w:p>
    <w:p w14:paraId="73CB7037" w14:textId="28C5A9DD" w:rsidR="00075369" w:rsidRDefault="00206426" w:rsidP="00864A21">
      <w:pPr>
        <w:spacing w:line="360" w:lineRule="auto"/>
        <w:ind w:firstLine="567"/>
        <w:jc w:val="both"/>
      </w:pPr>
      <w:r>
        <w:t xml:space="preserve">Ancora, il </w:t>
      </w:r>
      <w:r>
        <w:rPr>
          <w:b/>
          <w:bCs/>
        </w:rPr>
        <w:t>Tribunale di IVREA – in funzione di giudice di secondo grado (</w:t>
      </w:r>
      <w:proofErr w:type="spellStart"/>
      <w:r>
        <w:rPr>
          <w:b/>
          <w:bCs/>
        </w:rPr>
        <w:t>sent</w:t>
      </w:r>
      <w:proofErr w:type="spellEnd"/>
      <w:r>
        <w:rPr>
          <w:b/>
          <w:bCs/>
        </w:rPr>
        <w:t>. 29.09.2025, n. 1255) (doc. 14)</w:t>
      </w:r>
      <w:r>
        <w:t xml:space="preserve"> – ha rigettato l’appello di un primario operatore </w:t>
      </w:r>
      <w:r>
        <w:lastRenderedPageBreak/>
        <w:t>telefonico,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286B8CA1" w14:textId="77777777" w:rsidR="009C31BA" w:rsidRPr="00801F75" w:rsidRDefault="00206426" w:rsidP="009C31BA">
      <w:pPr>
        <w:spacing w:line="360" w:lineRule="auto"/>
        <w:ind w:firstLine="709"/>
        <w:contextualSpacing/>
        <w:jc w:val="both"/>
      </w:pPr>
      <w:r>
        <w:t xml:space="preserve">Infine, il </w:t>
      </w:r>
      <w:r>
        <w:rPr>
          <w:b/>
          <w:bCs/>
        </w:rPr>
        <w:t>Tribunale di BOLZANO (</w:t>
      </w:r>
      <w:proofErr w:type="spellStart"/>
      <w:r>
        <w:rPr>
          <w:b/>
          <w:bCs/>
        </w:rPr>
        <w:t>sent</w:t>
      </w:r>
      <w:proofErr w:type="spellEnd"/>
      <w:r>
        <w:rPr>
          <w:b/>
          <w:bCs/>
        </w:rPr>
        <w:t>. 08.04.2024, n. 431) (doc. 15)</w:t>
      </w:r>
      <w:r>
        <w:t xml:space="preserve"> </w:t>
      </w:r>
      <w:r w:rsidR="009C31BA" w:rsidRPr="00801F75">
        <w:t>ha chiarito che la separazione rilevante ai fini dell’art. 5, comma 14-quinquies, D.L. 146/2021, riguarda esclusivamente i settori del gas e dell’energia elettrica e ha preso posizione esplicita contro la tesi della separazione per via contrattuale, osservando che tale tesi “</w:t>
      </w:r>
      <w:r w:rsidR="009C31BA" w:rsidRPr="00801F75">
        <w:rPr>
          <w:i/>
          <w:iCs/>
        </w:rPr>
        <w:t>parte da una premessa errata, confondendo un contratto di accesso o condivisione della rete con una separazione funzionale delle attività che non è rinvenibile nella realtà tecnica e normativa del settore TLC</w:t>
      </w:r>
      <w:r w:rsidR="009C31BA" w:rsidRPr="00801F75">
        <w:t>”; ha ulteriormente affermato che “</w:t>
      </w:r>
      <w:r w:rsidR="009C31BA" w:rsidRPr="00801F75">
        <w:rPr>
          <w:i/>
          <w:iCs/>
        </w:rPr>
        <w:t>sono soggetti passivi del canone tutti gli operatori che utilizzano, anche in via mediata, la rete del concessionario</w:t>
      </w:r>
      <w:r w:rsidR="009C31BA" w:rsidRPr="00801F75">
        <w:t>” e che “</w:t>
      </w:r>
      <w:r w:rsidR="009C31BA" w:rsidRPr="00801F75">
        <w:rPr>
          <w:i/>
          <w:iCs/>
        </w:rPr>
        <w:t>l’uso materiale dell’infrastruttura non richiede l’installazione fisica di cavi e include anche l’utilizzo virtuale, coerentemente con l’evoluzione tecnologica</w:t>
      </w:r>
      <w:r w:rsidR="009C31BA" w:rsidRPr="00801F75">
        <w:t>”.</w:t>
      </w:r>
    </w:p>
    <w:p w14:paraId="1E429B40" w14:textId="77777777" w:rsidR="007B0B53" w:rsidRPr="00D20535" w:rsidRDefault="00206426" w:rsidP="007B0B53">
      <w:pPr>
        <w:spacing w:line="360" w:lineRule="auto"/>
        <w:ind w:firstLine="709"/>
        <w:jc w:val="both"/>
        <w:rPr>
          <w:rFonts w:eastAsia="Times New Roman"/>
          <w:i/>
          <w:iCs/>
          <w:kern w:val="1"/>
          <w:lang w:eastAsia="ar-SA"/>
        </w:rPr>
      </w:pPr>
      <w:r>
        <w:t xml:space="preserve">Si menziona, anche, la recente sentenza resa dal </w:t>
      </w:r>
      <w:r>
        <w:rPr>
          <w:b/>
          <w:bCs/>
        </w:rPr>
        <w:t>Tribunale di Bolzano n. 908/2025 del 15.10.2025</w:t>
      </w:r>
      <w:r>
        <w:t xml:space="preserve">, che si produce </w:t>
      </w:r>
      <w:r>
        <w:rPr>
          <w:b/>
          <w:bCs/>
        </w:rPr>
        <w:t>(doc. 16)</w:t>
      </w:r>
      <w:r>
        <w:t xml:space="preserve">, che ha precisato: </w:t>
      </w:r>
      <w:r w:rsidR="007B0B53" w:rsidRPr="00D20535">
        <w:rPr>
          <w:rFonts w:eastAsia="Times New Roman"/>
          <w:i/>
          <w:iCs/>
          <w:kern w:val="1"/>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007B0B53" w:rsidRPr="00D20535">
        <w:rPr>
          <w:rFonts w:eastAsia="Times New Roman"/>
          <w:i/>
          <w:iCs/>
          <w:kern w:val="1"/>
          <w:lang w:eastAsia="ar-SA"/>
        </w:rPr>
        <w:t>nn</w:t>
      </w:r>
      <w:proofErr w:type="spellEnd"/>
      <w:r w:rsidR="007B0B53" w:rsidRPr="00D20535">
        <w:rPr>
          <w:rFonts w:eastAsia="Times New Roman"/>
          <w:i/>
          <w:iCs/>
          <w:kern w:val="1"/>
          <w:lang w:eastAsia="ar-SA"/>
        </w:rPr>
        <w:t>. 431 e 649/2024).</w:t>
      </w:r>
    </w:p>
    <w:p w14:paraId="7C4AAC3B"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i/>
          <w:iCs/>
          <w:kern w:val="1"/>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sidRPr="00D20535">
        <w:rPr>
          <w:rFonts w:eastAsia="Times New Roman"/>
          <w:kern w:val="1"/>
          <w:lang w:eastAsia="ar-SA"/>
        </w:rPr>
        <w:t>."</w:t>
      </w:r>
    </w:p>
    <w:p w14:paraId="4A7F5B25" w14:textId="57BE464C" w:rsidR="00075369" w:rsidRDefault="00206426" w:rsidP="00864A21">
      <w:pPr>
        <w:spacing w:line="360" w:lineRule="auto"/>
        <w:ind w:firstLine="567"/>
        <w:jc w:val="both"/>
      </w:pPr>
      <w:r>
        <w:t>Tale orientamento risulta peraltro confermato da una nutrita e costante giurisprudenza di merito, tra cui:</w:t>
      </w:r>
    </w:p>
    <w:p w14:paraId="142FA80A"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kern w:val="1"/>
          <w:lang w:eastAsia="ar-SA"/>
        </w:rPr>
        <w:t>- Tribunale di Bolzano Sentenza N. 431/2024</w:t>
      </w:r>
    </w:p>
    <w:p w14:paraId="034E4C0C" w14:textId="77777777" w:rsidR="007B0B53" w:rsidRPr="00D20535" w:rsidRDefault="007B0B53" w:rsidP="007B0B53">
      <w:pPr>
        <w:spacing w:line="360" w:lineRule="auto"/>
        <w:ind w:firstLine="709"/>
        <w:jc w:val="both"/>
        <w:rPr>
          <w:rFonts w:eastAsia="Times New Roman"/>
          <w:kern w:val="1"/>
          <w:lang w:eastAsia="ar-SA"/>
        </w:rPr>
      </w:pPr>
      <w:bookmarkStart w:id="0" w:name="m_4538845636176179816_m_-648566957053672"/>
      <w:r w:rsidRPr="00D20535">
        <w:rPr>
          <w:rFonts w:eastAsia="Times New Roman"/>
          <w:kern w:val="1"/>
          <w:lang w:eastAsia="ar-SA"/>
        </w:rPr>
        <w:t>- Tribunale di Bolzano Sentenza N. 649/2024</w:t>
      </w:r>
      <w:bookmarkEnd w:id="0"/>
    </w:p>
    <w:p w14:paraId="6DC8159D"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kern w:val="1"/>
          <w:lang w:eastAsia="ar-SA"/>
        </w:rPr>
        <w:lastRenderedPageBreak/>
        <w:t>- Tribunale di Padova Sentenza N. 1341/2024</w:t>
      </w:r>
    </w:p>
    <w:p w14:paraId="2FF21D2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1409/2023</w:t>
      </w:r>
    </w:p>
    <w:p w14:paraId="765527F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1410/2023</w:t>
      </w:r>
    </w:p>
    <w:p w14:paraId="3BEB6E3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1407/2023</w:t>
      </w:r>
    </w:p>
    <w:p w14:paraId="51F14B3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1411/2023</w:t>
      </w:r>
    </w:p>
    <w:p w14:paraId="30DF5F2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1414/2023</w:t>
      </w:r>
    </w:p>
    <w:p w14:paraId="0451999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167/2024</w:t>
      </w:r>
    </w:p>
    <w:p w14:paraId="497EAB9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168/2024</w:t>
      </w:r>
    </w:p>
    <w:p w14:paraId="1B8AC43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294/2024</w:t>
      </w:r>
    </w:p>
    <w:p w14:paraId="3596101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5618/2023</w:t>
      </w:r>
    </w:p>
    <w:p w14:paraId="58F4900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5744/2023</w:t>
      </w:r>
    </w:p>
    <w:p w14:paraId="394673E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5434/2023</w:t>
      </w:r>
    </w:p>
    <w:p w14:paraId="5ED9151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1511/2023</w:t>
      </w:r>
    </w:p>
    <w:p w14:paraId="490B320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1550/2023</w:t>
      </w:r>
    </w:p>
    <w:p w14:paraId="4D8C11F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454/2024</w:t>
      </w:r>
    </w:p>
    <w:p w14:paraId="119AD4A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6795/2024</w:t>
      </w:r>
    </w:p>
    <w:p w14:paraId="7BDCD7E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1058/2024</w:t>
      </w:r>
    </w:p>
    <w:p w14:paraId="625436A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RG 5385/2023</w:t>
      </w:r>
    </w:p>
    <w:p w14:paraId="53C0735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RG 4099/2023</w:t>
      </w:r>
    </w:p>
    <w:p w14:paraId="1914A01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665/2023</w:t>
      </w:r>
    </w:p>
    <w:p w14:paraId="474DD4D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666/2023</w:t>
      </w:r>
    </w:p>
    <w:p w14:paraId="0FEB111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RG 5588/2023</w:t>
      </w:r>
    </w:p>
    <w:p w14:paraId="47FADEF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RG 5949/2023</w:t>
      </w:r>
    </w:p>
    <w:p w14:paraId="7E498EF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219/2024</w:t>
      </w:r>
    </w:p>
    <w:p w14:paraId="66FF5C25"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Viterbo RG 1716/2023</w:t>
      </w:r>
    </w:p>
    <w:p w14:paraId="6D7EE85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Ancona Sentenza N. 80/2024</w:t>
      </w:r>
    </w:p>
    <w:p w14:paraId="38A4E0F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Monza RG 6910/2023</w:t>
      </w:r>
    </w:p>
    <w:p w14:paraId="28586CB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Portoferraio Sentenza N. 17/2024</w:t>
      </w:r>
    </w:p>
    <w:p w14:paraId="63501075"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Parma RG 3192/2023</w:t>
      </w:r>
    </w:p>
    <w:p w14:paraId="11944022"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Novara Sentenza N. 4824/2023</w:t>
      </w:r>
    </w:p>
    <w:p w14:paraId="7F6D13D7"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Lanciano RG 639/2023</w:t>
      </w:r>
    </w:p>
    <w:p w14:paraId="169F27DA"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Ivrea RG 2842/2023</w:t>
      </w:r>
    </w:p>
    <w:p w14:paraId="72C89CB3"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Sondrio Sentenza N. 117/2024</w:t>
      </w:r>
    </w:p>
    <w:p w14:paraId="15307C4F"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Belluno RG 1263/2023</w:t>
      </w:r>
    </w:p>
    <w:p w14:paraId="009F2D5B" w14:textId="77777777" w:rsidR="008E7828" w:rsidRDefault="00206426" w:rsidP="00864A21">
      <w:pPr>
        <w:spacing w:line="360" w:lineRule="auto"/>
        <w:ind w:firstLine="567"/>
        <w:jc w:val="both"/>
        <w:rPr>
          <w:u w:val="single"/>
        </w:rPr>
      </w:pPr>
      <w:r>
        <w:lastRenderedPageBreak/>
        <w:t xml:space="preserve">Il quadro giurisprudenziale sopra richiamato, formatosi anche specificamente nei confronti di FASTWEB S.p.A. e </w:t>
      </w:r>
      <w:r w:rsidRPr="00C357E6">
        <w:rPr>
          <w:b/>
          <w:bCs/>
          <w:u w:val="single"/>
        </w:rPr>
        <w:t>definitivamente confermato dalla Suprema Corte di Cassazione con la citata sentenza n. 11479/2026</w:t>
      </w:r>
      <w:r w:rsidRPr="00C357E6">
        <w:rPr>
          <w:u w:val="single"/>
        </w:rPr>
        <w:t>, depone univocamente nel senso della piena soggettività passiva mediata degli operatori di telecomunicazioni che si avvalgono delle infrastrutture altrui.</w:t>
      </w:r>
      <w:r w:rsidR="00C357E6">
        <w:rPr>
          <w:u w:val="single"/>
        </w:rPr>
        <w:t xml:space="preserve"> </w:t>
      </w:r>
    </w:p>
    <w:p w14:paraId="775EEF3B" w14:textId="26B361D9" w:rsidR="008E7828" w:rsidRPr="007D22BC" w:rsidRDefault="00526140" w:rsidP="008E7828">
      <w:pPr>
        <w:spacing w:line="360" w:lineRule="auto"/>
        <w:ind w:firstLine="567"/>
        <w:jc w:val="both"/>
        <w:rPr>
          <w:u w:val="single"/>
        </w:rPr>
      </w:pPr>
      <w:r w:rsidRPr="008E7828">
        <w:t xml:space="preserve">Alla luce dell’interpretazione della Corte Suprema della normativa nazionale va anche </w:t>
      </w:r>
      <w:r w:rsidRPr="00357A26">
        <w:rPr>
          <w:b/>
          <w:bCs/>
          <w:u w:val="single"/>
        </w:rPr>
        <w:t xml:space="preserve">disapplicato il </w:t>
      </w:r>
      <w:r w:rsidR="00C357E6" w:rsidRPr="00357A26">
        <w:rPr>
          <w:b/>
          <w:bCs/>
          <w:u w:val="single"/>
        </w:rPr>
        <w:t>regolamento comunale</w:t>
      </w:r>
      <w:r w:rsidRPr="00357A26">
        <w:rPr>
          <w:b/>
          <w:bCs/>
          <w:u w:val="single"/>
        </w:rPr>
        <w:t xml:space="preserve"> nella parte i cui</w:t>
      </w:r>
      <w:r w:rsidR="008E7828" w:rsidRPr="00357A26">
        <w:rPr>
          <w:b/>
          <w:bCs/>
          <w:u w:val="single"/>
        </w:rPr>
        <w:t>, secondo la ricostruzione di controparte, si po</w:t>
      </w:r>
      <w:r w:rsidR="007D22BC" w:rsidRPr="00357A26">
        <w:rPr>
          <w:b/>
          <w:bCs/>
          <w:u w:val="single"/>
        </w:rPr>
        <w:t>ne</w:t>
      </w:r>
      <w:r w:rsidR="008E7828" w:rsidRPr="00357A26">
        <w:rPr>
          <w:b/>
          <w:bCs/>
          <w:u w:val="single"/>
        </w:rPr>
        <w:t xml:space="preserve"> </w:t>
      </w:r>
      <w:r w:rsidRPr="00357A26">
        <w:rPr>
          <w:b/>
          <w:bCs/>
          <w:u w:val="single"/>
        </w:rPr>
        <w:t xml:space="preserve">in contrasto con la corretta </w:t>
      </w:r>
      <w:proofErr w:type="spellStart"/>
      <w:r w:rsidRPr="00357A26">
        <w:rPr>
          <w:b/>
          <w:bCs/>
          <w:u w:val="single"/>
        </w:rPr>
        <w:t>intepretazione</w:t>
      </w:r>
      <w:proofErr w:type="spellEnd"/>
      <w:r w:rsidRPr="00357A26">
        <w:rPr>
          <w:b/>
          <w:bCs/>
          <w:u w:val="single"/>
        </w:rPr>
        <w:t xml:space="preserve"> della legge fornita in</w:t>
      </w:r>
      <w:r w:rsidR="008E7828" w:rsidRPr="00357A26">
        <w:rPr>
          <w:b/>
          <w:bCs/>
          <w:u w:val="single"/>
        </w:rPr>
        <w:t xml:space="preserve"> </w:t>
      </w:r>
      <w:r w:rsidRPr="00357A26">
        <w:rPr>
          <w:b/>
          <w:bCs/>
          <w:u w:val="single"/>
        </w:rPr>
        <w:t>sede di legittimità</w:t>
      </w:r>
      <w:r w:rsidR="008E7828" w:rsidRPr="00357A26">
        <w:rPr>
          <w:b/>
          <w:bCs/>
          <w:u w:val="single"/>
        </w:rPr>
        <w:t xml:space="preserve"> </w:t>
      </w:r>
      <w:r w:rsidR="007D22BC">
        <w:t xml:space="preserve">dalle </w:t>
      </w:r>
      <w:r w:rsidR="007D22BC" w:rsidRPr="00CC6FD0">
        <w:rPr>
          <w:b/>
          <w:bCs/>
        </w:rPr>
        <w:t>Sezioni Unite</w:t>
      </w:r>
      <w:r w:rsidR="007D22BC" w:rsidRPr="007D22BC">
        <w:rPr>
          <w:u w:val="single"/>
        </w:rPr>
        <w:t xml:space="preserve"> </w:t>
      </w:r>
      <w:r w:rsidR="008E7828" w:rsidRPr="007D22BC">
        <w:rPr>
          <w:u w:val="single"/>
        </w:rPr>
        <w:t xml:space="preserve">che </w:t>
      </w:r>
      <w:r w:rsidR="008E7828" w:rsidRPr="00CC6FD0">
        <w:rPr>
          <w:b/>
          <w:bCs/>
          <w:u w:val="single"/>
        </w:rPr>
        <w:t>ha</w:t>
      </w:r>
      <w:r w:rsidR="00CC6FD0" w:rsidRPr="00CC6FD0">
        <w:rPr>
          <w:b/>
          <w:bCs/>
          <w:u w:val="single"/>
        </w:rPr>
        <w:t>nno</w:t>
      </w:r>
      <w:r w:rsidR="008E7828" w:rsidRPr="00CC6FD0">
        <w:rPr>
          <w:b/>
          <w:bCs/>
          <w:u w:val="single"/>
        </w:rPr>
        <w:t xml:space="preserve"> ben </w:t>
      </w:r>
      <w:r w:rsidR="007D22BC" w:rsidRPr="00CC6FD0">
        <w:rPr>
          <w:b/>
          <w:bCs/>
          <w:u w:val="single"/>
        </w:rPr>
        <w:t xml:space="preserve">chiarito </w:t>
      </w:r>
      <w:r w:rsidR="008E7828" w:rsidRPr="00CC6FD0">
        <w:rPr>
          <w:b/>
          <w:bCs/>
          <w:u w:val="single"/>
        </w:rPr>
        <w:t>che</w:t>
      </w:r>
      <w:r w:rsidR="008E7828" w:rsidRPr="007D22BC">
        <w:rPr>
          <w:u w:val="single"/>
        </w:rPr>
        <w:t xml:space="preserve"> </w:t>
      </w:r>
      <w:proofErr w:type="gramStart"/>
      <w:r w:rsidR="0052067E" w:rsidRPr="007D22BC">
        <w:rPr>
          <w:u w:val="single"/>
        </w:rPr>
        <w:t>“</w:t>
      </w:r>
      <w:r w:rsidR="008E7828" w:rsidRPr="007D22BC">
        <w:rPr>
          <w:i/>
          <w:iCs/>
          <w:u w:val="single"/>
        </w:rPr>
        <w:t>….</w:t>
      </w:r>
      <w:proofErr w:type="gramEnd"/>
      <w:r w:rsidR="008E7828" w:rsidRPr="007D22BC">
        <w:rPr>
          <w:i/>
          <w:iCs/>
          <w:u w:val="single"/>
        </w:rPr>
        <w:t>.</w:t>
      </w:r>
      <w:r w:rsidR="0052067E" w:rsidRPr="007D22BC">
        <w:rPr>
          <w:i/>
          <w:iCs/>
          <w:u w:val="single"/>
        </w:rPr>
        <w:t xml:space="preserve"> </w:t>
      </w:r>
      <w:r w:rsidR="008E7828" w:rsidRPr="007D22BC">
        <w:rPr>
          <w:i/>
          <w:iCs/>
          <w:u w:val="single"/>
        </w:rPr>
        <w:t>il rilascio dell'autorizzazione e della concessione - neppure sempre</w:t>
      </w:r>
      <w:r w:rsidR="0052067E" w:rsidRPr="007D22BC">
        <w:rPr>
          <w:i/>
          <w:iCs/>
          <w:u w:val="single"/>
        </w:rPr>
        <w:t xml:space="preserve"> </w:t>
      </w:r>
      <w:r w:rsidR="008E7828" w:rsidRPr="007D22BC">
        <w:rPr>
          <w:i/>
          <w:iCs/>
          <w:u w:val="single"/>
        </w:rPr>
        <w:t>presente per la generalità degli obbligati - non è qualificabile come corrispettivo contrattuale a carico</w:t>
      </w:r>
      <w:r w:rsidR="0052067E" w:rsidRPr="007D22BC">
        <w:rPr>
          <w:i/>
          <w:iCs/>
          <w:u w:val="single"/>
        </w:rPr>
        <w:t xml:space="preserve"> </w:t>
      </w:r>
      <w:r w:rsidR="008E7828" w:rsidRPr="007D22BC">
        <w:rPr>
          <w:i/>
          <w:iCs/>
          <w:u w:val="single"/>
        </w:rPr>
        <w:t>dell'ente locale. Pertanto, anche per l'occupazione di beni pubblici non sussiste un rapporto</w:t>
      </w:r>
      <w:r w:rsidR="0052067E" w:rsidRPr="007D22BC">
        <w:rPr>
          <w:i/>
          <w:iCs/>
          <w:u w:val="single"/>
        </w:rPr>
        <w:t xml:space="preserve"> </w:t>
      </w:r>
      <w:r w:rsidR="008E7828" w:rsidRPr="007D22BC">
        <w:rPr>
          <w:i/>
          <w:iCs/>
          <w:u w:val="single"/>
        </w:rPr>
        <w:t>sinallagmatico tra provvedimento dell'ente e pagamento del canone: la concessione rileva ai soli fini</w:t>
      </w:r>
      <w:r w:rsidR="0052067E" w:rsidRPr="007D22BC">
        <w:rPr>
          <w:i/>
          <w:iCs/>
          <w:u w:val="single"/>
        </w:rPr>
        <w:t xml:space="preserve"> </w:t>
      </w:r>
      <w:r w:rsidR="008E7828" w:rsidRPr="007D22BC">
        <w:rPr>
          <w:i/>
          <w:iCs/>
          <w:u w:val="single"/>
        </w:rPr>
        <w:t>procedimentali in quanto scandisce la tempistica del pagamento delle somme dovute, ma non</w:t>
      </w:r>
      <w:r w:rsidR="0052067E" w:rsidRPr="007D22BC">
        <w:rPr>
          <w:i/>
          <w:iCs/>
          <w:u w:val="single"/>
        </w:rPr>
        <w:t xml:space="preserve"> </w:t>
      </w:r>
      <w:r w:rsidR="008E7828" w:rsidRPr="007D22BC">
        <w:rPr>
          <w:i/>
          <w:iCs/>
          <w:u w:val="single"/>
        </w:rPr>
        <w:t xml:space="preserve">condiziona l'insorgere dell'obbligo, obbligo che sussiste anche in caso di occupazione abusiva </w:t>
      </w:r>
      <w:proofErr w:type="spellStart"/>
      <w:proofErr w:type="gramStart"/>
      <w:r w:rsidR="008E7828" w:rsidRPr="007D22BC">
        <w:rPr>
          <w:i/>
          <w:iCs/>
          <w:u w:val="single"/>
        </w:rPr>
        <w:t>e,comunque</w:t>
      </w:r>
      <w:proofErr w:type="spellEnd"/>
      <w:proofErr w:type="gramEnd"/>
      <w:r w:rsidR="008E7828" w:rsidRPr="007D22BC">
        <w:rPr>
          <w:i/>
          <w:iCs/>
          <w:u w:val="single"/>
        </w:rPr>
        <w:t>, prescinde dal rilascio del titolo.</w:t>
      </w:r>
    </w:p>
    <w:p w14:paraId="3F8066BF" w14:textId="0D40A615" w:rsidR="00075369" w:rsidRPr="007D22BC" w:rsidRDefault="0052067E" w:rsidP="0052067E">
      <w:pPr>
        <w:spacing w:line="360" w:lineRule="auto"/>
        <w:ind w:firstLine="567"/>
        <w:jc w:val="both"/>
        <w:rPr>
          <w:u w:val="single"/>
        </w:rPr>
      </w:pPr>
      <w:r w:rsidRPr="007D22BC">
        <w:rPr>
          <w:u w:val="single"/>
        </w:rPr>
        <w:t>Per poi proseguire</w:t>
      </w:r>
      <w:r w:rsidRPr="007D22BC">
        <w:rPr>
          <w:i/>
          <w:iCs/>
          <w:u w:val="single"/>
        </w:rPr>
        <w:t xml:space="preserve"> “… i</w:t>
      </w:r>
      <w:r w:rsidR="008E7828" w:rsidRPr="007D22BC">
        <w:rPr>
          <w:i/>
          <w:iCs/>
          <w:u w:val="single"/>
        </w:rPr>
        <w:t>l Cup viene pagato in ragione dell’utilità che il privato ritrae dall’occupazione e non per il rilascio di un provvedimento concessorio. La</w:t>
      </w:r>
      <w:r w:rsidRPr="007D22BC">
        <w:rPr>
          <w:i/>
          <w:iCs/>
          <w:u w:val="single"/>
        </w:rPr>
        <w:t xml:space="preserve"> </w:t>
      </w:r>
      <w:r w:rsidR="008E7828" w:rsidRPr="007D22BC">
        <w:rPr>
          <w:i/>
          <w:iCs/>
          <w:u w:val="single"/>
        </w:rPr>
        <w:t>disciplina non richiede più il rilascio della concessione ed eleva a soggetti obbligati anche coloro che</w:t>
      </w:r>
      <w:r w:rsidRPr="007D22BC">
        <w:rPr>
          <w:i/>
          <w:iCs/>
          <w:u w:val="single"/>
        </w:rPr>
        <w:t xml:space="preserve"> </w:t>
      </w:r>
      <w:r w:rsidR="008E7828" w:rsidRPr="007D22BC">
        <w:rPr>
          <w:i/>
          <w:iCs/>
          <w:u w:val="single"/>
        </w:rPr>
        <w:t>occupano il bene in via solo mediata (comma 831) sicché il presupposto si realizza non più con il (solo)</w:t>
      </w:r>
      <w:r w:rsidRPr="007D22BC">
        <w:rPr>
          <w:i/>
          <w:iCs/>
          <w:u w:val="single"/>
        </w:rPr>
        <w:t xml:space="preserve"> </w:t>
      </w:r>
      <w:r w:rsidR="008E7828" w:rsidRPr="007D22BC">
        <w:rPr>
          <w:i/>
          <w:iCs/>
          <w:u w:val="single"/>
        </w:rPr>
        <w:t>soggetto titolare del provvedimento di concessione ma anche rispetto a terzi utilizzatori dell’impianto”</w:t>
      </w:r>
      <w:r w:rsidR="008E7828" w:rsidRPr="007D22BC">
        <w:rPr>
          <w:u w:val="single"/>
        </w:rPr>
        <w:t xml:space="preserve"> </w:t>
      </w:r>
      <w:r w:rsidR="008E7828" w:rsidRPr="007D22BC">
        <w:rPr>
          <w:b/>
          <w:bCs/>
          <w:u w:val="single"/>
        </w:rPr>
        <w:t>(cfr. Cassazione Sez. Unit</w:t>
      </w:r>
      <w:r w:rsidRPr="007D22BC">
        <w:rPr>
          <w:b/>
          <w:bCs/>
          <w:u w:val="single"/>
        </w:rPr>
        <w:t>e</w:t>
      </w:r>
      <w:r w:rsidR="008E7828" w:rsidRPr="007D22BC">
        <w:rPr>
          <w:b/>
          <w:bCs/>
          <w:u w:val="single"/>
        </w:rPr>
        <w:t xml:space="preserve"> n.12225/2006 del 01.05.2026</w:t>
      </w:r>
      <w:r w:rsidR="00357A26">
        <w:rPr>
          <w:b/>
          <w:bCs/>
          <w:u w:val="single"/>
        </w:rPr>
        <w:t xml:space="preserve"> (doc. 17)</w:t>
      </w:r>
      <w:r w:rsidR="00526140" w:rsidRPr="007D22BC">
        <w:rPr>
          <w:u w:val="single"/>
        </w:rPr>
        <w:t>.</w:t>
      </w:r>
      <w:r w:rsidR="00C357E6" w:rsidRPr="007D22BC">
        <w:rPr>
          <w:u w:val="single"/>
        </w:rPr>
        <w:t xml:space="preserve"> </w:t>
      </w:r>
    </w:p>
    <w:p w14:paraId="533C921F" w14:textId="77777777" w:rsidR="00C357E6" w:rsidRDefault="009C754A" w:rsidP="00864A21">
      <w:pPr>
        <w:spacing w:line="360" w:lineRule="auto"/>
        <w:ind w:firstLine="567"/>
        <w:jc w:val="both"/>
      </w:pPr>
      <w:r w:rsidRPr="009C754A">
        <w:t xml:space="preserve">Quanto, infine, alla determinazione del canone, il ricorso alla stima induttiva costituisce diretta ed inevitabile conseguenza del comportamento omissivo della società, la quale, a fronte della richiesta trasmessa a mezzo PEC il 7 gennaio 2026, non ha comunicato alcun dato sulle utenze attive nel Comune di Montefalco; il canone è stato peraltro liquidato nella sola misura minima di legge. </w:t>
      </w:r>
    </w:p>
    <w:p w14:paraId="05F1BD9C" w14:textId="0EB86663" w:rsidR="009C754A" w:rsidRDefault="009C754A" w:rsidP="00864A21">
      <w:pPr>
        <w:spacing w:line="360" w:lineRule="auto"/>
        <w:ind w:firstLine="567"/>
        <w:jc w:val="both"/>
      </w:pPr>
      <w:r w:rsidRPr="009C754A">
        <w:t>Spetta dunque alla Ricorrente, che con la propria inadempienza ha reso necessario il ricorso a tale metodo, fornire la prova contraria, dimostrando documentalmente il numero esatto delle utenze servite nel Comune di Montefalco per gli anni 2021-2025.</w:t>
      </w:r>
    </w:p>
    <w:p w14:paraId="6459D54C" w14:textId="436ACF3E" w:rsidR="00075369" w:rsidRDefault="00297AFD" w:rsidP="00864A21">
      <w:pPr>
        <w:spacing w:line="360" w:lineRule="auto"/>
        <w:ind w:firstLine="567"/>
        <w:jc w:val="both"/>
      </w:pPr>
      <w:r>
        <w:rPr>
          <w:b/>
          <w:bCs/>
        </w:rPr>
        <w:t>Il ricorso è infondato e va rigettato.</w:t>
      </w:r>
    </w:p>
    <w:p w14:paraId="6558B8BF" w14:textId="77777777" w:rsidR="00075369" w:rsidRDefault="00206426" w:rsidP="00864A21">
      <w:pPr>
        <w:spacing w:before="120" w:after="120" w:line="360" w:lineRule="auto"/>
        <w:jc w:val="center"/>
      </w:pPr>
      <w:r>
        <w:lastRenderedPageBreak/>
        <w:t>* * *</w:t>
      </w:r>
    </w:p>
    <w:p w14:paraId="17B4660F" w14:textId="77777777" w:rsidR="00075369" w:rsidRDefault="00206426" w:rsidP="00864A21">
      <w:pPr>
        <w:spacing w:line="360" w:lineRule="auto"/>
        <w:ind w:firstLine="567"/>
        <w:jc w:val="both"/>
      </w:pPr>
      <w:r>
        <w:t>Per tutto quanto sopra esposto, il Comune di Montefalco, in persona del Sindaco e legale rappresentante pro tempore, come in epigrafe rappresentato e domiciliato, con espressa riserva di ogni integrazione, anche istruttoria, che dovesse rendersi necessaria,</w:t>
      </w:r>
    </w:p>
    <w:p w14:paraId="7EBC0BC9" w14:textId="77777777" w:rsidR="00075369" w:rsidRDefault="00206426" w:rsidP="00864A21">
      <w:pPr>
        <w:spacing w:before="60" w:after="60" w:line="360" w:lineRule="auto"/>
        <w:jc w:val="center"/>
      </w:pPr>
      <w:r>
        <w:rPr>
          <w:b/>
          <w:bCs/>
        </w:rPr>
        <w:t>conclude</w:t>
      </w:r>
    </w:p>
    <w:p w14:paraId="0F1D2305" w14:textId="77777777" w:rsidR="00075369" w:rsidRDefault="00206426" w:rsidP="00864A21">
      <w:pPr>
        <w:spacing w:line="360" w:lineRule="auto"/>
        <w:ind w:firstLine="567"/>
        <w:jc w:val="both"/>
      </w:pPr>
      <w:r>
        <w:t>affinché l’Ill.ma Corte di Giustizia Tributaria di Primo Grado di Perugia, disattesa ogni contraria istanza ed eccezione, voglia:</w:t>
      </w:r>
    </w:p>
    <w:p w14:paraId="6BD53A2D" w14:textId="77777777" w:rsidR="00075369" w:rsidRDefault="00206426" w:rsidP="00864A21">
      <w:pPr>
        <w:spacing w:line="360" w:lineRule="auto"/>
        <w:ind w:firstLine="567"/>
        <w:jc w:val="both"/>
      </w:pPr>
      <w:r>
        <w:t xml:space="preserve">Accertare e dichiarare la legittimità e fondatezza dell’Avviso di Accertamento Esecutivo n. 6 del 16.03.2026 emesso dal Comune di Montefalco nei confronti di FASTWEB S.p.A. quale incorporante di Vodafone Italia S.p.A. e, per l’effetto, </w:t>
      </w:r>
      <w:r>
        <w:rPr>
          <w:b/>
          <w:bCs/>
        </w:rPr>
        <w:t>rigettare il ricorso proposto</w:t>
      </w:r>
      <w:r>
        <w:t>, confermando la debenza dell’importo complessivo di euro 6.245,00, con ogni conseguenziale statuizione di legge.</w:t>
      </w:r>
    </w:p>
    <w:p w14:paraId="6E25B580" w14:textId="77777777" w:rsidR="00075369" w:rsidRDefault="00206426" w:rsidP="00864A21">
      <w:pPr>
        <w:spacing w:line="360" w:lineRule="auto"/>
        <w:ind w:firstLine="567"/>
        <w:jc w:val="both"/>
      </w:pPr>
      <w:r>
        <w:t xml:space="preserve">In via gradata, rideterminare il Canone e la sanzione nella misura che risulterà a seguito dell’eventuale fase istruttoria sulla base delle prove offerte da FASTWEB </w:t>
      </w:r>
      <w:proofErr w:type="gramStart"/>
      <w:r>
        <w:t>S.p.A..</w:t>
      </w:r>
      <w:proofErr w:type="gramEnd"/>
    </w:p>
    <w:p w14:paraId="37B0D195" w14:textId="77777777" w:rsidR="00075369" w:rsidRDefault="00206426" w:rsidP="00864A21">
      <w:pPr>
        <w:spacing w:line="360" w:lineRule="auto"/>
        <w:ind w:firstLine="567"/>
        <w:jc w:val="both"/>
      </w:pPr>
      <w:r>
        <w:t>Con vittoria di spese e competenze di giudizio.</w:t>
      </w:r>
    </w:p>
    <w:p w14:paraId="0D011B4B" w14:textId="77777777" w:rsidR="008E7828" w:rsidRDefault="008E7828" w:rsidP="008E7828">
      <w:pPr>
        <w:spacing w:line="360" w:lineRule="auto"/>
        <w:ind w:firstLine="708"/>
        <w:jc w:val="both"/>
        <w:rPr>
          <w:b/>
          <w:bCs/>
        </w:rPr>
      </w:pPr>
      <w:r>
        <w:rPr>
          <w:b/>
          <w:bCs/>
        </w:rPr>
        <w:t>Si chiede di essere autorizzati alla trattazione della controversia con collegamento da remoto.</w:t>
      </w:r>
    </w:p>
    <w:p w14:paraId="23C01BC5" w14:textId="2E4EE98C" w:rsidR="00740A4B" w:rsidRPr="00741779" w:rsidRDefault="00206426" w:rsidP="00741779">
      <w:pPr>
        <w:spacing w:before="120" w:after="120" w:line="360" w:lineRule="auto"/>
        <w:jc w:val="center"/>
      </w:pPr>
      <w:r>
        <w:t>* * *</w:t>
      </w:r>
    </w:p>
    <w:p w14:paraId="13738A85" w14:textId="1BF62112" w:rsidR="00075369" w:rsidRDefault="00206426" w:rsidP="00864A21">
      <w:pPr>
        <w:spacing w:after="60" w:line="360" w:lineRule="auto"/>
        <w:jc w:val="both"/>
      </w:pPr>
      <w:r>
        <w:rPr>
          <w:b/>
          <w:bCs/>
        </w:rPr>
        <w:t>Si produce:</w:t>
      </w:r>
    </w:p>
    <w:p w14:paraId="5295D5A0" w14:textId="77777777" w:rsidR="00075369" w:rsidRDefault="00206426" w:rsidP="00864A21">
      <w:pPr>
        <w:spacing w:line="360" w:lineRule="auto"/>
        <w:jc w:val="both"/>
      </w:pPr>
      <w:r>
        <w:rPr>
          <w:b/>
          <w:bCs/>
        </w:rPr>
        <w:t xml:space="preserve">Doc. A – </w:t>
      </w:r>
      <w:r>
        <w:t>Ricorso di FASTWEB S.p.A., quale incorporante di Vodafone Italia S.p.A. (atto introduttivo del giudizio)</w:t>
      </w:r>
    </w:p>
    <w:p w14:paraId="593135A3" w14:textId="77777777" w:rsidR="00075369" w:rsidRDefault="00206426" w:rsidP="00864A21">
      <w:pPr>
        <w:spacing w:line="360" w:lineRule="auto"/>
        <w:jc w:val="both"/>
      </w:pPr>
      <w:r>
        <w:rPr>
          <w:b/>
          <w:bCs/>
        </w:rPr>
        <w:t xml:space="preserve">Doc. B – </w:t>
      </w:r>
      <w:r>
        <w:t>Delibera di Costituzione in giudizio del Comune di Montefalco</w:t>
      </w:r>
    </w:p>
    <w:p w14:paraId="4FE3983D" w14:textId="77777777" w:rsidR="00075369" w:rsidRDefault="00206426" w:rsidP="00864A21">
      <w:pPr>
        <w:spacing w:line="360" w:lineRule="auto"/>
        <w:jc w:val="both"/>
      </w:pPr>
      <w:r>
        <w:rPr>
          <w:b/>
          <w:bCs/>
        </w:rPr>
        <w:t xml:space="preserve">Doc. 1 – </w:t>
      </w:r>
      <w:r>
        <w:t xml:space="preserve">Regolamento CUP (Delibera C.C. n. 5 del 30.03.2021, </w:t>
      </w:r>
      <w:proofErr w:type="spellStart"/>
      <w:r>
        <w:t>modif</w:t>
      </w:r>
      <w:proofErr w:type="spellEnd"/>
      <w:r>
        <w:t>. con Delibera C.C. n. 5 del 12.02.2025)</w:t>
      </w:r>
    </w:p>
    <w:p w14:paraId="695436D2" w14:textId="6E00C16A" w:rsidR="00075369" w:rsidRDefault="00206426" w:rsidP="00864A21">
      <w:pPr>
        <w:spacing w:line="360" w:lineRule="auto"/>
        <w:jc w:val="both"/>
      </w:pPr>
      <w:r>
        <w:rPr>
          <w:b/>
          <w:bCs/>
        </w:rPr>
        <w:t xml:space="preserve">Doc. 2 – </w:t>
      </w:r>
      <w:r>
        <w:t xml:space="preserve">Determinazione di affidamento servizio </w:t>
      </w:r>
      <w:r w:rsidR="00740A4B">
        <w:t xml:space="preserve">di supporto ad </w:t>
      </w:r>
      <w:r>
        <w:t>Archivia Solution S.p.A. n. 370 del 27.10.2025</w:t>
      </w:r>
    </w:p>
    <w:p w14:paraId="5EC80E3F" w14:textId="77777777" w:rsidR="00075369" w:rsidRDefault="00206426" w:rsidP="00864A21">
      <w:pPr>
        <w:spacing w:line="360" w:lineRule="auto"/>
        <w:jc w:val="both"/>
      </w:pPr>
      <w:r>
        <w:rPr>
          <w:b/>
          <w:bCs/>
        </w:rPr>
        <w:t xml:space="preserve">Doc. 3 – </w:t>
      </w:r>
      <w:r>
        <w:t>Richiesta di dichiarazione utenze del 7 gennaio 2026 (Archivia Solution S.p.A.), con ricevute di accettazione e consegna PEC</w:t>
      </w:r>
    </w:p>
    <w:p w14:paraId="3BD77FAC" w14:textId="77777777" w:rsidR="00075369" w:rsidRDefault="00206426" w:rsidP="00864A21">
      <w:pPr>
        <w:spacing w:line="360" w:lineRule="auto"/>
        <w:jc w:val="both"/>
      </w:pPr>
      <w:r>
        <w:rPr>
          <w:b/>
          <w:bCs/>
        </w:rPr>
        <w:t xml:space="preserve">Doc. 4 – </w:t>
      </w:r>
      <w:r>
        <w:t>Avviso di Accertamento Esecutivo n. 6 del 16.03.2026</w:t>
      </w:r>
    </w:p>
    <w:p w14:paraId="5549BBD4" w14:textId="77777777" w:rsidR="00075369" w:rsidRDefault="00206426" w:rsidP="00864A21">
      <w:pPr>
        <w:spacing w:line="360" w:lineRule="auto"/>
        <w:jc w:val="both"/>
      </w:pPr>
      <w:r>
        <w:rPr>
          <w:b/>
          <w:bCs/>
        </w:rPr>
        <w:t xml:space="preserve">Doc. 5 – </w:t>
      </w:r>
      <w:r>
        <w:t>Dati dell’Osservatorio sulle Comunicazioni AGCOM</w:t>
      </w:r>
    </w:p>
    <w:p w14:paraId="08B7A5C3" w14:textId="77777777" w:rsidR="00075369" w:rsidRDefault="00206426" w:rsidP="00864A21">
      <w:pPr>
        <w:spacing w:line="360" w:lineRule="auto"/>
        <w:jc w:val="both"/>
      </w:pPr>
      <w:r>
        <w:rPr>
          <w:b/>
          <w:bCs/>
        </w:rPr>
        <w:lastRenderedPageBreak/>
        <w:t xml:space="preserve">Doc. 6 – </w:t>
      </w:r>
      <w:r>
        <w:t>Corte di Cassazione, Sez. III Civile, sentenza n. 11479 del 28.04.2026</w:t>
      </w:r>
    </w:p>
    <w:p w14:paraId="085ED2FB" w14:textId="77777777" w:rsidR="00075369" w:rsidRDefault="00206426" w:rsidP="00864A21">
      <w:pPr>
        <w:spacing w:line="360" w:lineRule="auto"/>
        <w:jc w:val="both"/>
      </w:pPr>
      <w:r>
        <w:rPr>
          <w:b/>
          <w:bCs/>
        </w:rPr>
        <w:t xml:space="preserve">Doc. 7 – </w:t>
      </w:r>
      <w:r>
        <w:t>Circolare MEF n. 1/DF del 20.01.2009</w:t>
      </w:r>
    </w:p>
    <w:p w14:paraId="38D08FF2" w14:textId="77777777" w:rsidR="00075369" w:rsidRDefault="00206426" w:rsidP="00864A21">
      <w:pPr>
        <w:spacing w:line="360" w:lineRule="auto"/>
        <w:jc w:val="both"/>
      </w:pPr>
      <w:r>
        <w:rPr>
          <w:b/>
          <w:bCs/>
        </w:rPr>
        <w:t xml:space="preserve">Doc. 8 – </w:t>
      </w:r>
      <w:r>
        <w:t>Tribunale di Bergamo, sentenza n. 1523 del 25.11.2025</w:t>
      </w:r>
    </w:p>
    <w:p w14:paraId="342F0990" w14:textId="77777777" w:rsidR="00075369" w:rsidRDefault="00206426" w:rsidP="00864A21">
      <w:pPr>
        <w:spacing w:line="360" w:lineRule="auto"/>
        <w:jc w:val="both"/>
      </w:pPr>
      <w:r>
        <w:rPr>
          <w:b/>
          <w:bCs/>
        </w:rPr>
        <w:t xml:space="preserve">Doc. 9 – </w:t>
      </w:r>
      <w:r>
        <w:t>Tribunale di Bergamo, sentenza n. 289 del 21.03.2026</w:t>
      </w:r>
    </w:p>
    <w:p w14:paraId="0B8E9A34" w14:textId="77777777" w:rsidR="00075369" w:rsidRDefault="00206426" w:rsidP="00864A21">
      <w:pPr>
        <w:spacing w:line="360" w:lineRule="auto"/>
        <w:jc w:val="both"/>
      </w:pPr>
      <w:r>
        <w:rPr>
          <w:b/>
          <w:bCs/>
        </w:rPr>
        <w:t xml:space="preserve">Doc. 10 – </w:t>
      </w:r>
      <w:r>
        <w:t>Tribunale di Napoli, sentenza n. 5948 del 13.04.2026</w:t>
      </w:r>
    </w:p>
    <w:p w14:paraId="78BE7BE7" w14:textId="77777777" w:rsidR="00075369" w:rsidRDefault="00206426" w:rsidP="00864A21">
      <w:pPr>
        <w:spacing w:line="360" w:lineRule="auto"/>
        <w:jc w:val="both"/>
      </w:pPr>
      <w:r>
        <w:rPr>
          <w:b/>
          <w:bCs/>
        </w:rPr>
        <w:t xml:space="preserve">Doc. 11 – </w:t>
      </w:r>
      <w:r>
        <w:t>Tribunale di Treviso, sentenza n. 240/2025 del 20.02.2025 – appello</w:t>
      </w:r>
    </w:p>
    <w:p w14:paraId="3EA443E8" w14:textId="77777777" w:rsidR="00075369" w:rsidRDefault="00206426" w:rsidP="00864A21">
      <w:pPr>
        <w:spacing w:line="360" w:lineRule="auto"/>
        <w:jc w:val="both"/>
      </w:pPr>
      <w:r>
        <w:rPr>
          <w:b/>
          <w:bCs/>
        </w:rPr>
        <w:t xml:space="preserve">Doc. 12 – </w:t>
      </w:r>
      <w:r>
        <w:t>Tribunale di Piacenza, sentenza n. 207 del 06.05.2025</w:t>
      </w:r>
    </w:p>
    <w:p w14:paraId="3ECDDFD7" w14:textId="77777777" w:rsidR="00075369" w:rsidRDefault="00206426" w:rsidP="00864A21">
      <w:pPr>
        <w:spacing w:line="360" w:lineRule="auto"/>
        <w:jc w:val="both"/>
      </w:pPr>
      <w:r>
        <w:rPr>
          <w:b/>
          <w:bCs/>
        </w:rPr>
        <w:t xml:space="preserve">Doc. 13 – </w:t>
      </w:r>
      <w:r>
        <w:t>Tribunale di Piacenza – II grado, sentenza n. 350 del 16.07.2025 (R.G. 1562/2024)</w:t>
      </w:r>
    </w:p>
    <w:p w14:paraId="7B111CA9" w14:textId="77777777" w:rsidR="00075369" w:rsidRDefault="00206426" w:rsidP="00864A21">
      <w:pPr>
        <w:spacing w:line="360" w:lineRule="auto"/>
        <w:jc w:val="both"/>
      </w:pPr>
      <w:r>
        <w:rPr>
          <w:b/>
          <w:bCs/>
        </w:rPr>
        <w:t xml:space="preserve">Doc. 14 – </w:t>
      </w:r>
      <w:r>
        <w:t>Tribunale di Ivrea – II grado, sentenza n. 1255 del 29.09.2025</w:t>
      </w:r>
    </w:p>
    <w:p w14:paraId="5A856C44" w14:textId="77777777" w:rsidR="00075369" w:rsidRDefault="00206426" w:rsidP="00864A21">
      <w:pPr>
        <w:spacing w:line="360" w:lineRule="auto"/>
        <w:jc w:val="both"/>
      </w:pPr>
      <w:r>
        <w:rPr>
          <w:b/>
          <w:bCs/>
        </w:rPr>
        <w:t xml:space="preserve">Doc. 15 – </w:t>
      </w:r>
      <w:r>
        <w:t>Tribunale di Bolzano, sentenza n. 431 del 08.04.2024</w:t>
      </w:r>
    </w:p>
    <w:p w14:paraId="4B9743B2" w14:textId="24928886" w:rsidR="00075369" w:rsidRDefault="00206426" w:rsidP="00864A21">
      <w:pPr>
        <w:spacing w:line="360" w:lineRule="auto"/>
        <w:jc w:val="both"/>
      </w:pPr>
      <w:r>
        <w:rPr>
          <w:b/>
          <w:bCs/>
        </w:rPr>
        <w:t xml:space="preserve">Doc. 16 – </w:t>
      </w:r>
      <w:r>
        <w:t>Tribunale di Bolzano, sentenza n. 908/2025 del 15.10.2025</w:t>
      </w:r>
    </w:p>
    <w:p w14:paraId="6F3A2CD6" w14:textId="77777777" w:rsidR="00741779" w:rsidRDefault="00741779" w:rsidP="001D1043">
      <w:pPr>
        <w:spacing w:before="200" w:line="360" w:lineRule="auto"/>
        <w:jc w:val="both"/>
      </w:pPr>
    </w:p>
    <w:p w14:paraId="58F0D72A" w14:textId="24626E9C" w:rsidR="00075369" w:rsidRDefault="00206426" w:rsidP="001D1043">
      <w:pPr>
        <w:spacing w:before="200" w:line="360" w:lineRule="auto"/>
        <w:jc w:val="both"/>
      </w:pPr>
      <w:r>
        <w:t>Montefalco – Salerno, lì ___________</w:t>
      </w:r>
      <w:r w:rsidR="001D1043">
        <w:t xml:space="preserve">.  </w:t>
      </w:r>
      <w:r>
        <w:rPr>
          <w:b/>
          <w:bCs/>
        </w:rPr>
        <w:t>Avv. Maria Voccia De Felice</w:t>
      </w:r>
    </w:p>
    <w:sectPr w:rsidR="00075369">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F1A830" w14:textId="77777777" w:rsidR="003D3B10" w:rsidRDefault="003D3B10" w:rsidP="005F0EC3">
      <w:r>
        <w:separator/>
      </w:r>
    </w:p>
  </w:endnote>
  <w:endnote w:type="continuationSeparator" w:id="0">
    <w:p w14:paraId="4076629E" w14:textId="77777777" w:rsidR="003D3B10" w:rsidRDefault="003D3B10" w:rsidP="005F0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01415682"/>
      <w:docPartObj>
        <w:docPartGallery w:val="Page Numbers (Bottom of Page)"/>
        <w:docPartUnique/>
      </w:docPartObj>
    </w:sdtPr>
    <w:sdtContent>
      <w:p w14:paraId="00A0E174" w14:textId="2A3F397B" w:rsidR="005F0EC3" w:rsidRDefault="005F0EC3">
        <w:pPr>
          <w:pStyle w:val="Pidipagina"/>
          <w:jc w:val="center"/>
        </w:pPr>
        <w:r>
          <w:fldChar w:fldCharType="begin"/>
        </w:r>
        <w:r>
          <w:instrText>PAGE   \* MERGEFORMAT</w:instrText>
        </w:r>
        <w:r>
          <w:fldChar w:fldCharType="separate"/>
        </w:r>
        <w:r>
          <w:t>2</w:t>
        </w:r>
        <w:r>
          <w:fldChar w:fldCharType="end"/>
        </w:r>
      </w:p>
    </w:sdtContent>
  </w:sdt>
  <w:p w14:paraId="50775A7D" w14:textId="77777777" w:rsidR="005F0EC3" w:rsidRDefault="005F0EC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BFD699" w14:textId="77777777" w:rsidR="003D3B10" w:rsidRDefault="003D3B10" w:rsidP="005F0EC3">
      <w:r>
        <w:separator/>
      </w:r>
    </w:p>
  </w:footnote>
  <w:footnote w:type="continuationSeparator" w:id="0">
    <w:p w14:paraId="6C745B37" w14:textId="77777777" w:rsidR="003D3B10" w:rsidRDefault="003D3B10" w:rsidP="005F0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4D1D049B"/>
    <w:multiLevelType w:val="hybridMultilevel"/>
    <w:tmpl w:val="DA8237EC"/>
    <w:lvl w:ilvl="0" w:tplc="AE9625A0">
      <w:start w:val="1"/>
      <w:numFmt w:val="bullet"/>
      <w:lvlText w:val="●"/>
      <w:lvlJc w:val="left"/>
      <w:pPr>
        <w:ind w:left="720" w:hanging="360"/>
      </w:pPr>
    </w:lvl>
    <w:lvl w:ilvl="1" w:tplc="B4662E0E">
      <w:start w:val="1"/>
      <w:numFmt w:val="bullet"/>
      <w:lvlText w:val="○"/>
      <w:lvlJc w:val="left"/>
      <w:pPr>
        <w:ind w:left="1440" w:hanging="360"/>
      </w:pPr>
    </w:lvl>
    <w:lvl w:ilvl="2" w:tplc="321A6130">
      <w:start w:val="1"/>
      <w:numFmt w:val="bullet"/>
      <w:lvlText w:val="■"/>
      <w:lvlJc w:val="left"/>
      <w:pPr>
        <w:ind w:left="2160" w:hanging="360"/>
      </w:pPr>
    </w:lvl>
    <w:lvl w:ilvl="3" w:tplc="03F89F0E">
      <w:start w:val="1"/>
      <w:numFmt w:val="bullet"/>
      <w:lvlText w:val="●"/>
      <w:lvlJc w:val="left"/>
      <w:pPr>
        <w:ind w:left="2880" w:hanging="360"/>
      </w:pPr>
    </w:lvl>
    <w:lvl w:ilvl="4" w:tplc="80248D32">
      <w:start w:val="1"/>
      <w:numFmt w:val="bullet"/>
      <w:lvlText w:val="○"/>
      <w:lvlJc w:val="left"/>
      <w:pPr>
        <w:ind w:left="3600" w:hanging="360"/>
      </w:pPr>
    </w:lvl>
    <w:lvl w:ilvl="5" w:tplc="386E3024">
      <w:start w:val="1"/>
      <w:numFmt w:val="bullet"/>
      <w:lvlText w:val="■"/>
      <w:lvlJc w:val="left"/>
      <w:pPr>
        <w:ind w:left="4320" w:hanging="360"/>
      </w:pPr>
    </w:lvl>
    <w:lvl w:ilvl="6" w:tplc="248461F8">
      <w:start w:val="1"/>
      <w:numFmt w:val="bullet"/>
      <w:lvlText w:val="●"/>
      <w:lvlJc w:val="left"/>
      <w:pPr>
        <w:ind w:left="5040" w:hanging="360"/>
      </w:pPr>
    </w:lvl>
    <w:lvl w:ilvl="7" w:tplc="C6683E92">
      <w:start w:val="1"/>
      <w:numFmt w:val="bullet"/>
      <w:lvlText w:val="●"/>
      <w:lvlJc w:val="left"/>
      <w:pPr>
        <w:ind w:left="5760" w:hanging="360"/>
      </w:pPr>
    </w:lvl>
    <w:lvl w:ilvl="8" w:tplc="E076CE96">
      <w:start w:val="1"/>
      <w:numFmt w:val="bullet"/>
      <w:lvlText w:val="●"/>
      <w:lvlJc w:val="left"/>
      <w:pPr>
        <w:ind w:left="6480" w:hanging="360"/>
      </w:pPr>
    </w:lvl>
  </w:abstractNum>
  <w:abstractNum w:abstractNumId="2" w15:restartNumberingAfterBreak="0">
    <w:nsid w:val="5681658A"/>
    <w:multiLevelType w:val="hybridMultilevel"/>
    <w:tmpl w:val="85DA6C18"/>
    <w:lvl w:ilvl="0" w:tplc="9C68B768">
      <w:numFmt w:val="bullet"/>
      <w:lvlText w:val="-"/>
      <w:lvlJc w:val="left"/>
      <w:pPr>
        <w:ind w:left="1068" w:hanging="360"/>
      </w:pPr>
      <w:rPr>
        <w:rFonts w:ascii="Arial" w:eastAsia="Arial" w:hAnsi="Arial" w:cs="Arial" w:hint="default"/>
        <w:b/>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start w:val="1"/>
      <w:numFmt w:val="bullet"/>
      <w:lvlText w:val=""/>
      <w:lvlJc w:val="left"/>
      <w:pPr>
        <w:ind w:left="3228" w:hanging="360"/>
      </w:pPr>
      <w:rPr>
        <w:rFonts w:ascii="Symbol" w:hAnsi="Symbol" w:hint="default"/>
      </w:rPr>
    </w:lvl>
    <w:lvl w:ilvl="4" w:tplc="04100003">
      <w:start w:val="1"/>
      <w:numFmt w:val="bullet"/>
      <w:lvlText w:val="o"/>
      <w:lvlJc w:val="left"/>
      <w:pPr>
        <w:ind w:left="3948" w:hanging="360"/>
      </w:pPr>
      <w:rPr>
        <w:rFonts w:ascii="Courier New" w:hAnsi="Courier New" w:cs="Courier New" w:hint="default"/>
      </w:rPr>
    </w:lvl>
    <w:lvl w:ilvl="5" w:tplc="04100005">
      <w:start w:val="1"/>
      <w:numFmt w:val="bullet"/>
      <w:lvlText w:val=""/>
      <w:lvlJc w:val="left"/>
      <w:pPr>
        <w:ind w:left="4668" w:hanging="360"/>
      </w:pPr>
      <w:rPr>
        <w:rFonts w:ascii="Wingdings" w:hAnsi="Wingdings" w:hint="default"/>
      </w:rPr>
    </w:lvl>
    <w:lvl w:ilvl="6" w:tplc="04100001">
      <w:start w:val="1"/>
      <w:numFmt w:val="bullet"/>
      <w:lvlText w:val=""/>
      <w:lvlJc w:val="left"/>
      <w:pPr>
        <w:ind w:left="5388" w:hanging="360"/>
      </w:pPr>
      <w:rPr>
        <w:rFonts w:ascii="Symbol" w:hAnsi="Symbol" w:hint="default"/>
      </w:rPr>
    </w:lvl>
    <w:lvl w:ilvl="7" w:tplc="04100003">
      <w:start w:val="1"/>
      <w:numFmt w:val="bullet"/>
      <w:lvlText w:val="o"/>
      <w:lvlJc w:val="left"/>
      <w:pPr>
        <w:ind w:left="6108" w:hanging="360"/>
      </w:pPr>
      <w:rPr>
        <w:rFonts w:ascii="Courier New" w:hAnsi="Courier New" w:cs="Courier New" w:hint="default"/>
      </w:rPr>
    </w:lvl>
    <w:lvl w:ilvl="8" w:tplc="04100005">
      <w:start w:val="1"/>
      <w:numFmt w:val="bullet"/>
      <w:lvlText w:val=""/>
      <w:lvlJc w:val="left"/>
      <w:pPr>
        <w:ind w:left="6828" w:hanging="360"/>
      </w:pPr>
      <w:rPr>
        <w:rFonts w:ascii="Wingdings" w:hAnsi="Wingdings" w:hint="default"/>
      </w:rPr>
    </w:lvl>
  </w:abstractNum>
  <w:num w:numId="1" w16cid:durableId="1542741392">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30898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69"/>
    <w:rsid w:val="00075369"/>
    <w:rsid w:val="000A0488"/>
    <w:rsid w:val="000D4EF9"/>
    <w:rsid w:val="000F69E8"/>
    <w:rsid w:val="00112740"/>
    <w:rsid w:val="001D1043"/>
    <w:rsid w:val="00206426"/>
    <w:rsid w:val="00297AFD"/>
    <w:rsid w:val="00340E26"/>
    <w:rsid w:val="00357A26"/>
    <w:rsid w:val="003D3B10"/>
    <w:rsid w:val="00493365"/>
    <w:rsid w:val="004F4ADF"/>
    <w:rsid w:val="0052067E"/>
    <w:rsid w:val="00526140"/>
    <w:rsid w:val="0054082B"/>
    <w:rsid w:val="0057423B"/>
    <w:rsid w:val="00574406"/>
    <w:rsid w:val="005D7CE1"/>
    <w:rsid w:val="005F0EC3"/>
    <w:rsid w:val="007349B6"/>
    <w:rsid w:val="00740A4B"/>
    <w:rsid w:val="00741779"/>
    <w:rsid w:val="007709B9"/>
    <w:rsid w:val="007B0B53"/>
    <w:rsid w:val="007D22BC"/>
    <w:rsid w:val="007E79BC"/>
    <w:rsid w:val="00856D21"/>
    <w:rsid w:val="00864A21"/>
    <w:rsid w:val="008A77F1"/>
    <w:rsid w:val="008A7B67"/>
    <w:rsid w:val="008E7828"/>
    <w:rsid w:val="00921431"/>
    <w:rsid w:val="009C31BA"/>
    <w:rsid w:val="009C754A"/>
    <w:rsid w:val="009D6E1F"/>
    <w:rsid w:val="00B64F11"/>
    <w:rsid w:val="00BE2202"/>
    <w:rsid w:val="00C32134"/>
    <w:rsid w:val="00C357E6"/>
    <w:rsid w:val="00C7021E"/>
    <w:rsid w:val="00CC6FD0"/>
    <w:rsid w:val="00DF73B2"/>
    <w:rsid w:val="00E10BAC"/>
    <w:rsid w:val="00E22F53"/>
    <w:rsid w:val="00E50AB7"/>
    <w:rsid w:val="00E76395"/>
    <w:rsid w:val="00EC0A7E"/>
    <w:rsid w:val="00ED7A31"/>
    <w:rsid w:val="00FA72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55F4"/>
  <w15:docId w15:val="{A50CF1BD-2959-0347-AC8E-3E612D3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5F0EC3"/>
    <w:pPr>
      <w:tabs>
        <w:tab w:val="center" w:pos="4819"/>
        <w:tab w:val="right" w:pos="9638"/>
      </w:tabs>
    </w:pPr>
  </w:style>
  <w:style w:type="character" w:customStyle="1" w:styleId="IntestazioneCarattere">
    <w:name w:val="Intestazione Carattere"/>
    <w:basedOn w:val="Carpredefinitoparagrafo"/>
    <w:link w:val="Intestazione"/>
    <w:uiPriority w:val="99"/>
    <w:rsid w:val="005F0EC3"/>
  </w:style>
  <w:style w:type="paragraph" w:styleId="Pidipagina">
    <w:name w:val="footer"/>
    <w:basedOn w:val="Normale"/>
    <w:link w:val="PidipaginaCarattere"/>
    <w:uiPriority w:val="99"/>
    <w:unhideWhenUsed/>
    <w:rsid w:val="005F0EC3"/>
    <w:pPr>
      <w:tabs>
        <w:tab w:val="center" w:pos="4819"/>
        <w:tab w:val="right" w:pos="9638"/>
      </w:tabs>
    </w:pPr>
  </w:style>
  <w:style w:type="character" w:customStyle="1" w:styleId="PidipaginaCarattere">
    <w:name w:val="Piè di pagina Carattere"/>
    <w:basedOn w:val="Carpredefinitoparagrafo"/>
    <w:link w:val="Pidipagina"/>
    <w:uiPriority w:val="99"/>
    <w:rsid w:val="005F0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55E9F-000E-2A43-B0B4-05627E5B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6618</Words>
  <Characters>37726</Characters>
  <Application>Microsoft Office Word</Application>
  <DocSecurity>0</DocSecurity>
  <Lines>314</Lines>
  <Paragraphs>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2026-07-21T12:15:00Z</dcterms:created>
  <dcterms:modified xsi:type="dcterms:W3CDTF">2026-07-21T12:15:00Z</dcterms:modified>
</cp:coreProperties>
</file>