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1297" w14:textId="77777777" w:rsidR="000C5422" w:rsidRPr="000C5422" w:rsidRDefault="000C5422" w:rsidP="000C5422">
      <w:pPr>
        <w:tabs>
          <w:tab w:val="center" w:pos="4819"/>
          <w:tab w:val="right" w:pos="9638"/>
        </w:tabs>
        <w:suppressAutoHyphens w:val="0"/>
        <w:overflowPunct/>
        <w:autoSpaceDE/>
        <w:jc w:val="center"/>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Maria Voccia De Felice</w:t>
      </w:r>
    </w:p>
    <w:p w14:paraId="1AA011BC" w14:textId="77777777" w:rsidR="000C5422" w:rsidRPr="000C5422" w:rsidRDefault="000C5422" w:rsidP="000C5422">
      <w:pPr>
        <w:tabs>
          <w:tab w:val="center" w:pos="4819"/>
          <w:tab w:val="left" w:pos="5325"/>
        </w:tabs>
        <w:suppressAutoHyphens w:val="0"/>
        <w:overflowPunct/>
        <w:autoSpaceDE/>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Avvocato</w:t>
      </w:r>
      <w:r w:rsidRPr="000C5422">
        <w:rPr>
          <w:rFonts w:ascii="Arial" w:eastAsia="Calibri" w:hAnsi="Arial" w:cs="Arial"/>
          <w:b/>
          <w:kern w:val="0"/>
          <w:sz w:val="22"/>
          <w:szCs w:val="22"/>
          <w:lang w:eastAsia="en-US"/>
        </w:rPr>
        <w:tab/>
      </w:r>
    </w:p>
    <w:p w14:paraId="09D51BD6" w14:textId="77777777" w:rsidR="000C5422" w:rsidRPr="000C5422" w:rsidRDefault="000C5422" w:rsidP="000C5422">
      <w:pPr>
        <w:tabs>
          <w:tab w:val="center" w:pos="4819"/>
          <w:tab w:val="right" w:pos="9638"/>
        </w:tabs>
        <w:suppressAutoHyphens w:val="0"/>
        <w:overflowPunct/>
        <w:autoSpaceDE/>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Patrocinante in Cassazione</w:t>
      </w:r>
    </w:p>
    <w:p w14:paraId="4F999F9B" w14:textId="77777777" w:rsidR="000C5422" w:rsidRPr="000C5422" w:rsidRDefault="000C5422" w:rsidP="000C5422">
      <w:pPr>
        <w:tabs>
          <w:tab w:val="center" w:pos="4819"/>
          <w:tab w:val="right" w:pos="9638"/>
        </w:tabs>
        <w:suppressAutoHyphens w:val="0"/>
        <w:overflowPunct/>
        <w:autoSpaceDE/>
        <w:jc w:val="center"/>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Salerno - Via G. Vicinanza n. 42 – 84123</w:t>
      </w:r>
    </w:p>
    <w:p w14:paraId="538CE65B" w14:textId="77777777" w:rsidR="000C5422" w:rsidRPr="000C5422" w:rsidRDefault="000C5422" w:rsidP="000C5422">
      <w:pPr>
        <w:tabs>
          <w:tab w:val="center" w:pos="4819"/>
          <w:tab w:val="right" w:pos="9638"/>
        </w:tabs>
        <w:suppressAutoHyphens w:val="0"/>
        <w:overflowPunct/>
        <w:autoSpaceDE/>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tel. 089237255 mobile 335 6329269</w:t>
      </w:r>
    </w:p>
    <w:p w14:paraId="5F6E2439" w14:textId="77777777" w:rsidR="000C5422" w:rsidRPr="000C5422" w:rsidRDefault="000C5422" w:rsidP="000C5422">
      <w:pPr>
        <w:suppressAutoHyphens w:val="0"/>
        <w:overflowPunct/>
        <w:autoSpaceDE/>
        <w:spacing w:after="200" w:line="360" w:lineRule="auto"/>
        <w:ind w:left="900" w:right="998"/>
        <w:jc w:val="center"/>
        <w:textAlignment w:val="auto"/>
        <w:rPr>
          <w:rFonts w:ascii="Calibri" w:eastAsia="Arial Unicode MS" w:hAnsi="Calibri" w:cs="Tahoma"/>
          <w:b/>
          <w:kern w:val="0"/>
          <w:szCs w:val="28"/>
          <w:lang w:eastAsia="en-US"/>
        </w:rPr>
      </w:pPr>
      <w:r w:rsidRPr="000C5422">
        <w:rPr>
          <w:rFonts w:ascii="Arial" w:eastAsia="Calibri" w:hAnsi="Arial" w:cs="Arial"/>
          <w:b/>
          <w:kern w:val="0"/>
          <w:sz w:val="22"/>
          <w:szCs w:val="22"/>
          <w:lang w:eastAsia="en-US"/>
        </w:rPr>
        <w:t xml:space="preserve">   mail: </w:t>
      </w:r>
      <w:hyperlink r:id="rId7" w:history="1">
        <w:r w:rsidRPr="000C5422">
          <w:rPr>
            <w:rFonts w:ascii="Arial" w:eastAsia="Calibri" w:hAnsi="Arial" w:cs="Arial"/>
            <w:b/>
            <w:color w:val="0000FF"/>
            <w:kern w:val="0"/>
            <w:sz w:val="22"/>
            <w:szCs w:val="22"/>
            <w:u w:val="single"/>
            <w:lang w:eastAsia="en-US"/>
          </w:rPr>
          <w:t>mvoccia@vocciaspa.com</w:t>
        </w:r>
      </w:hyperlink>
      <w:r w:rsidRPr="000C5422">
        <w:rPr>
          <w:rFonts w:ascii="Arial" w:eastAsia="Calibri" w:hAnsi="Arial" w:cs="Arial"/>
          <w:b/>
          <w:kern w:val="0"/>
          <w:sz w:val="22"/>
          <w:szCs w:val="22"/>
          <w:lang w:eastAsia="en-US"/>
        </w:rPr>
        <w:t xml:space="preserve"> pec: </w:t>
      </w:r>
      <w:hyperlink r:id="rId8" w:history="1">
        <w:r w:rsidRPr="000C5422">
          <w:rPr>
            <w:rFonts w:ascii="Arial" w:eastAsia="Calibri" w:hAnsi="Arial" w:cs="Arial"/>
            <w:b/>
            <w:color w:val="0000FF"/>
            <w:kern w:val="0"/>
            <w:sz w:val="22"/>
            <w:szCs w:val="22"/>
            <w:u w:val="single"/>
            <w:lang w:eastAsia="en-US"/>
          </w:rPr>
          <w:t>mvocciaordsa@pec.giuffre.it</w:t>
        </w:r>
      </w:hyperlink>
    </w:p>
    <w:p w14:paraId="1F707F84" w14:textId="77777777" w:rsidR="00ED3C1D" w:rsidRDefault="00ED3C1D" w:rsidP="000C5422">
      <w:pPr>
        <w:pStyle w:val="Bollo"/>
        <w:jc w:val="center"/>
        <w:rPr>
          <w:rFonts w:ascii="Arial" w:hAnsi="Arial" w:cs="Arial"/>
          <w:sz w:val="24"/>
          <w:szCs w:val="24"/>
        </w:rPr>
      </w:pPr>
      <w:r w:rsidRPr="000C5422">
        <w:rPr>
          <w:rFonts w:ascii="Arial" w:hAnsi="Arial" w:cs="Arial"/>
          <w:sz w:val="24"/>
          <w:szCs w:val="24"/>
        </w:rPr>
        <w:t>TRIBUNALE D</w:t>
      </w:r>
      <w:r w:rsidR="00BF10E8" w:rsidRPr="000C5422">
        <w:rPr>
          <w:rFonts w:ascii="Arial" w:hAnsi="Arial" w:cs="Arial"/>
          <w:sz w:val="24"/>
          <w:szCs w:val="24"/>
        </w:rPr>
        <w:t xml:space="preserve">I </w:t>
      </w:r>
      <w:r w:rsidR="00D74DFA" w:rsidRPr="000C5422">
        <w:rPr>
          <w:rFonts w:ascii="Arial" w:hAnsi="Arial" w:cs="Arial"/>
          <w:sz w:val="24"/>
          <w:szCs w:val="24"/>
        </w:rPr>
        <w:t>BERGAMO</w:t>
      </w:r>
    </w:p>
    <w:p w14:paraId="39D8B881" w14:textId="77777777" w:rsidR="00D62181" w:rsidRDefault="00D62181" w:rsidP="000C5422">
      <w:pPr>
        <w:pStyle w:val="Bollo"/>
        <w:jc w:val="center"/>
        <w:rPr>
          <w:rFonts w:ascii="Arial" w:hAnsi="Arial" w:cs="Arial"/>
          <w:sz w:val="24"/>
          <w:szCs w:val="24"/>
        </w:rPr>
      </w:pPr>
      <w:r>
        <w:rPr>
          <w:rFonts w:ascii="Arial" w:hAnsi="Arial" w:cs="Arial"/>
          <w:sz w:val="24"/>
          <w:szCs w:val="24"/>
        </w:rPr>
        <w:t>RG. 2320/2025</w:t>
      </w:r>
    </w:p>
    <w:p w14:paraId="4A2B06A1" w14:textId="77777777" w:rsidR="00D62181" w:rsidRPr="000C5422" w:rsidRDefault="00D62181" w:rsidP="000C5422">
      <w:pPr>
        <w:pStyle w:val="Bollo"/>
        <w:jc w:val="center"/>
        <w:rPr>
          <w:rFonts w:ascii="Arial" w:hAnsi="Arial" w:cs="Arial"/>
          <w:i/>
          <w:iCs/>
          <w:sz w:val="24"/>
          <w:szCs w:val="24"/>
        </w:rPr>
      </w:pPr>
      <w:r>
        <w:rPr>
          <w:rFonts w:ascii="Arial" w:hAnsi="Arial" w:cs="Arial"/>
          <w:sz w:val="24"/>
          <w:szCs w:val="24"/>
        </w:rPr>
        <w:t>Dott. Paolo Rossi</w:t>
      </w:r>
      <w:r w:rsidR="001B3982">
        <w:rPr>
          <w:rFonts w:ascii="Arial" w:hAnsi="Arial" w:cs="Arial"/>
          <w:sz w:val="24"/>
          <w:szCs w:val="24"/>
        </w:rPr>
        <w:t xml:space="preserve"> – sez. II</w:t>
      </w:r>
    </w:p>
    <w:p w14:paraId="6FAA1930" w14:textId="77777777" w:rsidR="001F1E68" w:rsidRPr="001F1E68" w:rsidRDefault="001F1E68" w:rsidP="001F1E68">
      <w:pPr>
        <w:pStyle w:val="Bollo"/>
        <w:spacing w:line="360" w:lineRule="auto"/>
        <w:ind w:firstLine="709"/>
        <w:jc w:val="center"/>
        <w:rPr>
          <w:rFonts w:ascii="Arial" w:hAnsi="Arial" w:cs="Arial"/>
          <w:bCs/>
          <w:sz w:val="24"/>
          <w:szCs w:val="24"/>
        </w:rPr>
      </w:pPr>
      <w:r w:rsidRPr="001F1E68">
        <w:rPr>
          <w:rFonts w:ascii="Arial" w:hAnsi="Arial" w:cs="Arial"/>
          <w:bCs/>
          <w:sz w:val="24"/>
          <w:szCs w:val="24"/>
        </w:rPr>
        <w:t>NOTE FINALI EX ART. 281-SEXIES C.P.C.</w:t>
      </w:r>
    </w:p>
    <w:p w14:paraId="6B954A4F" w14:textId="77777777" w:rsidR="00BF10E8" w:rsidRPr="000C5422" w:rsidRDefault="00BF10E8" w:rsidP="000C5422">
      <w:pPr>
        <w:pStyle w:val="Bollo"/>
        <w:rPr>
          <w:rFonts w:ascii="Arial" w:hAnsi="Arial" w:cs="Arial"/>
          <w:sz w:val="24"/>
          <w:szCs w:val="24"/>
        </w:rPr>
      </w:pPr>
    </w:p>
    <w:p w14:paraId="5950ACE9" w14:textId="77777777" w:rsidR="00ED3C1D" w:rsidRDefault="00ED3C1D" w:rsidP="001B3982">
      <w:pPr>
        <w:spacing w:line="360" w:lineRule="auto"/>
        <w:jc w:val="both"/>
        <w:rPr>
          <w:rFonts w:ascii="Arial" w:hAnsi="Arial" w:cs="Arial"/>
          <w:b/>
          <w:bCs/>
          <w:sz w:val="24"/>
          <w:szCs w:val="24"/>
        </w:rPr>
      </w:pPr>
      <w:r w:rsidRPr="00AF1D8C">
        <w:rPr>
          <w:rFonts w:ascii="Arial" w:hAnsi="Arial" w:cs="Arial"/>
          <w:b/>
          <w:bCs/>
          <w:sz w:val="24"/>
          <w:szCs w:val="24"/>
        </w:rPr>
        <w:t xml:space="preserve">Per </w:t>
      </w:r>
      <w:r w:rsidR="00BF10E8" w:rsidRPr="00AF1D8C">
        <w:rPr>
          <w:rFonts w:ascii="Arial" w:hAnsi="Arial" w:cs="Arial"/>
          <w:sz w:val="24"/>
          <w:szCs w:val="24"/>
        </w:rPr>
        <w:t xml:space="preserve">Il </w:t>
      </w:r>
      <w:r w:rsidR="00BF10E8" w:rsidRPr="00AF1D8C">
        <w:rPr>
          <w:rFonts w:ascii="Arial" w:hAnsi="Arial" w:cs="Arial"/>
          <w:b/>
          <w:bCs/>
          <w:sz w:val="24"/>
          <w:szCs w:val="24"/>
        </w:rPr>
        <w:t xml:space="preserve">Comune di </w:t>
      </w:r>
      <w:r w:rsidR="00861AD5" w:rsidRPr="00AF1D8C">
        <w:rPr>
          <w:rFonts w:ascii="Arial" w:hAnsi="Arial" w:cs="Arial"/>
          <w:b/>
          <w:bCs/>
          <w:sz w:val="24"/>
          <w:szCs w:val="24"/>
        </w:rPr>
        <w:t>Berbenno</w:t>
      </w:r>
      <w:r w:rsidR="00BF10E8" w:rsidRPr="00AF1D8C">
        <w:rPr>
          <w:rFonts w:ascii="Arial" w:hAnsi="Arial" w:cs="Arial"/>
          <w:b/>
          <w:bCs/>
          <w:sz w:val="24"/>
          <w:szCs w:val="24"/>
        </w:rPr>
        <w:t xml:space="preserve"> (</w:t>
      </w:r>
      <w:r w:rsidR="00861AD5" w:rsidRPr="00AF1D8C">
        <w:rPr>
          <w:rFonts w:ascii="Arial" w:hAnsi="Arial" w:cs="Arial"/>
          <w:b/>
          <w:bCs/>
          <w:sz w:val="24"/>
          <w:szCs w:val="24"/>
        </w:rPr>
        <w:t>C.F./</w:t>
      </w:r>
      <w:r w:rsidRPr="00AF1D8C">
        <w:rPr>
          <w:rFonts w:ascii="Arial" w:hAnsi="Arial" w:cs="Arial"/>
          <w:b/>
          <w:bCs/>
          <w:sz w:val="24"/>
          <w:szCs w:val="24"/>
        </w:rPr>
        <w:t>P.</w:t>
      </w:r>
      <w:r w:rsidR="001B3982">
        <w:rPr>
          <w:rFonts w:ascii="Arial" w:hAnsi="Arial" w:cs="Arial"/>
          <w:b/>
          <w:bCs/>
          <w:sz w:val="24"/>
          <w:szCs w:val="24"/>
        </w:rPr>
        <w:t xml:space="preserve"> </w:t>
      </w:r>
      <w:r w:rsidRPr="00AF1D8C">
        <w:rPr>
          <w:rFonts w:ascii="Arial" w:hAnsi="Arial" w:cs="Arial"/>
          <w:b/>
          <w:bCs/>
          <w:sz w:val="24"/>
          <w:szCs w:val="24"/>
        </w:rPr>
        <w:t xml:space="preserve">Iva </w:t>
      </w:r>
      <w:r w:rsidR="00861AD5" w:rsidRPr="00AF1D8C">
        <w:rPr>
          <w:rFonts w:ascii="Arial" w:hAnsi="Arial" w:cs="Arial"/>
          <w:b/>
          <w:bCs/>
          <w:sz w:val="24"/>
          <w:szCs w:val="24"/>
        </w:rPr>
        <w:t>00313890162</w:t>
      </w:r>
      <w:r w:rsidRPr="00AF1D8C">
        <w:rPr>
          <w:rFonts w:ascii="Arial" w:hAnsi="Arial" w:cs="Arial"/>
          <w:b/>
          <w:bCs/>
          <w:sz w:val="24"/>
          <w:szCs w:val="24"/>
        </w:rPr>
        <w:t>)</w:t>
      </w:r>
      <w:r w:rsidRPr="00AF1D8C">
        <w:rPr>
          <w:rFonts w:ascii="Arial" w:hAnsi="Arial" w:cs="Arial"/>
          <w:sz w:val="24"/>
          <w:szCs w:val="24"/>
        </w:rPr>
        <w:t xml:space="preserve"> con sede in </w:t>
      </w:r>
      <w:r w:rsidR="00861AD5" w:rsidRPr="00AF1D8C">
        <w:rPr>
          <w:rFonts w:ascii="Arial" w:hAnsi="Arial" w:cs="Arial"/>
          <w:sz w:val="24"/>
          <w:szCs w:val="24"/>
        </w:rPr>
        <w:t>Berbenno (BG)</w:t>
      </w:r>
      <w:r w:rsidR="00BF10E8" w:rsidRPr="00AF1D8C">
        <w:rPr>
          <w:rFonts w:ascii="Arial" w:hAnsi="Arial" w:cs="Arial"/>
          <w:sz w:val="24"/>
          <w:szCs w:val="24"/>
        </w:rPr>
        <w:t xml:space="preserve"> Via</w:t>
      </w:r>
      <w:r w:rsidR="00861AD5" w:rsidRPr="00AF1D8C">
        <w:rPr>
          <w:rFonts w:ascii="Arial" w:hAnsi="Arial" w:cs="Arial"/>
          <w:sz w:val="24"/>
          <w:szCs w:val="24"/>
        </w:rPr>
        <w:t xml:space="preserve"> Europa n. 7</w:t>
      </w:r>
      <w:r w:rsidRPr="00AF1D8C">
        <w:rPr>
          <w:rFonts w:ascii="Arial" w:hAnsi="Arial" w:cs="Arial"/>
          <w:sz w:val="24"/>
          <w:szCs w:val="24"/>
        </w:rPr>
        <w:t xml:space="preserve"> in persona del </w:t>
      </w:r>
      <w:r w:rsidR="00BF10E8" w:rsidRPr="00AF1D8C">
        <w:rPr>
          <w:rFonts w:ascii="Arial" w:hAnsi="Arial" w:cs="Arial"/>
          <w:sz w:val="24"/>
          <w:szCs w:val="24"/>
        </w:rPr>
        <w:t xml:space="preserve">Sindaco e </w:t>
      </w:r>
      <w:r w:rsidRPr="00AF1D8C">
        <w:rPr>
          <w:rFonts w:ascii="Arial" w:hAnsi="Arial" w:cs="Arial"/>
          <w:sz w:val="24"/>
          <w:szCs w:val="24"/>
        </w:rPr>
        <w:t>legale rappresentante pro tempore</w:t>
      </w:r>
      <w:r w:rsidR="00BF10E8" w:rsidRPr="00AF1D8C">
        <w:rPr>
          <w:rFonts w:ascii="Arial" w:hAnsi="Arial" w:cs="Arial"/>
          <w:sz w:val="24"/>
          <w:szCs w:val="24"/>
        </w:rPr>
        <w:t>, dott</w:t>
      </w:r>
      <w:r w:rsidR="000C5422" w:rsidRPr="00AF1D8C">
        <w:rPr>
          <w:rFonts w:ascii="Arial" w:hAnsi="Arial" w:cs="Arial"/>
          <w:sz w:val="24"/>
          <w:szCs w:val="24"/>
        </w:rPr>
        <w:t>. Manuel LOCATELLI</w:t>
      </w:r>
      <w:r w:rsidR="00BF10E8" w:rsidRPr="00AF1D8C">
        <w:rPr>
          <w:rFonts w:ascii="Arial" w:hAnsi="Arial" w:cs="Arial"/>
          <w:sz w:val="24"/>
          <w:szCs w:val="24"/>
        </w:rPr>
        <w:t xml:space="preserve"> (C.F. </w:t>
      </w:r>
      <w:r w:rsidR="000C5422" w:rsidRPr="00AF1D8C">
        <w:rPr>
          <w:rFonts w:ascii="Arial" w:hAnsi="Arial" w:cs="Arial"/>
          <w:sz w:val="24"/>
          <w:szCs w:val="24"/>
        </w:rPr>
        <w:t>LCTMNL76B25A794G)</w:t>
      </w:r>
      <w:r w:rsidR="001B3982">
        <w:rPr>
          <w:rFonts w:ascii="Arial" w:hAnsi="Arial" w:cs="Arial"/>
          <w:sz w:val="24"/>
          <w:szCs w:val="24"/>
        </w:rPr>
        <w:t>,</w:t>
      </w:r>
      <w:r w:rsidR="00BF10E8" w:rsidRPr="00AF1D8C">
        <w:rPr>
          <w:rFonts w:ascii="Arial" w:hAnsi="Arial" w:cs="Arial"/>
          <w:sz w:val="24"/>
          <w:szCs w:val="24"/>
        </w:rPr>
        <w:t xml:space="preserve"> rappresentato e difeso da</w:t>
      </w:r>
      <w:r w:rsidR="002E1D86" w:rsidRPr="00AF1D8C">
        <w:rPr>
          <w:rFonts w:ascii="Arial" w:hAnsi="Arial" w:cs="Arial"/>
          <w:sz w:val="24"/>
          <w:szCs w:val="24"/>
        </w:rPr>
        <w:t xml:space="preserve">ll’ </w:t>
      </w:r>
      <w:r w:rsidR="00076E91" w:rsidRPr="00AF1D8C">
        <w:rPr>
          <w:rFonts w:ascii="Arial" w:hAnsi="Arial" w:cs="Arial"/>
          <w:sz w:val="24"/>
          <w:szCs w:val="24"/>
        </w:rPr>
        <w:t xml:space="preserve">avv. </w:t>
      </w:r>
      <w:r w:rsidR="002E1D86" w:rsidRPr="00AF1D8C">
        <w:rPr>
          <w:rFonts w:ascii="Arial" w:hAnsi="Arial" w:cs="Arial"/>
          <w:sz w:val="24"/>
          <w:szCs w:val="24"/>
        </w:rPr>
        <w:t>M</w:t>
      </w:r>
      <w:r w:rsidR="00076E91" w:rsidRPr="00AF1D8C">
        <w:rPr>
          <w:rFonts w:ascii="Arial" w:hAnsi="Arial" w:cs="Arial"/>
          <w:sz w:val="24"/>
          <w:szCs w:val="24"/>
        </w:rPr>
        <w:t>aria Voccia De Felice</w:t>
      </w:r>
      <w:r w:rsidR="001B3982">
        <w:rPr>
          <w:rFonts w:ascii="Arial" w:hAnsi="Arial" w:cs="Arial"/>
          <w:sz w:val="24"/>
          <w:szCs w:val="24"/>
        </w:rPr>
        <w:t>,</w:t>
      </w:r>
      <w:r w:rsidRPr="00AF1D8C">
        <w:rPr>
          <w:rFonts w:ascii="Arial" w:hAnsi="Arial" w:cs="Arial"/>
          <w:b/>
          <w:bCs/>
          <w:sz w:val="24"/>
          <w:szCs w:val="24"/>
        </w:rPr>
        <w:t xml:space="preserve"> </w:t>
      </w:r>
    </w:p>
    <w:p w14:paraId="07065C5C" w14:textId="77777777" w:rsidR="001F1E68" w:rsidRPr="001F1E68" w:rsidRDefault="001F1E68" w:rsidP="001F1E68">
      <w:pPr>
        <w:spacing w:line="360" w:lineRule="auto"/>
        <w:jc w:val="right"/>
        <w:rPr>
          <w:rFonts w:ascii="Arial" w:hAnsi="Arial" w:cs="Arial"/>
          <w:b/>
          <w:bCs/>
          <w:sz w:val="24"/>
          <w:szCs w:val="24"/>
        </w:rPr>
      </w:pPr>
      <w:r w:rsidRPr="001F1E68">
        <w:rPr>
          <w:rFonts w:ascii="Arial" w:hAnsi="Arial" w:cs="Arial"/>
          <w:b/>
          <w:bCs/>
          <w:sz w:val="24"/>
          <w:szCs w:val="24"/>
        </w:rPr>
        <w:t>-convenuto opposto-</w:t>
      </w:r>
    </w:p>
    <w:p w14:paraId="1A11F69D" w14:textId="77777777" w:rsidR="008A66BF" w:rsidRPr="00AF1D8C" w:rsidRDefault="00051087" w:rsidP="00AF1D8C">
      <w:pPr>
        <w:spacing w:line="360" w:lineRule="auto"/>
        <w:ind w:firstLine="709"/>
        <w:jc w:val="both"/>
        <w:rPr>
          <w:rFonts w:ascii="Arial" w:hAnsi="Arial" w:cs="Arial"/>
          <w:b/>
          <w:sz w:val="24"/>
          <w:szCs w:val="24"/>
        </w:rPr>
      </w:pPr>
      <w:r w:rsidRPr="00AF1D8C">
        <w:rPr>
          <w:rFonts w:ascii="Arial" w:hAnsi="Arial" w:cs="Arial"/>
          <w:b/>
          <w:sz w:val="24"/>
          <w:szCs w:val="24"/>
        </w:rPr>
        <w:t xml:space="preserve"> contro</w:t>
      </w:r>
    </w:p>
    <w:p w14:paraId="3E2E998F" w14:textId="77777777" w:rsidR="008A66BF" w:rsidRPr="00AF1D8C" w:rsidRDefault="008A66BF" w:rsidP="00AF1D8C">
      <w:pPr>
        <w:spacing w:line="360" w:lineRule="auto"/>
        <w:jc w:val="both"/>
        <w:rPr>
          <w:rFonts w:ascii="Arial" w:hAnsi="Arial" w:cs="Arial"/>
          <w:sz w:val="24"/>
          <w:szCs w:val="24"/>
        </w:rPr>
      </w:pPr>
      <w:r w:rsidRPr="00AF1D8C">
        <w:rPr>
          <w:rFonts w:ascii="Arial" w:hAnsi="Arial" w:cs="Arial"/>
          <w:b/>
          <w:bCs/>
          <w:sz w:val="24"/>
          <w:szCs w:val="24"/>
        </w:rPr>
        <w:t>FASTWEB S.p.A. (C.F. e P.IVA 12878470157)</w:t>
      </w:r>
      <w:r w:rsidRPr="00AF1D8C">
        <w:rPr>
          <w:rFonts w:ascii="Arial" w:hAnsi="Arial" w:cs="Arial"/>
          <w:sz w:val="24"/>
          <w:szCs w:val="24"/>
        </w:rPr>
        <w:t>, Società a socio unico e soggetta all’attività di direzione e coordinamento di Swisscom A.G., con sede legale in Piazza Adriano Olivetti 1, 20139 – Milano (MI), rappresentata e difesa, dall’Avv. Paolo Caruso;</w:t>
      </w:r>
    </w:p>
    <w:p w14:paraId="1CC5E974" w14:textId="77777777" w:rsidR="00BF6748" w:rsidRPr="001F1E68" w:rsidRDefault="00BF6748" w:rsidP="001F1E68">
      <w:pPr>
        <w:pStyle w:val="Bollo"/>
        <w:spacing w:line="360" w:lineRule="auto"/>
        <w:ind w:firstLine="709"/>
        <w:jc w:val="right"/>
        <w:rPr>
          <w:rFonts w:ascii="Arial" w:hAnsi="Arial" w:cs="Arial"/>
          <w:bCs/>
          <w:sz w:val="24"/>
          <w:szCs w:val="24"/>
        </w:rPr>
      </w:pPr>
      <w:r w:rsidRPr="001F1E68">
        <w:rPr>
          <w:rFonts w:ascii="Arial" w:hAnsi="Arial" w:cs="Arial"/>
          <w:bCs/>
          <w:sz w:val="24"/>
          <w:szCs w:val="24"/>
        </w:rPr>
        <w:t>-attrice opponente-</w:t>
      </w:r>
    </w:p>
    <w:p w14:paraId="7A61F0FF" w14:textId="77777777" w:rsidR="00BF6748" w:rsidRPr="00614131" w:rsidRDefault="00BF6748" w:rsidP="00BF6748">
      <w:pPr>
        <w:pStyle w:val="Bollo"/>
        <w:spacing w:line="360" w:lineRule="auto"/>
        <w:ind w:firstLine="709"/>
        <w:rPr>
          <w:rFonts w:ascii="Arial" w:hAnsi="Arial" w:cs="Arial"/>
          <w:bCs/>
          <w:sz w:val="24"/>
          <w:szCs w:val="24"/>
        </w:rPr>
      </w:pPr>
      <w:r w:rsidRPr="00614131">
        <w:rPr>
          <w:rFonts w:ascii="Arial" w:hAnsi="Arial" w:cs="Arial"/>
          <w:bCs/>
          <w:sz w:val="24"/>
          <w:szCs w:val="24"/>
        </w:rPr>
        <w:t>FATTO E SVOLGIMENTO DEL PROCESSO</w:t>
      </w:r>
    </w:p>
    <w:p w14:paraId="757EBF12" w14:textId="4A3EF31B" w:rsidR="00BF6748" w:rsidRPr="00BF6748" w:rsidRDefault="00BF6748" w:rsidP="00A233D6">
      <w:pPr>
        <w:pStyle w:val="Bollo"/>
        <w:spacing w:line="360" w:lineRule="auto"/>
        <w:ind w:firstLine="709"/>
        <w:rPr>
          <w:rFonts w:ascii="Arial" w:hAnsi="Arial" w:cs="Arial"/>
          <w:b w:val="0"/>
          <w:sz w:val="24"/>
          <w:szCs w:val="24"/>
        </w:rPr>
      </w:pPr>
      <w:r w:rsidRPr="00BF6748">
        <w:rPr>
          <w:rFonts w:ascii="Arial" w:hAnsi="Arial" w:cs="Arial"/>
          <w:b w:val="0"/>
          <w:sz w:val="24"/>
          <w:szCs w:val="24"/>
        </w:rPr>
        <w:t>Con atto di citazione notificato in data 17.04.2025, Fastweb S.p.A. ha proposto opposizione avverso l'avviso di accertamento esecutivo n. 1 del 06.02.2025, con cui il Comune di Berbenno ha richiesto il pagamento della somma complessiva di € 7.173,00 a titolo di Canone Unico Patrimoniale (CUP) per le annualità 2021, 2022, 2023 e 2024, oltre sanzioni ed interessi, per le occupazioni di suolo pubblico realizzate in via mediata.</w:t>
      </w:r>
    </w:p>
    <w:p w14:paraId="1A74FBF8" w14:textId="6B1F9B8E" w:rsidR="00BF6748" w:rsidRPr="00BF6748"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A fondamento dell'opposizione, Fastweb S.p.A. ha eccepito, in sintesi, il proprio difetto di legittimazione passiva, sostenendo di non essere titolare di infrastrutture di rete nel territorio comunale e di utilizzare la rete di altri operatori (Open Fiber) in modalità meramente "virtuale", senza realizzare un "utilizzo materiale" dell'infrastruttura ai sensi dell'art. 1, comma 831, della Legge n. 160/2019. Ha inoltre invocato l'applicazione della norma di interpretazione autentica di cui all'art. 5, comma 14-quinquies, del D.L. n. 146/2021, che a suo dire escluderebbe la </w:t>
      </w:r>
      <w:r w:rsidR="00614131">
        <w:rPr>
          <w:rFonts w:ascii="Arial" w:hAnsi="Arial" w:cs="Arial"/>
          <w:b w:val="0"/>
          <w:sz w:val="24"/>
          <w:szCs w:val="24"/>
        </w:rPr>
        <w:t>propria</w:t>
      </w:r>
      <w:r w:rsidRPr="00BF6748">
        <w:rPr>
          <w:rFonts w:ascii="Arial" w:hAnsi="Arial" w:cs="Arial"/>
          <w:b w:val="0"/>
          <w:sz w:val="24"/>
          <w:szCs w:val="24"/>
        </w:rPr>
        <w:t xml:space="preserve"> soggettività passiva.</w:t>
      </w:r>
    </w:p>
    <w:p w14:paraId="2D86EC61" w14:textId="77777777" w:rsidR="00614131" w:rsidRDefault="00BF6748" w:rsidP="00C23D0A">
      <w:pPr>
        <w:pStyle w:val="Bollo"/>
        <w:spacing w:line="360" w:lineRule="auto"/>
        <w:ind w:firstLine="709"/>
        <w:rPr>
          <w:rFonts w:ascii="Arial" w:hAnsi="Arial" w:cs="Arial"/>
          <w:b w:val="0"/>
          <w:sz w:val="24"/>
          <w:szCs w:val="24"/>
        </w:rPr>
      </w:pPr>
      <w:r w:rsidRPr="00BF6748">
        <w:rPr>
          <w:rFonts w:ascii="Arial" w:hAnsi="Arial" w:cs="Arial"/>
          <w:b w:val="0"/>
          <w:sz w:val="24"/>
          <w:szCs w:val="24"/>
        </w:rPr>
        <w:t>Si è costituito in giudizio il Comune contestando integralmente le deduzioni avversarie e chiedendo il rigetto dell'opposizione.</w:t>
      </w:r>
    </w:p>
    <w:p w14:paraId="26C7BC74" w14:textId="22E45B15" w:rsidR="00BF6748" w:rsidRPr="00BF6748" w:rsidRDefault="00BF6748" w:rsidP="00C23D0A">
      <w:pPr>
        <w:pStyle w:val="Bollo"/>
        <w:spacing w:line="360" w:lineRule="auto"/>
        <w:ind w:firstLine="709"/>
        <w:rPr>
          <w:rFonts w:ascii="Arial" w:hAnsi="Arial" w:cs="Arial"/>
          <w:b w:val="0"/>
          <w:sz w:val="24"/>
          <w:szCs w:val="24"/>
        </w:rPr>
      </w:pPr>
      <w:r w:rsidRPr="00BF6748">
        <w:rPr>
          <w:rFonts w:ascii="Arial" w:hAnsi="Arial" w:cs="Arial"/>
          <w:b w:val="0"/>
          <w:sz w:val="24"/>
          <w:szCs w:val="24"/>
        </w:rPr>
        <w:lastRenderedPageBreak/>
        <w:t xml:space="preserve"> Il Comune ha argomentato sulla piena applicabilità del comma 831 citato, come modificato dalla L. n. 178/2020, </w:t>
      </w:r>
      <w:r w:rsidRPr="00614131">
        <w:rPr>
          <w:rFonts w:ascii="Arial" w:hAnsi="Arial" w:cs="Arial"/>
          <w:b w:val="0"/>
          <w:sz w:val="24"/>
          <w:szCs w:val="24"/>
          <w:u w:val="single"/>
        </w:rPr>
        <w:t>che ha introdotto la soggettività passiva anche per gli occupanti in via mediata, e ha sostenuto la non pertinenza della norma di interpretazione autentica al settore delle telecomunicazioni</w:t>
      </w:r>
      <w:r w:rsidRPr="00BF6748">
        <w:rPr>
          <w:rFonts w:ascii="Arial" w:hAnsi="Arial" w:cs="Arial"/>
          <w:b w:val="0"/>
          <w:sz w:val="24"/>
          <w:szCs w:val="24"/>
        </w:rPr>
        <w:t>.</w:t>
      </w:r>
    </w:p>
    <w:p w14:paraId="1A138D76" w14:textId="7BCC3D70" w:rsidR="00BF6748" w:rsidRPr="00BF6748" w:rsidRDefault="00BF6748" w:rsidP="00CA61FD">
      <w:pPr>
        <w:pStyle w:val="Bollo"/>
        <w:spacing w:line="360" w:lineRule="auto"/>
        <w:ind w:firstLine="709"/>
        <w:rPr>
          <w:rFonts w:ascii="Arial" w:hAnsi="Arial" w:cs="Arial"/>
          <w:b w:val="0"/>
          <w:sz w:val="24"/>
          <w:szCs w:val="24"/>
        </w:rPr>
      </w:pPr>
      <w:r w:rsidRPr="00BF6748">
        <w:rPr>
          <w:rFonts w:ascii="Arial" w:hAnsi="Arial" w:cs="Arial"/>
          <w:b w:val="0"/>
          <w:sz w:val="24"/>
          <w:szCs w:val="24"/>
        </w:rPr>
        <w:t>Scambiate le memorie integrative ex art. 171-ter c.p.c., la causa è stata ritenuta matura per la decisione e, con provvedimento del 30.09.2025, il Giudice ha fissato l'udienza del 25.11.2025 per la discussione orale e la decisione della causa ai sensi dell'art. 281-sexies c.p.c., assegnando termine per il deposito di note finali.</w:t>
      </w:r>
    </w:p>
    <w:p w14:paraId="7B269592" w14:textId="77777777" w:rsidR="00BF6748" w:rsidRPr="00BF6748"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Con le presenti note, la difesa del Comune di Berbenno, riportandosi integralmente ai propri atti e alle conclusioni ivi rassegnate, illustra le ragioni a sostegno del rigetto della domanda attorea.</w:t>
      </w:r>
    </w:p>
    <w:p w14:paraId="7B4EA375" w14:textId="77777777" w:rsidR="00BF6748" w:rsidRPr="00614131" w:rsidRDefault="00BF6748" w:rsidP="00BF6748">
      <w:pPr>
        <w:pStyle w:val="Bollo"/>
        <w:spacing w:line="360" w:lineRule="auto"/>
        <w:ind w:firstLine="709"/>
        <w:rPr>
          <w:rFonts w:ascii="Arial" w:hAnsi="Arial" w:cs="Arial"/>
          <w:bCs/>
          <w:sz w:val="24"/>
          <w:szCs w:val="24"/>
        </w:rPr>
      </w:pPr>
      <w:r w:rsidRPr="00614131">
        <w:rPr>
          <w:rFonts w:ascii="Arial" w:hAnsi="Arial" w:cs="Arial"/>
          <w:bCs/>
          <w:sz w:val="24"/>
          <w:szCs w:val="24"/>
        </w:rPr>
        <w:t>DIRITTO</w:t>
      </w:r>
    </w:p>
    <w:p w14:paraId="648895E1" w14:textId="3AB8F9E1" w:rsidR="00BF6748" w:rsidRPr="00BF6748" w:rsidRDefault="00BF6748" w:rsidP="002A6793">
      <w:pPr>
        <w:pStyle w:val="Bollo"/>
        <w:spacing w:line="360" w:lineRule="auto"/>
        <w:ind w:firstLine="709"/>
        <w:rPr>
          <w:rFonts w:ascii="Arial" w:hAnsi="Arial" w:cs="Arial"/>
          <w:b w:val="0"/>
          <w:sz w:val="24"/>
          <w:szCs w:val="24"/>
        </w:rPr>
      </w:pPr>
      <w:r w:rsidRPr="00BF6748">
        <w:rPr>
          <w:rFonts w:ascii="Arial" w:hAnsi="Arial" w:cs="Arial"/>
          <w:b w:val="0"/>
          <w:sz w:val="24"/>
          <w:szCs w:val="24"/>
        </w:rPr>
        <w:t>L'opposizione promossa da Fastweb S.p.A. è infondata in fatto e in diritto e deve essere integralmente rigettata.</w:t>
      </w:r>
    </w:p>
    <w:p w14:paraId="56BA5373" w14:textId="6556F830" w:rsidR="00BF6748" w:rsidRPr="00BF6748" w:rsidRDefault="00BF6748" w:rsidP="002A6793">
      <w:pPr>
        <w:pStyle w:val="Bollo"/>
        <w:spacing w:line="360" w:lineRule="auto"/>
        <w:ind w:firstLine="709"/>
        <w:rPr>
          <w:rFonts w:ascii="Arial" w:hAnsi="Arial" w:cs="Arial"/>
          <w:b w:val="0"/>
          <w:sz w:val="24"/>
          <w:szCs w:val="24"/>
        </w:rPr>
      </w:pPr>
      <w:r w:rsidRPr="00614131">
        <w:rPr>
          <w:rFonts w:ascii="Arial" w:hAnsi="Arial" w:cs="Arial"/>
          <w:bCs/>
          <w:sz w:val="24"/>
          <w:szCs w:val="24"/>
        </w:rPr>
        <w:t>1. SULLA SOGGETTIVITÀ PASSIVA DI FASTWEB S.P.A. AI SENSI DELL'ART. 1, COMMA 831, L. 160/2019 E SULLA CORRETTA INTERPRETAZIONE DELLA NORMA</w:t>
      </w:r>
      <w:r w:rsidRPr="00BF6748">
        <w:rPr>
          <w:rFonts w:ascii="Arial" w:hAnsi="Arial" w:cs="Arial"/>
          <w:b w:val="0"/>
          <w:sz w:val="24"/>
          <w:szCs w:val="24"/>
        </w:rPr>
        <w:t>.</w:t>
      </w:r>
    </w:p>
    <w:p w14:paraId="3EA09012" w14:textId="77777777" w:rsidR="002A6793" w:rsidRPr="00614131" w:rsidRDefault="00BF6748" w:rsidP="00BF6748">
      <w:pPr>
        <w:pStyle w:val="Bollo"/>
        <w:spacing w:line="360" w:lineRule="auto"/>
        <w:ind w:firstLine="709"/>
        <w:rPr>
          <w:rFonts w:ascii="Arial" w:hAnsi="Arial" w:cs="Arial"/>
          <w:b w:val="0"/>
          <w:sz w:val="24"/>
          <w:szCs w:val="24"/>
          <w:u w:val="single"/>
        </w:rPr>
      </w:pPr>
      <w:r w:rsidRPr="00614131">
        <w:rPr>
          <w:rFonts w:ascii="Arial" w:hAnsi="Arial" w:cs="Arial"/>
          <w:b w:val="0"/>
          <w:sz w:val="24"/>
          <w:szCs w:val="24"/>
          <w:u w:val="single"/>
        </w:rPr>
        <w:t>Il fulcro della controversia risiede nell'individuazione del soggetto passivo del Canone Unico Patrimoniale nel settore delle telecomunicazioni, in caso di utilizzo condiviso delle infrastrutture.</w:t>
      </w:r>
    </w:p>
    <w:p w14:paraId="04EF9AF7" w14:textId="45DE0240" w:rsidR="00BF6748" w:rsidRPr="00BF6748" w:rsidRDefault="00BF6748" w:rsidP="00E55324">
      <w:pPr>
        <w:pStyle w:val="Bollo"/>
        <w:spacing w:line="360" w:lineRule="auto"/>
        <w:ind w:firstLine="709"/>
        <w:rPr>
          <w:rFonts w:ascii="Arial" w:hAnsi="Arial" w:cs="Arial"/>
          <w:b w:val="0"/>
          <w:sz w:val="24"/>
          <w:szCs w:val="24"/>
        </w:rPr>
      </w:pPr>
      <w:r w:rsidRPr="00BF6748">
        <w:rPr>
          <w:rFonts w:ascii="Arial" w:hAnsi="Arial" w:cs="Arial"/>
          <w:b w:val="0"/>
          <w:sz w:val="24"/>
          <w:szCs w:val="24"/>
        </w:rPr>
        <w:t>La tesi di parte attrice, secondo cui il canone sarebbe dovuto esclusivamente dal titolare della concessione (nel caso di specie, TIM o Open Fiber), è palesemente erronea e frutto di una lettura parziale e decontestualizzata del quadro normativo.</w:t>
      </w:r>
    </w:p>
    <w:p w14:paraId="0848661E" w14:textId="71093594" w:rsidR="00BF6748" w:rsidRPr="00BF6748" w:rsidRDefault="00BF6748" w:rsidP="00E55324">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La disciplina vigente, contenuta nell'art. 1, comma 831, della Legge n. 160/2019, come modificato dalla Legge n. 178/2020, è cristallina nello stabilire che: “il canone è dovuto dal soggetto titolare dell’atto di concessione dell’occupazione del suolo pubblico e dai soggetti che occupano il suolo pubblico, </w:t>
      </w:r>
      <w:r w:rsidRPr="00614131">
        <w:rPr>
          <w:rFonts w:ascii="Arial" w:hAnsi="Arial" w:cs="Arial"/>
          <w:bCs/>
          <w:sz w:val="24"/>
          <w:szCs w:val="24"/>
          <w:u w:val="single"/>
        </w:rPr>
        <w:t>anche in via mediata</w:t>
      </w:r>
      <w:r w:rsidRPr="00BF6748">
        <w:rPr>
          <w:rFonts w:ascii="Arial" w:hAnsi="Arial" w:cs="Arial"/>
          <w:b w:val="0"/>
          <w:sz w:val="24"/>
          <w:szCs w:val="24"/>
        </w:rPr>
        <w:t>, attraverso l’utilizzo materiale delle infrastrutture del soggetto titolare della concessione sulla base del numero delle rispettive utenze”.</w:t>
      </w:r>
    </w:p>
    <w:p w14:paraId="0EB5547A" w14:textId="69723AB5" w:rsidR="00BF6748" w:rsidRPr="00614131" w:rsidRDefault="00BF6748" w:rsidP="00762014">
      <w:pPr>
        <w:pStyle w:val="Bollo"/>
        <w:spacing w:line="360" w:lineRule="auto"/>
        <w:ind w:firstLine="709"/>
        <w:rPr>
          <w:rFonts w:ascii="Arial" w:hAnsi="Arial" w:cs="Arial"/>
          <w:b w:val="0"/>
          <w:sz w:val="24"/>
          <w:szCs w:val="24"/>
          <w:u w:val="single"/>
        </w:rPr>
      </w:pPr>
      <w:r w:rsidRPr="00614131">
        <w:rPr>
          <w:rFonts w:ascii="Arial" w:hAnsi="Arial" w:cs="Arial"/>
          <w:b w:val="0"/>
          <w:sz w:val="24"/>
          <w:szCs w:val="24"/>
          <w:u w:val="single"/>
        </w:rPr>
        <w:t>L'introduzione del concetto di "occupazione in via mediata" e la specificazione della pluralità di soggetti passivi ("il soggetto titolare... e dai soggetti che occupano...") sono frutto di una precisa volontà del Legislatore di superare il precedente regime, che vedeva nel solo concessionario l'unico debitore, e di adeguare la normativa alla realtà di un mercato liberalizzato, ove più operatori sfruttano la medesima infrastruttura fisica per fornire il proprio servizio.</w:t>
      </w:r>
    </w:p>
    <w:p w14:paraId="6EEF4CD7" w14:textId="77777777" w:rsidR="00614131"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lastRenderedPageBreak/>
        <w:t>Contrariamente a quanto sostenuto da Fastweb</w:t>
      </w:r>
      <w:r w:rsidRPr="00614131">
        <w:rPr>
          <w:rFonts w:ascii="Arial" w:hAnsi="Arial" w:cs="Arial"/>
          <w:b w:val="0"/>
          <w:sz w:val="24"/>
          <w:szCs w:val="24"/>
          <w:u w:val="single"/>
        </w:rPr>
        <w:t>, l'utilizzo della rete altrui tramite accordi wholesale (VULA, NGA, etc.) integra pienamente la fattispecie dell'"utilizzo materiale"</w:t>
      </w:r>
      <w:r w:rsidRPr="00BF6748">
        <w:rPr>
          <w:rFonts w:ascii="Arial" w:hAnsi="Arial" w:cs="Arial"/>
          <w:b w:val="0"/>
          <w:sz w:val="24"/>
          <w:szCs w:val="24"/>
        </w:rPr>
        <w:t xml:space="preserve">. </w:t>
      </w:r>
    </w:p>
    <w:p w14:paraId="7CE65E90" w14:textId="6804FED7" w:rsidR="007A7297" w:rsidRDefault="00614131" w:rsidP="00BF6748">
      <w:pPr>
        <w:pStyle w:val="Bollo"/>
        <w:spacing w:line="360" w:lineRule="auto"/>
        <w:ind w:firstLine="709"/>
        <w:rPr>
          <w:rFonts w:ascii="Arial" w:hAnsi="Arial" w:cs="Arial"/>
          <w:b w:val="0"/>
          <w:sz w:val="24"/>
          <w:szCs w:val="24"/>
        </w:rPr>
      </w:pPr>
      <w:r>
        <w:rPr>
          <w:rFonts w:ascii="Arial" w:hAnsi="Arial" w:cs="Arial"/>
          <w:b w:val="0"/>
          <w:sz w:val="24"/>
          <w:szCs w:val="24"/>
        </w:rPr>
        <w:t>Ed infatti, s</w:t>
      </w:r>
      <w:r w:rsidR="00BF6748" w:rsidRPr="00BF6748">
        <w:rPr>
          <w:rFonts w:ascii="Arial" w:hAnsi="Arial" w:cs="Arial"/>
          <w:b w:val="0"/>
          <w:sz w:val="24"/>
          <w:szCs w:val="24"/>
        </w:rPr>
        <w:t xml:space="preserve">ebbene l'accesso sia definito "virtuale" sotto il profilo tecnico-commerciale, esso si traduce in un </w:t>
      </w:r>
      <w:r w:rsidR="00BF6748" w:rsidRPr="00614131">
        <w:rPr>
          <w:rFonts w:ascii="Arial" w:hAnsi="Arial" w:cs="Arial"/>
          <w:b w:val="0"/>
          <w:sz w:val="24"/>
          <w:szCs w:val="24"/>
          <w:u w:val="single"/>
        </w:rPr>
        <w:t>flusso fisico di dati che transita materialmente attraverso cavi e condutture posati sul suolo pubblico comunale</w:t>
      </w:r>
      <w:r w:rsidR="00BF6748" w:rsidRPr="00BF6748">
        <w:rPr>
          <w:rFonts w:ascii="Arial" w:hAnsi="Arial" w:cs="Arial"/>
          <w:b w:val="0"/>
          <w:sz w:val="24"/>
          <w:szCs w:val="24"/>
        </w:rPr>
        <w:t>.</w:t>
      </w:r>
    </w:p>
    <w:p w14:paraId="0322887B" w14:textId="77777777" w:rsidR="009F369B" w:rsidRPr="001B261B" w:rsidRDefault="00BF6748" w:rsidP="00BF6748">
      <w:pPr>
        <w:pStyle w:val="Bollo"/>
        <w:spacing w:line="360" w:lineRule="auto"/>
        <w:ind w:firstLine="709"/>
        <w:rPr>
          <w:rFonts w:ascii="Arial" w:hAnsi="Arial" w:cs="Arial"/>
          <w:bCs/>
          <w:sz w:val="24"/>
          <w:szCs w:val="24"/>
          <w:u w:val="single"/>
        </w:rPr>
      </w:pPr>
      <w:r w:rsidRPr="001B261B">
        <w:rPr>
          <w:rFonts w:ascii="Arial" w:hAnsi="Arial" w:cs="Arial"/>
          <w:bCs/>
          <w:sz w:val="24"/>
          <w:szCs w:val="24"/>
          <w:u w:val="single"/>
        </w:rPr>
        <w:t>Interpretare il termine "materiale" come necessità di una duplicazione fisica di cavi da parte di ogni operatore svuoterebbe di ogni significato la norma, rendendo inapplicabile il concetto stesso di "occupazione mediata".</w:t>
      </w:r>
    </w:p>
    <w:p w14:paraId="5D768D22" w14:textId="26862412" w:rsidR="00BF6748"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 Come correttamente statuito dalla giurisprudenza di merito favorevole agli Enti Locali, </w:t>
      </w:r>
      <w:r w:rsidRPr="001B261B">
        <w:rPr>
          <w:rFonts w:ascii="Arial" w:hAnsi="Arial" w:cs="Arial"/>
          <w:bCs/>
          <w:i/>
          <w:iCs/>
          <w:sz w:val="24"/>
          <w:szCs w:val="24"/>
          <w:u w:val="single"/>
        </w:rPr>
        <w:t>“nel criterio di materialità dell’uso dell’infrastruttura altrui deve intendersi incluso anche quello con modalità virtuale considerata l’evoluzione tecnologica nel campo della telefonia”</w:t>
      </w:r>
      <w:r w:rsidRPr="00BF6748">
        <w:rPr>
          <w:rFonts w:ascii="Arial" w:hAnsi="Arial" w:cs="Arial"/>
          <w:b w:val="0"/>
          <w:sz w:val="24"/>
          <w:szCs w:val="24"/>
        </w:rPr>
        <w:t xml:space="preserve"> </w:t>
      </w:r>
      <w:r w:rsidRPr="001B261B">
        <w:rPr>
          <w:rFonts w:ascii="Arial" w:hAnsi="Arial" w:cs="Arial"/>
          <w:bCs/>
          <w:sz w:val="24"/>
          <w:szCs w:val="24"/>
        </w:rPr>
        <w:t>(cfr. Tribunale di Piacenza, sent. n. 207/2025, citata in atti).</w:t>
      </w:r>
    </w:p>
    <w:p w14:paraId="01DB500A" w14:textId="77777777" w:rsidR="00EC6B89" w:rsidRDefault="00EC6B89" w:rsidP="008F0DB4">
      <w:pPr>
        <w:suppressAutoHyphens w:val="0"/>
        <w:overflowPunct/>
        <w:autoSpaceDE/>
        <w:spacing w:line="360" w:lineRule="auto"/>
        <w:ind w:firstLine="426"/>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xml:space="preserve">Tra le tante sentenze che confermano l’applicazione della soggettività in via mediata nel settore della telefonia si </w:t>
      </w:r>
      <w:r>
        <w:rPr>
          <w:rFonts w:ascii="Arial" w:eastAsia="Calibri" w:hAnsi="Arial" w:cs="Arial"/>
          <w:kern w:val="2"/>
          <w:sz w:val="24"/>
          <w:szCs w:val="24"/>
          <w:lang w:eastAsia="en-US"/>
        </w:rPr>
        <w:t xml:space="preserve">evidenzia in primo luogo la recentissima sentenza resa dal </w:t>
      </w:r>
      <w:r w:rsidRPr="001B261B">
        <w:rPr>
          <w:rFonts w:ascii="Arial" w:eastAsia="Calibri" w:hAnsi="Arial" w:cs="Arial"/>
          <w:b/>
          <w:bCs/>
          <w:kern w:val="2"/>
          <w:sz w:val="24"/>
          <w:szCs w:val="24"/>
          <w:u w:val="single"/>
          <w:lang w:eastAsia="en-US"/>
        </w:rPr>
        <w:t>Tribunale di Bolzano n. 908/2025 del 15.10.2025</w:t>
      </w:r>
      <w:r>
        <w:rPr>
          <w:rFonts w:ascii="Arial" w:eastAsia="Calibri" w:hAnsi="Arial" w:cs="Arial"/>
          <w:kern w:val="2"/>
          <w:sz w:val="24"/>
          <w:szCs w:val="24"/>
          <w:lang w:eastAsia="en-US"/>
        </w:rPr>
        <w:t xml:space="preserve">, che si produce, che ha precisato: </w:t>
      </w:r>
      <w:r w:rsidRPr="00581BD0">
        <w:rPr>
          <w:rFonts w:ascii="Arial" w:eastAsia="Calibri" w:hAnsi="Arial" w:cs="Arial"/>
          <w:i/>
          <w:iCs/>
          <w:kern w:val="2"/>
          <w:sz w:val="24"/>
          <w:szCs w:val="24"/>
          <w:lang w:eastAsia="en-US"/>
        </w:rPr>
        <w:t xml:space="preserve">“nel settore delle telecomunicazioni, il legislatore non appare aver imposto alcuna separazione, ma anzi, in attuazione delle direttive europee settoriali, </w:t>
      </w:r>
      <w:r w:rsidRPr="001B261B">
        <w:rPr>
          <w:rFonts w:ascii="Arial" w:eastAsia="Calibri" w:hAnsi="Arial" w:cs="Arial"/>
          <w:b/>
          <w:bCs/>
          <w:i/>
          <w:iCs/>
          <w:kern w:val="2"/>
          <w:sz w:val="24"/>
          <w:szCs w:val="24"/>
          <w:u w:val="single"/>
          <w:lang w:eastAsia="en-US"/>
        </w:rPr>
        <w:t xml:space="preserve">ha incentivato la condivisione delle reti </w:t>
      </w:r>
      <w:r w:rsidRPr="00581BD0">
        <w:rPr>
          <w:rFonts w:ascii="Arial" w:eastAsia="Calibri" w:hAnsi="Arial" w:cs="Arial"/>
          <w:i/>
          <w:iCs/>
          <w:kern w:val="2"/>
          <w:sz w:val="24"/>
          <w:szCs w:val="24"/>
          <w:lang w:eastAsia="en-US"/>
        </w:rPr>
        <w:t>(cfr. nella giurisprudenza di questo Tribunale di Bolzano le sentenze nn. 431 e 649/2024).</w:t>
      </w:r>
      <w:r w:rsidRPr="00581BD0">
        <w:rPr>
          <w:rFonts w:ascii="Arial" w:eastAsia="Calibri" w:hAnsi="Arial" w:cs="Arial"/>
          <w:i/>
          <w:iCs/>
          <w:kern w:val="2"/>
          <w:sz w:val="24"/>
          <w:szCs w:val="24"/>
          <w:lang w:eastAsia="en-US"/>
        </w:rPr>
        <w:br/>
      </w:r>
      <w:r w:rsidRPr="001B261B">
        <w:rPr>
          <w:rFonts w:ascii="Arial" w:eastAsia="Calibri" w:hAnsi="Arial" w:cs="Arial"/>
          <w:b/>
          <w:bCs/>
          <w:i/>
          <w:iCs/>
          <w:kern w:val="2"/>
          <w:sz w:val="24"/>
          <w:szCs w:val="24"/>
          <w:u w:val="single"/>
          <w:lang w:eastAsia="en-US"/>
        </w:rPr>
        <w:t>È, infatti, la natura stessa dell'infrastruttura ad esigere una compresenza di più operatori, che agiscono sulla stessa rete del concessionario, il quale, a sua volta, utilizza l'infrastruttura assieme ai propri competitor.</w:t>
      </w:r>
      <w:r w:rsidRPr="00581BD0">
        <w:rPr>
          <w:rFonts w:ascii="Arial" w:eastAsia="Calibri" w:hAnsi="Arial" w:cs="Arial"/>
          <w:i/>
          <w:iCs/>
          <w:kern w:val="2"/>
          <w:sz w:val="24"/>
          <w:szCs w:val="24"/>
          <w:lang w:eastAsia="en-US"/>
        </w:rPr>
        <w:br/>
        <w:t>Quindi, per la particolarità della fattispecie, il concetto della “separazione” deve ritenersi applicabile a casistiche differenti rispetto a quella di cui è causa, come i settori del gas e dell’energia elettrica."</w:t>
      </w:r>
    </w:p>
    <w:p w14:paraId="559A4505" w14:textId="77777777" w:rsidR="00EC6B89" w:rsidRPr="00393A19" w:rsidRDefault="00EC6B89" w:rsidP="008F0DB4">
      <w:pPr>
        <w:suppressAutoHyphens w:val="0"/>
        <w:overflowPunct/>
        <w:autoSpaceDE/>
        <w:spacing w:line="360" w:lineRule="auto"/>
        <w:ind w:firstLine="426"/>
        <w:jc w:val="both"/>
        <w:textAlignment w:val="auto"/>
        <w:rPr>
          <w:rFonts w:ascii="Arial" w:eastAsia="Calibri" w:hAnsi="Arial" w:cs="Arial"/>
          <w:kern w:val="2"/>
          <w:sz w:val="24"/>
          <w:szCs w:val="24"/>
          <w:lang w:eastAsia="en-US"/>
        </w:rPr>
      </w:pPr>
      <w:r>
        <w:rPr>
          <w:rFonts w:ascii="Arial" w:eastAsia="Calibri" w:hAnsi="Arial" w:cs="Arial"/>
          <w:kern w:val="2"/>
          <w:sz w:val="24"/>
          <w:szCs w:val="24"/>
          <w:lang w:eastAsia="en-US"/>
        </w:rPr>
        <w:t>Tale sentenza è stata preceduta già da:</w:t>
      </w:r>
    </w:p>
    <w:p w14:paraId="1A56A78D"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Tribunale di Bolzano Sentenza N. 431/2024</w:t>
      </w:r>
    </w:p>
    <w:p w14:paraId="09668D0A"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bookmarkStart w:id="0" w:name="m_4538845636176179816_m_-648566957053672"/>
      <w:r w:rsidRPr="00393A19">
        <w:rPr>
          <w:rFonts w:ascii="Arial" w:eastAsia="Calibri" w:hAnsi="Arial" w:cs="Arial"/>
          <w:kern w:val="2"/>
          <w:sz w:val="24"/>
          <w:szCs w:val="24"/>
          <w:lang w:eastAsia="en-US"/>
        </w:rPr>
        <w:t>- Tribunale di Bolzano Sentenza N. 649/2024</w:t>
      </w:r>
      <w:bookmarkEnd w:id="0"/>
    </w:p>
    <w:p w14:paraId="3E3D70AE"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Tribunale di Padova Sentenza N. 1341/2024</w:t>
      </w:r>
    </w:p>
    <w:p w14:paraId="561897F4"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1409/2023</w:t>
      </w:r>
    </w:p>
    <w:p w14:paraId="088A5631"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1410/2023</w:t>
      </w:r>
    </w:p>
    <w:p w14:paraId="3E195484"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1407/2023</w:t>
      </w:r>
    </w:p>
    <w:p w14:paraId="6CCC2710"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1411/2023</w:t>
      </w:r>
    </w:p>
    <w:p w14:paraId="6F038C38"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1414/2023</w:t>
      </w:r>
    </w:p>
    <w:p w14:paraId="76272079"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lastRenderedPageBreak/>
        <w:t>- Giudice di Pace di Treviso Sentenza N. 167/2024</w:t>
      </w:r>
    </w:p>
    <w:p w14:paraId="5615C3F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168/2024</w:t>
      </w:r>
    </w:p>
    <w:p w14:paraId="1C0B6D8A"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Sentenza N. 294/2024</w:t>
      </w:r>
    </w:p>
    <w:p w14:paraId="7D76114F"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RG 5618/2023</w:t>
      </w:r>
    </w:p>
    <w:p w14:paraId="3582FD29"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RG 5744/2023</w:t>
      </w:r>
    </w:p>
    <w:p w14:paraId="7D36D24D"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Treviso RG 5434/2023</w:t>
      </w:r>
    </w:p>
    <w:p w14:paraId="3B2ECDF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Sentenza N. 1511/2023</w:t>
      </w:r>
    </w:p>
    <w:p w14:paraId="0D9FFEC2"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Sentenza N. 1550/2023</w:t>
      </w:r>
    </w:p>
    <w:p w14:paraId="4DFD0848"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Sentenza N. 454/2024</w:t>
      </w:r>
    </w:p>
    <w:p w14:paraId="7F3387A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Sentenza N. 6795/2024</w:t>
      </w:r>
    </w:p>
    <w:p w14:paraId="76E7CECE"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Sentenza N. 1058/2024</w:t>
      </w:r>
    </w:p>
    <w:p w14:paraId="35F5BD6E"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RG 5385/2023</w:t>
      </w:r>
    </w:p>
    <w:p w14:paraId="2F7103E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Padova RG 4099/2023</w:t>
      </w:r>
    </w:p>
    <w:p w14:paraId="1DAF475A"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Rovigo Sentenza N. 665/2023</w:t>
      </w:r>
    </w:p>
    <w:p w14:paraId="6851156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Rovigo Sentenza N. 666/2023</w:t>
      </w:r>
    </w:p>
    <w:p w14:paraId="09AEAB6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Rovigo RG 5588/2023</w:t>
      </w:r>
    </w:p>
    <w:p w14:paraId="0CF20428"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Rovigo RG 5949/2023</w:t>
      </w:r>
    </w:p>
    <w:p w14:paraId="3B962A6E"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Rovigo Sentenza N. 219/2024</w:t>
      </w:r>
    </w:p>
    <w:p w14:paraId="0AE684C6"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Viterbo RG 1716/2023</w:t>
      </w:r>
    </w:p>
    <w:p w14:paraId="488045FE"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Ancona Sentenza N. 80/2024</w:t>
      </w:r>
    </w:p>
    <w:p w14:paraId="7C0A0599"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Monza RG 6910/2023</w:t>
      </w:r>
    </w:p>
    <w:p w14:paraId="2785C71A"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Portoferraio Sentenza N. 17/2024</w:t>
      </w:r>
    </w:p>
    <w:p w14:paraId="52340856"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Parma RG 3192/2023</w:t>
      </w:r>
    </w:p>
    <w:p w14:paraId="3130A78E"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Novara Sentenza N. 4824/2023</w:t>
      </w:r>
    </w:p>
    <w:p w14:paraId="3298C409"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Lanciano RG 639/2023</w:t>
      </w:r>
    </w:p>
    <w:p w14:paraId="29A551C1"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Ivrea RG 2842/2023</w:t>
      </w:r>
    </w:p>
    <w:p w14:paraId="463E33B4"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Sondrio Sentenza N. 117/2024</w:t>
      </w:r>
    </w:p>
    <w:p w14:paraId="5B524B05" w14:textId="77777777" w:rsidR="00EC6B89" w:rsidRPr="00393A19" w:rsidRDefault="00EC6B89" w:rsidP="008F0DB4">
      <w:pPr>
        <w:shd w:val="clear" w:color="auto" w:fill="FFFFFF"/>
        <w:suppressAutoHyphens w:val="0"/>
        <w:overflowPunct/>
        <w:autoSpaceDE/>
        <w:spacing w:line="360" w:lineRule="auto"/>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Giudice di Pace di Belluno RG 1263/2023</w:t>
      </w:r>
    </w:p>
    <w:p w14:paraId="10EE7EFE" w14:textId="45020CC8" w:rsidR="00F7613F" w:rsidRPr="00393A19" w:rsidRDefault="00F7613F" w:rsidP="007A071D">
      <w:pPr>
        <w:shd w:val="clear" w:color="auto" w:fill="FFFFFF"/>
        <w:suppressAutoHyphens w:val="0"/>
        <w:overflowPunct/>
        <w:autoSpaceDE/>
        <w:spacing w:line="360" w:lineRule="auto"/>
        <w:ind w:firstLine="426"/>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In</w:t>
      </w:r>
      <w:r w:rsidR="001B261B">
        <w:rPr>
          <w:rFonts w:ascii="Arial" w:eastAsia="Calibri" w:hAnsi="Arial" w:cs="Arial"/>
          <w:kern w:val="2"/>
          <w:sz w:val="24"/>
          <w:szCs w:val="24"/>
          <w:lang w:eastAsia="en-US"/>
        </w:rPr>
        <w:t>oltre</w:t>
      </w:r>
      <w:r w:rsidRPr="00393A19">
        <w:rPr>
          <w:rFonts w:ascii="Arial" w:eastAsia="Calibri" w:hAnsi="Arial" w:cs="Arial"/>
          <w:kern w:val="2"/>
          <w:sz w:val="24"/>
          <w:szCs w:val="24"/>
          <w:lang w:eastAsia="en-US"/>
        </w:rPr>
        <w:t>, si ric</w:t>
      </w:r>
      <w:r w:rsidR="001B261B">
        <w:rPr>
          <w:rFonts w:ascii="Arial" w:eastAsia="Calibri" w:hAnsi="Arial" w:cs="Arial"/>
          <w:kern w:val="2"/>
          <w:sz w:val="24"/>
          <w:szCs w:val="24"/>
          <w:lang w:eastAsia="en-US"/>
        </w:rPr>
        <w:t>hiamano</w:t>
      </w:r>
      <w:r>
        <w:rPr>
          <w:rFonts w:ascii="Arial" w:eastAsia="Calibri" w:hAnsi="Arial" w:cs="Arial"/>
          <w:kern w:val="2"/>
          <w:sz w:val="24"/>
          <w:szCs w:val="24"/>
          <w:lang w:eastAsia="en-US"/>
        </w:rPr>
        <w:t>, anche,</w:t>
      </w:r>
      <w:r w:rsidRPr="00393A19">
        <w:rPr>
          <w:rFonts w:ascii="Arial" w:eastAsia="Calibri" w:hAnsi="Arial" w:cs="Arial"/>
          <w:kern w:val="2"/>
          <w:sz w:val="24"/>
          <w:szCs w:val="24"/>
          <w:lang w:eastAsia="en-US"/>
        </w:rPr>
        <w:t xml:space="preserve"> le recenti sentenze </w:t>
      </w:r>
      <w:r>
        <w:rPr>
          <w:rFonts w:ascii="Arial" w:eastAsia="Calibri" w:hAnsi="Arial" w:cs="Arial"/>
          <w:kern w:val="2"/>
          <w:sz w:val="24"/>
          <w:szCs w:val="24"/>
          <w:lang w:eastAsia="en-US"/>
        </w:rPr>
        <w:t>rese da</w:t>
      </w:r>
      <w:r w:rsidRPr="00393A19">
        <w:rPr>
          <w:rFonts w:ascii="Arial" w:eastAsia="Calibri" w:hAnsi="Arial" w:cs="Arial"/>
          <w:kern w:val="2"/>
          <w:sz w:val="24"/>
          <w:szCs w:val="24"/>
          <w:lang w:eastAsia="en-US"/>
        </w:rPr>
        <w:t xml:space="preserve">l </w:t>
      </w:r>
      <w:r w:rsidRPr="00D34005">
        <w:rPr>
          <w:rFonts w:ascii="Arial" w:eastAsia="Calibri" w:hAnsi="Arial" w:cs="Arial"/>
          <w:b/>
          <w:kern w:val="2"/>
          <w:sz w:val="24"/>
          <w:szCs w:val="24"/>
          <w:u w:val="single"/>
          <w:lang w:eastAsia="en-US"/>
        </w:rPr>
        <w:t>Tribunale di Piacenza</w:t>
      </w:r>
      <w:r w:rsidRPr="00393A19">
        <w:rPr>
          <w:rFonts w:ascii="Arial" w:eastAsia="Calibri" w:hAnsi="Arial" w:cs="Arial"/>
          <w:kern w:val="2"/>
          <w:sz w:val="24"/>
          <w:szCs w:val="24"/>
          <w:lang w:eastAsia="en-US"/>
        </w:rPr>
        <w:t xml:space="preserve"> che bene hanno sintetizzato e correttamente inquadrato la problematica </w:t>
      </w:r>
      <w:r w:rsidR="001B261B">
        <w:rPr>
          <w:rFonts w:ascii="Arial" w:eastAsia="Calibri" w:hAnsi="Arial" w:cs="Arial"/>
          <w:kern w:val="2"/>
          <w:sz w:val="24"/>
          <w:szCs w:val="24"/>
          <w:lang w:eastAsia="en-US"/>
        </w:rPr>
        <w:t xml:space="preserve">di cui si discure </w:t>
      </w:r>
      <w:r w:rsidRPr="00393A19">
        <w:rPr>
          <w:rFonts w:ascii="Arial" w:eastAsia="Calibri" w:hAnsi="Arial" w:cs="Arial"/>
          <w:kern w:val="2"/>
          <w:sz w:val="24"/>
          <w:szCs w:val="24"/>
          <w:lang w:eastAsia="en-US"/>
        </w:rPr>
        <w:t xml:space="preserve">e cioè la </w:t>
      </w:r>
      <w:r w:rsidRPr="00D34005">
        <w:rPr>
          <w:rFonts w:ascii="Arial" w:eastAsia="Calibri" w:hAnsi="Arial" w:cs="Arial"/>
          <w:b/>
          <w:kern w:val="2"/>
          <w:sz w:val="24"/>
          <w:szCs w:val="24"/>
          <w:u w:val="single"/>
          <w:lang w:eastAsia="en-US"/>
        </w:rPr>
        <w:t>Sentenza di Secondo grado numero 350 del 16.07.2025 e la sentenza di primo grado numero 207 del 06.05.2025</w:t>
      </w:r>
      <w:r w:rsidRPr="00393A19">
        <w:rPr>
          <w:rFonts w:ascii="Arial" w:eastAsia="Calibri" w:hAnsi="Arial" w:cs="Arial"/>
          <w:kern w:val="2"/>
          <w:sz w:val="24"/>
          <w:szCs w:val="24"/>
          <w:lang w:eastAsia="en-US"/>
        </w:rPr>
        <w:t>.</w:t>
      </w:r>
    </w:p>
    <w:p w14:paraId="288AA1BB" w14:textId="77777777" w:rsidR="00F7613F" w:rsidRPr="00393A19" w:rsidRDefault="00F7613F" w:rsidP="007A071D">
      <w:pPr>
        <w:shd w:val="clear" w:color="auto" w:fill="FFFFFF"/>
        <w:suppressAutoHyphens w:val="0"/>
        <w:overflowPunct/>
        <w:autoSpaceDE/>
        <w:spacing w:line="360" w:lineRule="auto"/>
        <w:ind w:firstLine="426"/>
        <w:jc w:val="both"/>
        <w:textAlignment w:val="auto"/>
        <w:rPr>
          <w:rFonts w:ascii="Arial" w:eastAsia="Calibri" w:hAnsi="Arial" w:cs="Arial"/>
          <w:kern w:val="2"/>
          <w:sz w:val="24"/>
          <w:szCs w:val="24"/>
          <w:lang w:eastAsia="en-US"/>
        </w:rPr>
      </w:pPr>
      <w:r>
        <w:rPr>
          <w:rFonts w:ascii="Arial" w:eastAsia="Calibri" w:hAnsi="Arial" w:cs="Arial"/>
          <w:kern w:val="2"/>
          <w:sz w:val="24"/>
          <w:szCs w:val="24"/>
          <w:lang w:eastAsia="en-US"/>
        </w:rPr>
        <w:t>Ed infatti, n</w:t>
      </w:r>
      <w:r w:rsidRPr="00393A19">
        <w:rPr>
          <w:rFonts w:ascii="Arial" w:eastAsia="Calibri" w:hAnsi="Arial" w:cs="Arial"/>
          <w:kern w:val="2"/>
          <w:sz w:val="24"/>
          <w:szCs w:val="24"/>
          <w:lang w:eastAsia="en-US"/>
        </w:rPr>
        <w:t xml:space="preserve">ella </w:t>
      </w:r>
      <w:r w:rsidRPr="00393A19">
        <w:rPr>
          <w:rFonts w:ascii="Arial" w:eastAsia="Calibri" w:hAnsi="Arial" w:cs="Arial"/>
          <w:b/>
          <w:bCs/>
          <w:kern w:val="2"/>
          <w:sz w:val="24"/>
          <w:szCs w:val="24"/>
          <w:lang w:eastAsia="en-US"/>
        </w:rPr>
        <w:t>decisione di secondo grado n. 350 del 16.07.2025,</w:t>
      </w:r>
      <w:r w:rsidRPr="00D34005">
        <w:rPr>
          <w:rFonts w:ascii="Arial" w:eastAsia="Calibri" w:hAnsi="Arial" w:cs="Arial"/>
          <w:b/>
          <w:bCs/>
          <w:kern w:val="2"/>
          <w:sz w:val="24"/>
          <w:szCs w:val="24"/>
          <w:lang w:eastAsia="en-US"/>
        </w:rPr>
        <w:t xml:space="preserve"> il</w:t>
      </w:r>
      <w:r w:rsidRPr="00D34005">
        <w:rPr>
          <w:rFonts w:ascii="Arial" w:eastAsia="Calibri" w:hAnsi="Arial" w:cs="Arial"/>
          <w:b/>
          <w:kern w:val="2"/>
          <w:sz w:val="24"/>
          <w:szCs w:val="24"/>
          <w:lang w:eastAsia="en-US"/>
        </w:rPr>
        <w:t xml:space="preserve"> Tribunale di Piacenza</w:t>
      </w:r>
      <w:r w:rsidRPr="00393A19">
        <w:rPr>
          <w:rFonts w:ascii="Arial" w:eastAsia="Calibri" w:hAnsi="Arial" w:cs="Arial"/>
          <w:kern w:val="2"/>
          <w:sz w:val="24"/>
          <w:szCs w:val="24"/>
          <w:lang w:eastAsia="en-US"/>
        </w:rPr>
        <w:t xml:space="preserve"> confermando l’applicazione del canone per i casi di utilizzo in via mediat</w:t>
      </w:r>
      <w:r>
        <w:rPr>
          <w:rFonts w:ascii="Arial" w:eastAsia="Calibri" w:hAnsi="Arial" w:cs="Arial"/>
          <w:kern w:val="2"/>
          <w:sz w:val="24"/>
          <w:szCs w:val="24"/>
          <w:lang w:eastAsia="en-US"/>
        </w:rPr>
        <w:t>a</w:t>
      </w:r>
      <w:r w:rsidRPr="00393A19">
        <w:rPr>
          <w:rFonts w:ascii="Arial" w:eastAsia="Calibri" w:hAnsi="Arial" w:cs="Arial"/>
          <w:kern w:val="2"/>
          <w:sz w:val="24"/>
          <w:szCs w:val="24"/>
          <w:lang w:eastAsia="en-US"/>
        </w:rPr>
        <w:t xml:space="preserve"> dell’infrastruttura di rete telefonica </w:t>
      </w:r>
      <w:r>
        <w:rPr>
          <w:rFonts w:ascii="Arial" w:eastAsia="Calibri" w:hAnsi="Arial" w:cs="Arial"/>
          <w:kern w:val="2"/>
          <w:sz w:val="24"/>
          <w:szCs w:val="24"/>
          <w:lang w:eastAsia="en-US"/>
        </w:rPr>
        <w:t xml:space="preserve">ha </w:t>
      </w:r>
      <w:r w:rsidRPr="00393A19">
        <w:rPr>
          <w:rFonts w:ascii="Arial" w:eastAsia="Calibri" w:hAnsi="Arial" w:cs="Arial"/>
          <w:kern w:val="2"/>
          <w:sz w:val="24"/>
          <w:szCs w:val="24"/>
          <w:lang w:eastAsia="en-US"/>
        </w:rPr>
        <w:t>così</w:t>
      </w:r>
      <w:r>
        <w:rPr>
          <w:rFonts w:ascii="Arial" w:eastAsia="Calibri" w:hAnsi="Arial" w:cs="Arial"/>
          <w:kern w:val="2"/>
          <w:sz w:val="24"/>
          <w:szCs w:val="24"/>
          <w:lang w:eastAsia="en-US"/>
        </w:rPr>
        <w:t xml:space="preserve"> </w:t>
      </w:r>
      <w:r w:rsidRPr="00393A19">
        <w:rPr>
          <w:rFonts w:ascii="Arial" w:eastAsia="Calibri" w:hAnsi="Arial" w:cs="Arial"/>
          <w:kern w:val="2"/>
          <w:sz w:val="24"/>
          <w:szCs w:val="24"/>
          <w:lang w:eastAsia="en-US"/>
        </w:rPr>
        <w:t>affermato:</w:t>
      </w:r>
    </w:p>
    <w:p w14:paraId="696B4A0A" w14:textId="77777777" w:rsidR="00F7613F" w:rsidRPr="00393A19" w:rsidRDefault="00F7613F" w:rsidP="007A071D">
      <w:pPr>
        <w:shd w:val="clear" w:color="auto" w:fill="FFFFFF"/>
        <w:suppressAutoHyphens w:val="0"/>
        <w:overflowPunct/>
        <w:autoSpaceDE/>
        <w:spacing w:line="360" w:lineRule="auto"/>
        <w:ind w:firstLine="426"/>
        <w:jc w:val="both"/>
        <w:textAlignment w:val="auto"/>
        <w:rPr>
          <w:rFonts w:ascii="Arial" w:eastAsia="Calibri" w:hAnsi="Arial" w:cs="Arial"/>
          <w:b/>
          <w:bCs/>
          <w:i/>
          <w:iCs/>
          <w:kern w:val="2"/>
          <w:sz w:val="24"/>
          <w:szCs w:val="24"/>
          <w:lang w:eastAsia="en-US"/>
        </w:rPr>
      </w:pPr>
      <w:r w:rsidRPr="00D34005">
        <w:rPr>
          <w:rFonts w:ascii="Arial" w:eastAsia="Calibri" w:hAnsi="Arial" w:cs="Arial"/>
          <w:bCs/>
          <w:i/>
          <w:iCs/>
          <w:kern w:val="2"/>
          <w:sz w:val="24"/>
          <w:szCs w:val="24"/>
          <w:lang w:eastAsia="en-US"/>
        </w:rPr>
        <w:lastRenderedPageBreak/>
        <w:t xml:space="preserve">“La decisione del Giudice di Pace è condivisibile in quanto aderente alla lettera della legge, laddove: </w:t>
      </w:r>
      <w:r w:rsidRPr="001B261B">
        <w:rPr>
          <w:rFonts w:ascii="Arial" w:eastAsia="Calibri" w:hAnsi="Arial" w:cs="Arial"/>
          <w:b/>
          <w:i/>
          <w:iCs/>
          <w:kern w:val="2"/>
          <w:sz w:val="24"/>
          <w:szCs w:val="24"/>
          <w:u w:val="single"/>
          <w:lang w:eastAsia="en-US"/>
        </w:rPr>
        <w:t>l’espressione “utilizzo materiale” non implica alcuna modificazione della realtà esterna, come si evince dal fatto che la stessa norma menziona l’occupazione del suolo pubblico in via mediata;</w:t>
      </w:r>
      <w:r w:rsidRPr="00D34005">
        <w:rPr>
          <w:rFonts w:ascii="Arial" w:eastAsia="Calibri" w:hAnsi="Arial" w:cs="Arial"/>
          <w:bCs/>
          <w:i/>
          <w:iCs/>
          <w:kern w:val="2"/>
          <w:sz w:val="24"/>
          <w:szCs w:val="24"/>
          <w:lang w:eastAsia="en-US"/>
        </w:rPr>
        <w:t xml:space="preserve"> il canone colpisce tutti i soggetti che, comunque, si avvalgono di fatto delle occupazioni permanenti del territorio comunale con cavi e condutture, senza che sia necessaria alcuna modificazione della realtà;</w:t>
      </w:r>
      <w:r w:rsidRPr="00393A19">
        <w:rPr>
          <w:rFonts w:ascii="Arial" w:eastAsia="Calibri" w:hAnsi="Arial" w:cs="Arial"/>
          <w:b/>
          <w:bCs/>
          <w:i/>
          <w:iCs/>
          <w:kern w:val="2"/>
          <w:sz w:val="24"/>
          <w:szCs w:val="24"/>
          <w:lang w:eastAsia="en-US"/>
        </w:rPr>
        <w:t xml:space="preserve"> in base al dettato normativo vigente, obbligati al pagamento del canone sono sia il titolare dell’infrastruttura, sia il c.d. soggetto passivo in via mediata, al quale, dunque, gli enti locali possono rivolgersi per la riscossione del canone.”</w:t>
      </w:r>
    </w:p>
    <w:p w14:paraId="540449EF" w14:textId="77777777" w:rsidR="00F7613F" w:rsidRPr="00393A19" w:rsidRDefault="00F7613F" w:rsidP="007A071D">
      <w:pPr>
        <w:shd w:val="clear" w:color="auto" w:fill="FFFFFF"/>
        <w:suppressAutoHyphens w:val="0"/>
        <w:overflowPunct/>
        <w:autoSpaceDE/>
        <w:spacing w:line="360" w:lineRule="auto"/>
        <w:ind w:firstLine="284"/>
        <w:jc w:val="both"/>
        <w:textAlignment w:val="auto"/>
        <w:rPr>
          <w:rFonts w:ascii="Arial" w:eastAsia="Calibri" w:hAnsi="Arial" w:cs="Arial"/>
          <w:kern w:val="2"/>
          <w:sz w:val="24"/>
          <w:szCs w:val="24"/>
          <w:lang w:eastAsia="en-US"/>
        </w:rPr>
      </w:pPr>
      <w:r>
        <w:rPr>
          <w:rFonts w:ascii="Arial" w:eastAsia="Calibri" w:hAnsi="Arial" w:cs="Arial"/>
          <w:kern w:val="2"/>
          <w:sz w:val="24"/>
          <w:szCs w:val="24"/>
          <w:lang w:eastAsia="en-US"/>
        </w:rPr>
        <w:t xml:space="preserve">Meglio ancora, con </w:t>
      </w:r>
      <w:r w:rsidRPr="00393A19">
        <w:rPr>
          <w:rFonts w:ascii="Arial" w:eastAsia="Calibri" w:hAnsi="Arial" w:cs="Arial"/>
          <w:kern w:val="2"/>
          <w:sz w:val="24"/>
          <w:szCs w:val="24"/>
          <w:lang w:eastAsia="en-US"/>
        </w:rPr>
        <w:t>la</w:t>
      </w:r>
      <w:r w:rsidRPr="00393A19">
        <w:rPr>
          <w:rFonts w:ascii="Arial" w:eastAsia="Calibri" w:hAnsi="Arial" w:cs="Arial"/>
          <w:b/>
          <w:bCs/>
          <w:kern w:val="2"/>
          <w:sz w:val="24"/>
          <w:szCs w:val="24"/>
          <w:lang w:eastAsia="en-US"/>
        </w:rPr>
        <w:t xml:space="preserve"> sentenza di primo grado numero 207 del 06.05.2025</w:t>
      </w:r>
      <w:r w:rsidRPr="00393A19">
        <w:rPr>
          <w:rFonts w:ascii="Arial" w:eastAsia="Calibri" w:hAnsi="Arial" w:cs="Arial"/>
          <w:kern w:val="2"/>
          <w:sz w:val="24"/>
          <w:szCs w:val="24"/>
          <w:lang w:eastAsia="en-US"/>
        </w:rPr>
        <w:t xml:space="preserve"> </w:t>
      </w:r>
      <w:r>
        <w:rPr>
          <w:rFonts w:ascii="Arial" w:eastAsia="Calibri" w:hAnsi="Arial" w:cs="Arial"/>
          <w:kern w:val="2"/>
          <w:sz w:val="24"/>
          <w:szCs w:val="24"/>
          <w:lang w:eastAsia="en-US"/>
        </w:rPr>
        <w:t xml:space="preserve">(che </w:t>
      </w:r>
      <w:r w:rsidRPr="00393A19">
        <w:rPr>
          <w:rFonts w:ascii="Arial" w:eastAsia="Calibri" w:hAnsi="Arial" w:cs="Arial"/>
          <w:kern w:val="2"/>
          <w:sz w:val="24"/>
          <w:szCs w:val="24"/>
          <w:lang w:eastAsia="en-US"/>
        </w:rPr>
        <w:t>riconosce la corretta applicazione della soggettività passiva in via mediata a carico delle società che sfruttano con collegamenti virtuali la rete telefonica di TIM ora ceduta a FiberCop</w:t>
      </w:r>
      <w:r>
        <w:rPr>
          <w:rFonts w:ascii="Arial" w:eastAsia="Calibri" w:hAnsi="Arial" w:cs="Arial"/>
          <w:kern w:val="2"/>
          <w:sz w:val="24"/>
          <w:szCs w:val="24"/>
          <w:lang w:eastAsia="en-US"/>
        </w:rPr>
        <w:t xml:space="preserve">) </w:t>
      </w:r>
      <w:r w:rsidRPr="001B261B">
        <w:rPr>
          <w:rFonts w:ascii="Arial" w:eastAsia="Calibri" w:hAnsi="Arial" w:cs="Arial"/>
          <w:b/>
          <w:bCs/>
          <w:kern w:val="2"/>
          <w:sz w:val="24"/>
          <w:szCs w:val="24"/>
          <w:u w:val="single"/>
          <w:lang w:eastAsia="en-US"/>
        </w:rPr>
        <w:t>il giudice</w:t>
      </w:r>
      <w:r w:rsidRPr="00393A19">
        <w:rPr>
          <w:rFonts w:ascii="Arial" w:eastAsia="Calibri" w:hAnsi="Arial" w:cs="Arial"/>
          <w:kern w:val="2"/>
          <w:sz w:val="24"/>
          <w:szCs w:val="24"/>
          <w:lang w:eastAsia="en-US"/>
        </w:rPr>
        <w:t xml:space="preserve"> (dott.ssa Maria Rosaria Sciurpa) offre, con chiarezza di linguaggio, una </w:t>
      </w:r>
      <w:r w:rsidRPr="001B261B">
        <w:rPr>
          <w:rFonts w:ascii="Arial" w:eastAsia="Calibri" w:hAnsi="Arial" w:cs="Arial"/>
          <w:b/>
          <w:bCs/>
          <w:kern w:val="2"/>
          <w:sz w:val="24"/>
          <w:szCs w:val="24"/>
          <w:u w:val="single"/>
          <w:lang w:eastAsia="en-US"/>
        </w:rPr>
        <w:t>ricostruzione ineccepibile della volontà del Legislatore, proprio alla luce degli interventi normativi e interpretativi intervenuti sul testo originario del comma 831</w:t>
      </w:r>
      <w:r w:rsidRPr="00393A19">
        <w:rPr>
          <w:rFonts w:ascii="Arial" w:eastAsia="Calibri" w:hAnsi="Arial" w:cs="Arial"/>
          <w:kern w:val="2"/>
          <w:sz w:val="24"/>
          <w:szCs w:val="24"/>
          <w:lang w:eastAsia="en-US"/>
        </w:rPr>
        <w:t xml:space="preserve">. </w:t>
      </w:r>
    </w:p>
    <w:p w14:paraId="439529AB" w14:textId="77777777" w:rsidR="00F7613F" w:rsidRPr="00393A19" w:rsidRDefault="00F7613F"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 xml:space="preserve">Di seguito si riportano i 13 punti salienti della sentenza che non necessiterebbero di ulteriori commenti: </w:t>
      </w:r>
    </w:p>
    <w:p w14:paraId="4C6C68C6"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E’ dato pacifico fra le parti che V. non utilizza nel Comune di Podenzano una rete di telecomunicazione propria ma si avvale, per il servizio offerto ai propri clienti, della rete di T. </w:t>
      </w:r>
    </w:p>
    <w:p w14:paraId="75FC6418"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Pertanto, ai fini del decidere, è necessario analizzare la normativa in relazione al criterio della c.d. “occupazione mediata” al fine di individuare se, nel caso di specie, sussista o meno la soggettività passiva in capo alla V.</w:t>
      </w:r>
    </w:p>
    <w:p w14:paraId="6E98E9B2"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L’art. 1 comma 831 della L. n. 160/2019, nella sua formulazione originaria prevedeva che Per le occupazioni permanenti del territorio comunale, con cavi e condutture, da chiunque effettuata per la fornitura di servizi di pubblica utilità, quali la distribuzione ed erogazione di energia elettrica, gas, acqua, calore, servizi di telecomunicazione e radiotelevisivi e di altri servizi a rete, il canone è dovuto dal soggetto titolare dell'atto di concessione all'occupazione sulla base delle utenze complessive del soggetto stesso e di tutti gli altri soggetti che utilizzano le reti moltiplicata per la seguente tariffa forfetaria (omissis);</w:t>
      </w:r>
    </w:p>
    <w:p w14:paraId="7B4A50F7"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 La formulazione oggi vigente, a seguito della modifica ad opera della L.n.178/2020, prevede che 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w:t>
      </w:r>
      <w:r w:rsidRPr="00393A19">
        <w:rPr>
          <w:rFonts w:ascii="Arial" w:eastAsia="Calibri" w:hAnsi="Arial" w:cs="Arial"/>
          <w:i/>
          <w:iCs/>
          <w:color w:val="000000"/>
          <w:kern w:val="0"/>
          <w:sz w:val="24"/>
          <w:szCs w:val="24"/>
          <w:lang w:eastAsia="en-US"/>
        </w:rPr>
        <w:lastRenderedPageBreak/>
        <w:t>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 omissis);</w:t>
      </w:r>
    </w:p>
    <w:p w14:paraId="6D1104F2"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Con l’art. 5 comma 14 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p>
    <w:p w14:paraId="40F7A370"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come quelli del gas e dell’energia elettrica- in cui la normativa di riferimento impone una netta separazione tra l’attività di distribuzione e quella di vendita, lasciando per il resto inalterata l’originaria previsione</w:t>
      </w:r>
    </w:p>
    <w:p w14:paraId="7745CC56" w14:textId="77777777" w:rsidR="00F7613F" w:rsidRPr="001B261B"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b/>
          <w:bCs/>
          <w:i/>
          <w:iCs/>
          <w:color w:val="000000"/>
          <w:kern w:val="0"/>
          <w:sz w:val="24"/>
          <w:szCs w:val="24"/>
          <w:u w:val="single"/>
          <w:lang w:eastAsia="en-US"/>
        </w:rPr>
      </w:pPr>
      <w:r w:rsidRPr="001B261B">
        <w:rPr>
          <w:rFonts w:ascii="Arial" w:eastAsia="Calibri" w:hAnsi="Arial" w:cs="Arial"/>
          <w:b/>
          <w:bCs/>
          <w:i/>
          <w:iCs/>
          <w:color w:val="000000"/>
          <w:kern w:val="0"/>
          <w:sz w:val="24"/>
          <w:szCs w:val="24"/>
          <w:u w:val="single"/>
          <w:lang w:eastAsia="en-U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4BBCF87A" w14:textId="77777777" w:rsidR="00F7613F" w:rsidRPr="001B261B"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b/>
          <w:bCs/>
          <w:i/>
          <w:iCs/>
          <w:color w:val="000000"/>
          <w:kern w:val="0"/>
          <w:sz w:val="24"/>
          <w:szCs w:val="24"/>
          <w:u w:val="single"/>
          <w:lang w:eastAsia="en-US"/>
        </w:rPr>
      </w:pPr>
      <w:r w:rsidRPr="001B261B">
        <w:rPr>
          <w:rFonts w:ascii="Arial" w:eastAsia="Calibri" w:hAnsi="Arial" w:cs="Arial"/>
          <w:b/>
          <w:bCs/>
          <w:i/>
          <w:iCs/>
          <w:color w:val="000000"/>
          <w:kern w:val="0"/>
          <w:sz w:val="24"/>
          <w:szCs w:val="24"/>
          <w:u w:val="single"/>
          <w:lang w:eastAsia="en-U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2B95361D"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Per il servizio di telefonia, come quello in esame, l’operatore telefonico non si limita alla mera commercializzazione del servizio ma fa uso, seppur mediato, della rete </w:t>
      </w:r>
      <w:r w:rsidRPr="00393A19">
        <w:rPr>
          <w:rFonts w:ascii="Arial" w:eastAsia="Calibri" w:hAnsi="Arial" w:cs="Arial"/>
          <w:i/>
          <w:iCs/>
          <w:color w:val="000000"/>
          <w:kern w:val="0"/>
          <w:sz w:val="24"/>
          <w:szCs w:val="24"/>
          <w:lang w:eastAsia="en-US"/>
        </w:rPr>
        <w:lastRenderedPageBreak/>
        <w:t>infrastrutturale di T. collegandovisi mediante i sistemi descritti nell’atto di citazione (cfr. pagg. 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1649CF8E"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Peraltro nel criterio di materialità dell’uso dell’infrastruttura altrui deve intendersi incluso anche quello con modalità virtuale considerata l’evoluzione tecnologica nel campo della telefonia. </w:t>
      </w:r>
    </w:p>
    <w:p w14:paraId="28AC25F9"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Ne consegue, da tutto quanto precede, che V. non possa essere considerata al pari di una mera società di commercializzazione di prodotti telefonici ma, diversamente, vada ritenuta un operatore telefonico che si avvale, nel caso di specie, in via mediata di infrastrutture del concessionario T., si che la stessa rientra nella previsione di cui all’art. 1 comma 831 della L. n. 160/2019, così come modificato dalla L. n.178/2020, e deve essere ritenuto soggetto passivo ai fini del CUP. </w:t>
      </w:r>
    </w:p>
    <w:p w14:paraId="6F397B73"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Del resto, la mancata produzione del contratto intercorso fra V. e T., non consente di apprezzare se nel prezzo di concessione sia incluso anche il costo del CUP come pare adombrare parte attrice. </w:t>
      </w:r>
    </w:p>
    <w:p w14:paraId="0B41DB40" w14:textId="77777777" w:rsidR="00F7613F" w:rsidRPr="00393A19" w:rsidRDefault="00F7613F" w:rsidP="00F7613F">
      <w:pPr>
        <w:numPr>
          <w:ilvl w:val="0"/>
          <w:numId w:val="14"/>
        </w:numPr>
        <w:suppressAutoHyphens w:val="0"/>
        <w:overflowPunct/>
        <w:autoSpaceDE/>
        <w:autoSpaceDN w:val="0"/>
        <w:adjustRightInd w:val="0"/>
        <w:spacing w:line="360" w:lineRule="auto"/>
        <w:ind w:left="0"/>
        <w:jc w:val="both"/>
        <w:textAlignment w:val="auto"/>
        <w:rPr>
          <w:rFonts w:ascii="Arial" w:eastAsia="Calibri" w:hAnsi="Arial" w:cs="Arial"/>
          <w:i/>
          <w:iCs/>
          <w:color w:val="000000"/>
          <w:kern w:val="0"/>
          <w:sz w:val="24"/>
          <w:szCs w:val="24"/>
          <w:lang w:eastAsia="en-US"/>
        </w:rPr>
      </w:pPr>
      <w:r w:rsidRPr="00393A19">
        <w:rPr>
          <w:rFonts w:ascii="Arial" w:eastAsia="Calibri" w:hAnsi="Arial" w:cs="Arial"/>
          <w:i/>
          <w:iCs/>
          <w:color w:val="000000"/>
          <w:kern w:val="0"/>
          <w:sz w:val="24"/>
          <w:szCs w:val="24"/>
          <w:lang w:eastAsia="en-US"/>
        </w:rPr>
        <w:t xml:space="preserve">Le spese di giudizio, atteso il documentato contrasto giurisprudenziale sull’interpretazione delle norme esaminate e l’assenza di specifici chiarimenti di legittimità, meritano integrale compensazione fra le parti </w:t>
      </w:r>
    </w:p>
    <w:p w14:paraId="7884CC16" w14:textId="70298559" w:rsidR="00F7613F" w:rsidRPr="00393A19" w:rsidRDefault="001B261B"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Pr>
          <w:rFonts w:ascii="Arial" w:eastAsia="Calibri" w:hAnsi="Arial" w:cs="Arial"/>
          <w:kern w:val="2"/>
          <w:sz w:val="24"/>
          <w:szCs w:val="24"/>
          <w:lang w:eastAsia="en-US"/>
        </w:rPr>
        <w:t>I</w:t>
      </w:r>
      <w:r w:rsidR="00F7613F">
        <w:rPr>
          <w:rFonts w:ascii="Arial" w:eastAsia="Calibri" w:hAnsi="Arial" w:cs="Arial"/>
          <w:kern w:val="2"/>
          <w:sz w:val="24"/>
          <w:szCs w:val="24"/>
          <w:lang w:eastAsia="en-US"/>
        </w:rPr>
        <w:t xml:space="preserve">n particolare si sottolinea il </w:t>
      </w:r>
      <w:r w:rsidR="00F7613F" w:rsidRPr="00393A19">
        <w:rPr>
          <w:rFonts w:ascii="Arial" w:eastAsia="Calibri" w:hAnsi="Arial" w:cs="Arial"/>
          <w:kern w:val="2"/>
          <w:sz w:val="24"/>
          <w:szCs w:val="24"/>
          <w:lang w:eastAsia="en-US"/>
        </w:rPr>
        <w:t xml:space="preserve">punto 7 dove, </w:t>
      </w:r>
      <w:r w:rsidR="00F7613F">
        <w:rPr>
          <w:rFonts w:ascii="Arial" w:eastAsia="Calibri" w:hAnsi="Arial" w:cs="Arial"/>
          <w:kern w:val="2"/>
          <w:sz w:val="24"/>
          <w:szCs w:val="24"/>
          <w:lang w:eastAsia="en-US"/>
        </w:rPr>
        <w:t xml:space="preserve">nel </w:t>
      </w:r>
      <w:r w:rsidR="00F7613F" w:rsidRPr="00393A19">
        <w:rPr>
          <w:rFonts w:ascii="Arial" w:eastAsia="Calibri" w:hAnsi="Arial" w:cs="Arial"/>
          <w:kern w:val="2"/>
          <w:sz w:val="24"/>
          <w:szCs w:val="24"/>
          <w:lang w:eastAsia="en-US"/>
        </w:rPr>
        <w:t>confuta</w:t>
      </w:r>
      <w:r w:rsidR="00F7613F">
        <w:rPr>
          <w:rFonts w:ascii="Arial" w:eastAsia="Calibri" w:hAnsi="Arial" w:cs="Arial"/>
          <w:kern w:val="2"/>
          <w:sz w:val="24"/>
          <w:szCs w:val="24"/>
          <w:lang w:eastAsia="en-US"/>
        </w:rPr>
        <w:t>re</w:t>
      </w:r>
      <w:r w:rsidR="00F7613F" w:rsidRPr="00393A19">
        <w:rPr>
          <w:rFonts w:ascii="Arial" w:eastAsia="Calibri" w:hAnsi="Arial" w:cs="Arial"/>
          <w:kern w:val="2"/>
          <w:sz w:val="24"/>
          <w:szCs w:val="24"/>
          <w:lang w:eastAsia="en-US"/>
        </w:rPr>
        <w:t xml:space="preserve"> la </w:t>
      </w:r>
      <w:r w:rsidR="00F7613F">
        <w:rPr>
          <w:rFonts w:ascii="Arial" w:eastAsia="Calibri" w:hAnsi="Arial" w:cs="Arial"/>
          <w:kern w:val="2"/>
          <w:sz w:val="24"/>
          <w:szCs w:val="24"/>
          <w:lang w:eastAsia="en-US"/>
        </w:rPr>
        <w:t xml:space="preserve">posizione </w:t>
      </w:r>
      <w:r w:rsidR="00F7613F" w:rsidRPr="00393A19">
        <w:rPr>
          <w:rFonts w:ascii="Arial" w:eastAsia="Calibri" w:hAnsi="Arial" w:cs="Arial"/>
          <w:kern w:val="2"/>
          <w:sz w:val="24"/>
          <w:szCs w:val="24"/>
          <w:lang w:eastAsia="en-US"/>
        </w:rPr>
        <w:t>d</w:t>
      </w:r>
      <w:r w:rsidR="00F7613F">
        <w:rPr>
          <w:rFonts w:ascii="Arial" w:eastAsia="Calibri" w:hAnsi="Arial" w:cs="Arial"/>
          <w:kern w:val="2"/>
          <w:sz w:val="24"/>
          <w:szCs w:val="24"/>
          <w:lang w:eastAsia="en-US"/>
        </w:rPr>
        <w:t>e</w:t>
      </w:r>
      <w:r w:rsidR="00F7613F" w:rsidRPr="00393A19">
        <w:rPr>
          <w:rFonts w:ascii="Arial" w:eastAsia="Calibri" w:hAnsi="Arial" w:cs="Arial"/>
          <w:kern w:val="2"/>
          <w:sz w:val="24"/>
          <w:szCs w:val="24"/>
          <w:lang w:eastAsia="en-US"/>
        </w:rPr>
        <w:t xml:space="preserve">lla compagnia telefonica, il giudice rileva che la tesi della compagnia telefonica stride con la circostanza che il legislatore ha mantenuto in vigore la previsione introdotta dalla L.n.178/2020, di debenza del canone da parte sia del diretto intestatario dell’infrastruttura che di tutti coloro che anche in via mediata. </w:t>
      </w:r>
    </w:p>
    <w:p w14:paraId="19965DC8" w14:textId="4C6F84E7" w:rsidR="00F7613F" w:rsidRPr="00393A19" w:rsidRDefault="00F7613F"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Ed è così</w:t>
      </w:r>
      <w:r w:rsidR="001B261B">
        <w:rPr>
          <w:rFonts w:ascii="Arial" w:eastAsia="Calibri" w:hAnsi="Arial" w:cs="Arial"/>
          <w:kern w:val="2"/>
          <w:sz w:val="24"/>
          <w:szCs w:val="24"/>
          <w:lang w:eastAsia="en-US"/>
        </w:rPr>
        <w:t>!</w:t>
      </w:r>
      <w:r w:rsidRPr="00393A19">
        <w:rPr>
          <w:rFonts w:ascii="Arial" w:eastAsia="Calibri" w:hAnsi="Arial" w:cs="Arial"/>
          <w:kern w:val="2"/>
          <w:sz w:val="24"/>
          <w:szCs w:val="24"/>
          <w:lang w:eastAsia="en-US"/>
        </w:rPr>
        <w:t xml:space="preserve"> </w:t>
      </w:r>
    </w:p>
    <w:p w14:paraId="389889D0" w14:textId="77777777" w:rsidR="00F7613F" w:rsidRPr="00393A19" w:rsidRDefault="00F7613F"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t>Non possiamo ignorare</w:t>
      </w:r>
      <w:r>
        <w:rPr>
          <w:rFonts w:ascii="Arial" w:eastAsia="Calibri" w:hAnsi="Arial" w:cs="Arial"/>
          <w:kern w:val="2"/>
          <w:sz w:val="24"/>
          <w:szCs w:val="24"/>
          <w:lang w:eastAsia="en-US"/>
        </w:rPr>
        <w:t>, invero,</w:t>
      </w:r>
      <w:r w:rsidRPr="00393A19">
        <w:rPr>
          <w:rFonts w:ascii="Arial" w:eastAsia="Calibri" w:hAnsi="Arial" w:cs="Arial"/>
          <w:kern w:val="2"/>
          <w:sz w:val="24"/>
          <w:szCs w:val="24"/>
          <w:lang w:eastAsia="en-US"/>
        </w:rPr>
        <w:t xml:space="preserve"> come sia tuttora in vigore la disposizione che individua le compagnie telefoniche responsabili del pagamento del canone per le proprie utenze attive. La rete telefonica è caratterizzata dalla condivisione da parte di più competitor che possono offrire servizi all’utente finale senza una materiale occupazione, ma solo con collegamenti virtuali alle linee, in un mercato caratterizzato dalla libera concorrenza dove convivono soggetti titolari di concessioni per l’occupazione di reti e di soggetti che le utilizzano in via mediata appunto.</w:t>
      </w:r>
    </w:p>
    <w:p w14:paraId="4EEBC754" w14:textId="77777777" w:rsidR="00F7613F" w:rsidRPr="00393A19" w:rsidRDefault="00F7613F"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sidRPr="00393A19">
        <w:rPr>
          <w:rFonts w:ascii="Arial" w:eastAsia="Calibri" w:hAnsi="Arial" w:cs="Arial"/>
          <w:kern w:val="2"/>
          <w:sz w:val="24"/>
          <w:szCs w:val="24"/>
          <w:lang w:eastAsia="en-US"/>
        </w:rPr>
        <w:lastRenderedPageBreak/>
        <w:t>Qualunque diversa interpretazione risulterebbe viziata e non fedele al dettato normativo.</w:t>
      </w:r>
    </w:p>
    <w:p w14:paraId="464AC864" w14:textId="77777777" w:rsidR="00F7613F" w:rsidRPr="00393A19" w:rsidRDefault="00F7613F"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Pr>
          <w:rFonts w:ascii="Arial" w:eastAsia="Calibri" w:hAnsi="Arial" w:cs="Arial"/>
          <w:kern w:val="2"/>
          <w:sz w:val="24"/>
          <w:szCs w:val="24"/>
          <w:lang w:eastAsia="en-US"/>
        </w:rPr>
        <w:t>Ed infatti, a</w:t>
      </w:r>
      <w:r w:rsidRPr="00393A19">
        <w:rPr>
          <w:rFonts w:ascii="Arial" w:eastAsia="Calibri" w:hAnsi="Arial" w:cs="Arial"/>
          <w:kern w:val="2"/>
          <w:sz w:val="24"/>
          <w:szCs w:val="24"/>
          <w:lang w:eastAsia="en-US"/>
        </w:rPr>
        <w:t xml:space="preserve">l punto 8 della suddetta sentenza </w:t>
      </w:r>
      <w:r>
        <w:rPr>
          <w:rFonts w:ascii="Arial" w:eastAsia="Calibri" w:hAnsi="Arial" w:cs="Arial"/>
          <w:kern w:val="2"/>
          <w:sz w:val="24"/>
          <w:szCs w:val="24"/>
          <w:lang w:eastAsia="en-US"/>
        </w:rPr>
        <w:t xml:space="preserve">il Tribunale </w:t>
      </w:r>
      <w:r w:rsidRPr="00393A19">
        <w:rPr>
          <w:rFonts w:ascii="Arial" w:eastAsia="Calibri" w:hAnsi="Arial" w:cs="Arial"/>
          <w:kern w:val="2"/>
          <w:sz w:val="24"/>
          <w:szCs w:val="24"/>
          <w:lang w:eastAsia="en-US"/>
        </w:rPr>
        <w:t xml:space="preserve">chiarisce come la </w:t>
      </w:r>
      <w:r w:rsidRPr="00393A19">
        <w:rPr>
          <w:rFonts w:ascii="Arial" w:eastAsia="Calibri" w:hAnsi="Arial" w:cs="Arial"/>
          <w:i/>
          <w:kern w:val="2"/>
          <w:sz w:val="24"/>
          <w:szCs w:val="24"/>
          <w:lang w:eastAsia="en-US"/>
        </w:rPr>
        <w:t>ratio</w:t>
      </w:r>
      <w:r w:rsidRPr="00393A19">
        <w:rPr>
          <w:rFonts w:ascii="Arial" w:eastAsia="Calibri" w:hAnsi="Arial" w:cs="Arial"/>
          <w:kern w:val="2"/>
          <w:sz w:val="24"/>
          <w:szCs w:val="24"/>
          <w:lang w:eastAsia="en-US"/>
        </w:rPr>
        <w:t xml:space="preserve"> della norma di interpretazione autentica, vada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w:t>
      </w:r>
    </w:p>
    <w:p w14:paraId="3DF68D3A" w14:textId="77777777" w:rsidR="00F7613F" w:rsidRDefault="00F7613F" w:rsidP="007A071D">
      <w:pPr>
        <w:suppressAutoHyphens w:val="0"/>
        <w:overflowPunct/>
        <w:autoSpaceDE/>
        <w:spacing w:line="360" w:lineRule="auto"/>
        <w:ind w:firstLine="284"/>
        <w:jc w:val="both"/>
        <w:textAlignment w:val="auto"/>
        <w:rPr>
          <w:rFonts w:ascii="Arial" w:eastAsia="Calibri" w:hAnsi="Arial" w:cs="Arial"/>
          <w:b/>
          <w:kern w:val="2"/>
          <w:sz w:val="24"/>
          <w:szCs w:val="24"/>
          <w:u w:val="single"/>
          <w:lang w:eastAsia="en-US"/>
        </w:rPr>
      </w:pPr>
      <w:r w:rsidRPr="006C3518">
        <w:rPr>
          <w:rFonts w:ascii="Arial" w:eastAsia="Calibri" w:hAnsi="Arial" w:cs="Arial"/>
          <w:b/>
          <w:kern w:val="2"/>
          <w:sz w:val="24"/>
          <w:szCs w:val="24"/>
          <w:u w:val="single"/>
          <w:lang w:eastAsia="en-US"/>
        </w:rPr>
        <w:t>È questa la decisiva differenza che caratterizza i diversi settori e che porta ad applicare distintamente i due criteri oggi previsti dalla Legge.</w:t>
      </w:r>
    </w:p>
    <w:p w14:paraId="3694CF4D" w14:textId="77777777" w:rsidR="00F7613F" w:rsidRPr="006C3518" w:rsidRDefault="00F7613F" w:rsidP="007A071D">
      <w:pPr>
        <w:suppressAutoHyphens w:val="0"/>
        <w:overflowPunct/>
        <w:autoSpaceDE/>
        <w:spacing w:line="360" w:lineRule="auto"/>
        <w:ind w:firstLine="284"/>
        <w:jc w:val="both"/>
        <w:textAlignment w:val="auto"/>
        <w:rPr>
          <w:rFonts w:ascii="Arial" w:eastAsia="Calibri" w:hAnsi="Arial" w:cs="Arial"/>
          <w:b/>
          <w:kern w:val="2"/>
          <w:sz w:val="24"/>
          <w:szCs w:val="24"/>
          <w:u w:val="single"/>
          <w:lang w:eastAsia="en-US"/>
        </w:rPr>
      </w:pPr>
      <w:r w:rsidRPr="006C3518">
        <w:rPr>
          <w:rFonts w:ascii="Arial" w:eastAsia="Calibri" w:hAnsi="Arial" w:cs="Arial"/>
          <w:b/>
          <w:kern w:val="2"/>
          <w:sz w:val="24"/>
          <w:szCs w:val="24"/>
          <w:u w:val="single"/>
          <w:lang w:eastAsia="en-US"/>
        </w:rPr>
        <w:t>L’operatore telefonico non si limita infatti alla mera commercializzazione del servizio ma fa uso, seppur mediato, della rete infrastrutturale. Uso dell’infrastruttura altrui che deve intendersi anche con modalità virtuale considerata l’evoluzione tecnologica nel campo della telefonia.</w:t>
      </w:r>
    </w:p>
    <w:p w14:paraId="05E17FAA" w14:textId="77777777" w:rsidR="00F7613F" w:rsidRPr="00393A19" w:rsidRDefault="00F7613F" w:rsidP="007A071D">
      <w:pPr>
        <w:suppressAutoHyphens w:val="0"/>
        <w:overflowPunct/>
        <w:autoSpaceDE/>
        <w:spacing w:line="360" w:lineRule="auto"/>
        <w:ind w:firstLine="284"/>
        <w:jc w:val="both"/>
        <w:textAlignment w:val="auto"/>
        <w:rPr>
          <w:rFonts w:ascii="Arial" w:eastAsia="Calibri" w:hAnsi="Arial" w:cs="Arial"/>
          <w:kern w:val="2"/>
          <w:sz w:val="24"/>
          <w:szCs w:val="24"/>
          <w:lang w:eastAsia="en-US"/>
        </w:rPr>
      </w:pPr>
      <w:r>
        <w:rPr>
          <w:rFonts w:ascii="Arial" w:eastAsia="Calibri" w:hAnsi="Arial" w:cs="Arial"/>
          <w:kern w:val="2"/>
          <w:sz w:val="24"/>
          <w:szCs w:val="24"/>
          <w:lang w:eastAsia="en-US"/>
        </w:rPr>
        <w:t xml:space="preserve">Tali principi erano stati già sanciti </w:t>
      </w:r>
      <w:r w:rsidRPr="00393A19">
        <w:rPr>
          <w:rFonts w:ascii="Arial" w:eastAsia="Calibri" w:hAnsi="Arial" w:cs="Arial"/>
          <w:kern w:val="2"/>
          <w:sz w:val="24"/>
          <w:szCs w:val="24"/>
          <w:lang w:eastAsia="en-US"/>
        </w:rPr>
        <w:t xml:space="preserve">dal </w:t>
      </w:r>
      <w:r w:rsidRPr="001B261B">
        <w:rPr>
          <w:rFonts w:ascii="Arial" w:eastAsia="Calibri" w:hAnsi="Arial" w:cs="Arial"/>
          <w:b/>
          <w:bCs/>
          <w:kern w:val="2"/>
          <w:sz w:val="24"/>
          <w:szCs w:val="24"/>
          <w:u w:val="single"/>
          <w:lang w:eastAsia="en-US"/>
        </w:rPr>
        <w:t>Tribunale di Bolzano con sentenza 431/2024 del 08.04.2024</w:t>
      </w:r>
      <w:r>
        <w:rPr>
          <w:rFonts w:ascii="Arial" w:eastAsia="Calibri" w:hAnsi="Arial" w:cs="Arial"/>
          <w:kern w:val="2"/>
          <w:sz w:val="24"/>
          <w:szCs w:val="24"/>
          <w:lang w:eastAsia="en-US"/>
        </w:rPr>
        <w:t>, richiamata dal Tribunale di Piacenza,</w:t>
      </w:r>
      <w:r w:rsidRPr="00393A19">
        <w:rPr>
          <w:rFonts w:ascii="Arial" w:eastAsia="Calibri" w:hAnsi="Arial" w:cs="Arial"/>
          <w:kern w:val="2"/>
          <w:sz w:val="24"/>
          <w:szCs w:val="24"/>
          <w:lang w:eastAsia="en-US"/>
        </w:rPr>
        <w:t xml:space="preserve"> resa in causa </w:t>
      </w:r>
      <w:r>
        <w:rPr>
          <w:rFonts w:ascii="Arial" w:eastAsia="Calibri" w:hAnsi="Arial" w:cs="Arial"/>
          <w:kern w:val="2"/>
          <w:sz w:val="24"/>
          <w:szCs w:val="24"/>
          <w:lang w:eastAsia="en-US"/>
        </w:rPr>
        <w:t>analoga</w:t>
      </w:r>
      <w:r w:rsidRPr="00393A19">
        <w:rPr>
          <w:rFonts w:ascii="Arial" w:eastAsia="Calibri" w:hAnsi="Arial" w:cs="Arial"/>
          <w:kern w:val="2"/>
          <w:sz w:val="24"/>
          <w:szCs w:val="24"/>
          <w:lang w:eastAsia="en-US"/>
        </w:rPr>
        <w:t xml:space="preserve"> laddove </w:t>
      </w:r>
      <w:r>
        <w:rPr>
          <w:rFonts w:ascii="Arial" w:eastAsia="Calibri" w:hAnsi="Arial" w:cs="Arial"/>
          <w:kern w:val="2"/>
          <w:sz w:val="24"/>
          <w:szCs w:val="24"/>
          <w:lang w:eastAsia="en-US"/>
        </w:rPr>
        <w:t xml:space="preserve">si </w:t>
      </w:r>
      <w:r w:rsidRPr="00393A19">
        <w:rPr>
          <w:rFonts w:ascii="Arial" w:eastAsia="Calibri" w:hAnsi="Arial" w:cs="Arial"/>
          <w:kern w:val="2"/>
          <w:sz w:val="24"/>
          <w:szCs w:val="24"/>
          <w:lang w:eastAsia="en-US"/>
        </w:rPr>
        <w:t>precisa:</w:t>
      </w:r>
    </w:p>
    <w:p w14:paraId="36EB4332" w14:textId="77777777" w:rsidR="00F7613F" w:rsidRPr="00393A19" w:rsidRDefault="00F7613F" w:rsidP="007A071D">
      <w:pPr>
        <w:shd w:val="clear" w:color="auto" w:fill="FFFFFF"/>
        <w:suppressAutoHyphens w:val="0"/>
        <w:overflowPunct/>
        <w:autoSpaceDE/>
        <w:spacing w:line="360" w:lineRule="auto"/>
        <w:ind w:firstLine="284"/>
        <w:jc w:val="both"/>
        <w:textAlignment w:val="auto"/>
        <w:rPr>
          <w:rFonts w:ascii="Arial" w:eastAsia="Calibri" w:hAnsi="Arial" w:cs="Arial"/>
          <w:b/>
          <w:bCs/>
          <w:i/>
          <w:iCs/>
          <w:kern w:val="2"/>
          <w:sz w:val="24"/>
          <w:szCs w:val="24"/>
          <w:lang w:eastAsia="en-US"/>
        </w:rPr>
      </w:pPr>
      <w:r w:rsidRPr="00393A19">
        <w:rPr>
          <w:rFonts w:ascii="Arial" w:eastAsia="Calibri" w:hAnsi="Arial" w:cs="Arial"/>
          <w:b/>
          <w:bCs/>
          <w:i/>
          <w:iCs/>
          <w:kern w:val="2"/>
          <w:sz w:val="24"/>
          <w:szCs w:val="24"/>
          <w:lang w:eastAsia="en-US"/>
        </w:rPr>
        <w:t xml:space="preserve">“Sul punto, giova richiamare, ai sensi dell’art. 118, comma 1, disp. att. c.p.c., quanto già stabilito dal Tribunale di Bolzano con sentenza n. 431/2024 del 08.04.2024, resa in una causa avente un petitum ed una causa petendi del tutto sovrapponibili a quelli del presente giudizio, le cui conclusioni questo Tribunale ritiene di fare proprie: “Al fine di stabilire, quindi, la titolarità passiva del rapporto obbligatorio in capo alla opponente occorre stabilire se, nel caso di specie, sussiste o meno una tale separazione tra titolare dell’infrastruttura e titolare del contratto di vendita. </w:t>
      </w:r>
    </w:p>
    <w:p w14:paraId="7A7DB5F8" w14:textId="77777777" w:rsidR="00F7613F" w:rsidRPr="00393A19" w:rsidRDefault="00F7613F" w:rsidP="007A071D">
      <w:pPr>
        <w:shd w:val="clear" w:color="auto" w:fill="FFFFFF"/>
        <w:suppressAutoHyphens w:val="0"/>
        <w:overflowPunct/>
        <w:autoSpaceDE/>
        <w:spacing w:line="360" w:lineRule="auto"/>
        <w:ind w:firstLine="284"/>
        <w:jc w:val="both"/>
        <w:textAlignment w:val="auto"/>
        <w:rPr>
          <w:rFonts w:ascii="Arial" w:eastAsia="Calibri" w:hAnsi="Arial" w:cs="Arial"/>
          <w:b/>
          <w:bCs/>
          <w:i/>
          <w:iCs/>
          <w:kern w:val="2"/>
          <w:sz w:val="24"/>
          <w:szCs w:val="24"/>
          <w:lang w:eastAsia="en-US"/>
        </w:rPr>
      </w:pPr>
      <w:r w:rsidRPr="00393A19">
        <w:rPr>
          <w:rFonts w:ascii="Arial" w:eastAsia="Calibri" w:hAnsi="Arial" w:cs="Arial"/>
          <w:b/>
          <w:bCs/>
          <w:i/>
          <w:iCs/>
          <w:kern w:val="2"/>
          <w:sz w:val="24"/>
          <w:szCs w:val="24"/>
          <w:lang w:eastAsia="en-US"/>
        </w:rPr>
        <w:t xml:space="preserve">Sul punto si osserva come, contrariamente a quanto sostenuto dalla opponente e dalla giurisprudenza da essa citata, nel settore delle telecomunicazioni il legislatore non appare aver imposto alcuna separazione, ma anzi, in attuazione delle direttive europee settoriali, ha incentivato la condivisione delle reti. </w:t>
      </w:r>
    </w:p>
    <w:p w14:paraId="43BADF02" w14:textId="77777777" w:rsidR="00F7613F" w:rsidRPr="00393A19" w:rsidRDefault="00F7613F" w:rsidP="007A071D">
      <w:pPr>
        <w:shd w:val="clear" w:color="auto" w:fill="FFFFFF"/>
        <w:suppressAutoHyphens w:val="0"/>
        <w:overflowPunct/>
        <w:autoSpaceDE/>
        <w:spacing w:line="360" w:lineRule="auto"/>
        <w:ind w:firstLine="284"/>
        <w:jc w:val="both"/>
        <w:textAlignment w:val="auto"/>
        <w:rPr>
          <w:rFonts w:ascii="Arial" w:eastAsia="Calibri" w:hAnsi="Arial" w:cs="Arial"/>
          <w:b/>
          <w:bCs/>
          <w:i/>
          <w:iCs/>
          <w:kern w:val="2"/>
          <w:sz w:val="24"/>
          <w:szCs w:val="24"/>
          <w:lang w:eastAsia="en-US"/>
        </w:rPr>
      </w:pPr>
      <w:r w:rsidRPr="00393A19">
        <w:rPr>
          <w:rFonts w:ascii="Arial" w:eastAsia="Calibri" w:hAnsi="Arial" w:cs="Arial"/>
          <w:b/>
          <w:bCs/>
          <w:i/>
          <w:iCs/>
          <w:kern w:val="2"/>
          <w:sz w:val="24"/>
          <w:szCs w:val="24"/>
          <w:lang w:eastAsia="en-US"/>
        </w:rPr>
        <w:t>Dalle stesse spiegazioni fornite dalla opponente, anche in forma grafica, nel proprio atto introduttivo emerge come sia la natura stessa dell'infrastruttura ad esigere, quindi, una compresenza di più operatori, che utilizzano la stessa rete del concessionario che, a sua volta, utilizza l'infrastruttura assieme ai propri competitor.”</w:t>
      </w:r>
    </w:p>
    <w:p w14:paraId="28112FC3" w14:textId="6636DFFA" w:rsidR="00BF6748" w:rsidRPr="00F7613F" w:rsidRDefault="00F7613F" w:rsidP="00F7613F">
      <w:pPr>
        <w:pStyle w:val="Bollo"/>
        <w:spacing w:line="360" w:lineRule="auto"/>
        <w:jc w:val="center"/>
        <w:rPr>
          <w:rFonts w:ascii="Arial" w:hAnsi="Arial" w:cs="Arial"/>
          <w:sz w:val="24"/>
          <w:szCs w:val="24"/>
        </w:rPr>
      </w:pPr>
      <w:r w:rsidRPr="00393A19">
        <w:rPr>
          <w:rFonts w:ascii="Arial" w:hAnsi="Arial" w:cs="Arial"/>
          <w:b w:val="0"/>
          <w:i/>
          <w:iCs/>
          <w:sz w:val="24"/>
          <w:szCs w:val="24"/>
        </w:rPr>
        <w:t>* * *</w:t>
      </w:r>
    </w:p>
    <w:p w14:paraId="36622096" w14:textId="77777777" w:rsidR="00BF6748" w:rsidRPr="001B261B" w:rsidRDefault="00BF6748" w:rsidP="00BF6748">
      <w:pPr>
        <w:pStyle w:val="Bollo"/>
        <w:spacing w:line="360" w:lineRule="auto"/>
        <w:ind w:firstLine="709"/>
        <w:rPr>
          <w:rFonts w:ascii="Arial" w:hAnsi="Arial" w:cs="Arial"/>
          <w:bCs/>
          <w:sz w:val="24"/>
          <w:szCs w:val="24"/>
        </w:rPr>
      </w:pPr>
      <w:r w:rsidRPr="001B261B">
        <w:rPr>
          <w:rFonts w:ascii="Arial" w:hAnsi="Arial" w:cs="Arial"/>
          <w:bCs/>
          <w:sz w:val="24"/>
          <w:szCs w:val="24"/>
        </w:rPr>
        <w:lastRenderedPageBreak/>
        <w:t>2. SULL'INAPPLICABILITÀ DELLA NORMA DI INTERPRETAZIONE AUTENTICA (ART. 5, CO. 14-QUINQUIES, D.L. 146/2021) AL SETTORE DELLE TELECOMUNICAZIONI.</w:t>
      </w:r>
    </w:p>
    <w:p w14:paraId="1FDF18E2" w14:textId="77777777" w:rsidR="003F6BBE" w:rsidRDefault="003F6BBE" w:rsidP="00BF6748">
      <w:pPr>
        <w:pStyle w:val="Bollo"/>
        <w:spacing w:line="360" w:lineRule="auto"/>
        <w:ind w:firstLine="709"/>
        <w:rPr>
          <w:rFonts w:ascii="Arial" w:hAnsi="Arial" w:cs="Arial"/>
          <w:b w:val="0"/>
          <w:sz w:val="24"/>
          <w:szCs w:val="24"/>
        </w:rPr>
      </w:pPr>
      <w:r>
        <w:rPr>
          <w:rFonts w:ascii="Arial" w:hAnsi="Arial" w:cs="Arial"/>
          <w:b w:val="0"/>
          <w:sz w:val="24"/>
          <w:szCs w:val="24"/>
        </w:rPr>
        <w:t>Come visto, dunque, l</w:t>
      </w:r>
      <w:r w:rsidR="00BF6748" w:rsidRPr="00BF6748">
        <w:rPr>
          <w:rFonts w:ascii="Arial" w:hAnsi="Arial" w:cs="Arial"/>
          <w:b w:val="0"/>
          <w:sz w:val="24"/>
          <w:szCs w:val="24"/>
        </w:rPr>
        <w:t xml:space="preserve">'argomento principale di Fastweb, basato sull'art. 5, comma 14-quinquies, del D.L. n. 146/2021 Cit. 1, è infondato. </w:t>
      </w:r>
    </w:p>
    <w:p w14:paraId="69AC9A48" w14:textId="3602ECC2" w:rsidR="00BF6748" w:rsidRPr="00BF6748" w:rsidRDefault="00BF6748" w:rsidP="003F6BBE">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Tale norma di interpretazione autentica stabilisce che il canone è dovuto esclusivamente dal titolare della concessione “per le occupazioni permanenti di suolo pubblico effettuate </w:t>
      </w:r>
      <w:r w:rsidRPr="0044771B">
        <w:rPr>
          <w:rFonts w:ascii="Arial" w:hAnsi="Arial" w:cs="Arial"/>
          <w:b w:val="0"/>
          <w:sz w:val="24"/>
          <w:szCs w:val="24"/>
          <w:u w:val="single"/>
        </w:rPr>
        <w:t>nei settori in cui è prevista una separazione</w:t>
      </w:r>
      <w:r w:rsidRPr="00BF6748">
        <w:rPr>
          <w:rFonts w:ascii="Arial" w:hAnsi="Arial" w:cs="Arial"/>
          <w:b w:val="0"/>
          <w:sz w:val="24"/>
          <w:szCs w:val="24"/>
        </w:rPr>
        <w:t>, in ragione di assetti normativi, regolamentari o contrattuali, tra i soggetti titolari delle infrastrutture ed i soggetti titolari del contratto di vendita del bene distribuito alla clientela finale”</w:t>
      </w:r>
      <w:r w:rsidR="003F6BBE">
        <w:rPr>
          <w:rFonts w:ascii="Arial" w:hAnsi="Arial" w:cs="Arial"/>
          <w:b w:val="0"/>
          <w:sz w:val="24"/>
          <w:szCs w:val="24"/>
        </w:rPr>
        <w:t>.</w:t>
      </w:r>
    </w:p>
    <w:p w14:paraId="436D4343" w14:textId="77777777" w:rsidR="003F6BBE" w:rsidRPr="0044771B" w:rsidRDefault="00BF6748" w:rsidP="00BF6748">
      <w:pPr>
        <w:pStyle w:val="Bollo"/>
        <w:spacing w:line="360" w:lineRule="auto"/>
        <w:ind w:firstLine="709"/>
        <w:rPr>
          <w:rFonts w:ascii="Arial" w:hAnsi="Arial" w:cs="Arial"/>
          <w:b w:val="0"/>
          <w:sz w:val="24"/>
          <w:szCs w:val="24"/>
          <w:u w:val="single"/>
        </w:rPr>
      </w:pPr>
      <w:r w:rsidRPr="0044771B">
        <w:rPr>
          <w:rFonts w:ascii="Arial" w:hAnsi="Arial" w:cs="Arial"/>
          <w:b w:val="0"/>
          <w:sz w:val="24"/>
          <w:szCs w:val="24"/>
          <w:u w:val="single"/>
        </w:rPr>
        <w:t xml:space="preserve">La norma, </w:t>
      </w:r>
      <w:r w:rsidR="003F6BBE" w:rsidRPr="0044771B">
        <w:rPr>
          <w:rFonts w:ascii="Arial" w:hAnsi="Arial" w:cs="Arial"/>
          <w:b w:val="0"/>
          <w:sz w:val="24"/>
          <w:szCs w:val="24"/>
          <w:u w:val="single"/>
        </w:rPr>
        <w:t>chiaramente</w:t>
      </w:r>
      <w:r w:rsidRPr="0044771B">
        <w:rPr>
          <w:rFonts w:ascii="Arial" w:hAnsi="Arial" w:cs="Arial"/>
          <w:b w:val="0"/>
          <w:sz w:val="24"/>
          <w:szCs w:val="24"/>
          <w:u w:val="single"/>
        </w:rPr>
        <w:t xml:space="preserve">, non ha portata generale. Essa si riferisce specificamente a quei settori, come quello energetico (gas ed elettricità), dove la legge impone una netta e obbligatoria separazione societaria (c.d. unbundling) tra chi gestisce la rete di distribuzione e chi vende l'energia al cliente finale. </w:t>
      </w:r>
    </w:p>
    <w:p w14:paraId="47454358" w14:textId="467554A5" w:rsidR="00BF6748" w:rsidRPr="00BF6748" w:rsidRDefault="00BF6748" w:rsidP="003F6BBE">
      <w:pPr>
        <w:pStyle w:val="Bollo"/>
        <w:spacing w:line="360" w:lineRule="auto"/>
        <w:ind w:firstLine="709"/>
        <w:rPr>
          <w:rFonts w:ascii="Arial" w:hAnsi="Arial" w:cs="Arial"/>
          <w:b w:val="0"/>
          <w:sz w:val="24"/>
          <w:szCs w:val="24"/>
        </w:rPr>
      </w:pPr>
      <w:r w:rsidRPr="00BF6748">
        <w:rPr>
          <w:rFonts w:ascii="Arial" w:hAnsi="Arial" w:cs="Arial"/>
          <w:b w:val="0"/>
          <w:sz w:val="24"/>
          <w:szCs w:val="24"/>
        </w:rPr>
        <w:t>In tali contesti, la società di vendita è un mero rivenditore di un prodotto, senza alcuna interazione tecnica con la rete.</w:t>
      </w:r>
    </w:p>
    <w:p w14:paraId="0C8D35F0" w14:textId="77777777" w:rsidR="003F6BBE"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Il settore delle telecomunicazioni, al contrario, non è caratterizzato da una tale separazione imposta, ma da un obbligo di condivisione dell'infrastruttura (network sharing) per favorire la concorrenza. </w:t>
      </w:r>
    </w:p>
    <w:p w14:paraId="6514DF46" w14:textId="205AE931" w:rsidR="00BF6748" w:rsidRPr="00BF6748" w:rsidRDefault="00BF6748" w:rsidP="003F6BBE">
      <w:pPr>
        <w:pStyle w:val="Bollo"/>
        <w:spacing w:line="360" w:lineRule="auto"/>
        <w:ind w:firstLine="709"/>
        <w:rPr>
          <w:rFonts w:ascii="Arial" w:hAnsi="Arial" w:cs="Arial"/>
          <w:b w:val="0"/>
          <w:sz w:val="24"/>
          <w:szCs w:val="24"/>
        </w:rPr>
      </w:pPr>
      <w:r w:rsidRPr="00BF6748">
        <w:rPr>
          <w:rFonts w:ascii="Arial" w:hAnsi="Arial" w:cs="Arial"/>
          <w:b w:val="0"/>
          <w:sz w:val="24"/>
          <w:szCs w:val="24"/>
        </w:rPr>
        <w:t>L'operatore "ospite", come Fastweb, non si limita a "vendere" un servizio, ma lo "eroga" utilizzando attivamente, seppur in via mediata, la rete del concessionario. Accogliere la tesi di Fastweb significherebbe applicare un'eccezione prevista per specifici settori a una regola generale, contravvenendo ai principi di interpretazione normativa. Se il Legislatore avesse voluto escludere tout court le società di vendita dal pagamento del canone, avrebbe semplicemente abrogato la previsione della "soggettività passiva mediata" introdotta nel 2020, anziché dettare una norma interpretativa limitata a specifici settori.</w:t>
      </w:r>
    </w:p>
    <w:p w14:paraId="16167A77" w14:textId="5AB0CEB2" w:rsidR="00BF6748" w:rsidRPr="00BF6748" w:rsidRDefault="00BF6748" w:rsidP="003F6BBE">
      <w:pPr>
        <w:pStyle w:val="Bollo"/>
        <w:spacing w:line="360" w:lineRule="auto"/>
        <w:ind w:firstLine="709"/>
        <w:rPr>
          <w:rFonts w:ascii="Arial" w:hAnsi="Arial" w:cs="Arial"/>
          <w:b w:val="0"/>
          <w:sz w:val="24"/>
          <w:szCs w:val="24"/>
        </w:rPr>
      </w:pPr>
      <w:r w:rsidRPr="00BF6748">
        <w:rPr>
          <w:rFonts w:ascii="Arial" w:hAnsi="Arial" w:cs="Arial"/>
          <w:b w:val="0"/>
          <w:sz w:val="24"/>
          <w:szCs w:val="24"/>
        </w:rPr>
        <w:t>Come evidenziato dal Tribunale di Piacenza nella già citata sentenza:</w:t>
      </w:r>
    </w:p>
    <w:p w14:paraId="7764F1C8" w14:textId="48584F3B" w:rsidR="00BF6748" w:rsidRPr="003F6BBE" w:rsidRDefault="003F6BBE" w:rsidP="00BF6748">
      <w:pPr>
        <w:pStyle w:val="Bollo"/>
        <w:spacing w:line="360" w:lineRule="auto"/>
        <w:ind w:firstLine="709"/>
        <w:rPr>
          <w:rFonts w:ascii="Arial" w:hAnsi="Arial" w:cs="Arial"/>
          <w:b w:val="0"/>
          <w:i/>
          <w:iCs/>
          <w:sz w:val="24"/>
          <w:szCs w:val="24"/>
        </w:rPr>
      </w:pPr>
      <w:r>
        <w:rPr>
          <w:rFonts w:ascii="Arial" w:hAnsi="Arial" w:cs="Arial"/>
          <w:b w:val="0"/>
          <w:i/>
          <w:iCs/>
          <w:sz w:val="24"/>
          <w:szCs w:val="24"/>
        </w:rPr>
        <w:t>“</w:t>
      </w:r>
      <w:r w:rsidR="00BF6748" w:rsidRPr="003F6BBE">
        <w:rPr>
          <w:rFonts w:ascii="Arial" w:hAnsi="Arial" w:cs="Arial"/>
          <w:b w:val="0"/>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r>
        <w:rPr>
          <w:rFonts w:ascii="Arial" w:hAnsi="Arial" w:cs="Arial"/>
          <w:b w:val="0"/>
          <w:i/>
          <w:iCs/>
          <w:sz w:val="24"/>
          <w:szCs w:val="24"/>
        </w:rPr>
        <w:t>”</w:t>
      </w:r>
      <w:r w:rsidR="00BF6748" w:rsidRPr="003F6BBE">
        <w:rPr>
          <w:rFonts w:ascii="Arial" w:hAnsi="Arial" w:cs="Arial"/>
          <w:b w:val="0"/>
          <w:i/>
          <w:iCs/>
          <w:sz w:val="24"/>
          <w:szCs w:val="24"/>
        </w:rPr>
        <w:t>.</w:t>
      </w:r>
    </w:p>
    <w:p w14:paraId="769C7B97" w14:textId="77777777" w:rsidR="00BF6748" w:rsidRPr="0044771B" w:rsidRDefault="00BF6748" w:rsidP="00BF6748">
      <w:pPr>
        <w:pStyle w:val="Bollo"/>
        <w:spacing w:line="360" w:lineRule="auto"/>
        <w:ind w:firstLine="709"/>
        <w:rPr>
          <w:rFonts w:ascii="Arial" w:hAnsi="Arial" w:cs="Arial"/>
          <w:bCs/>
          <w:sz w:val="24"/>
          <w:szCs w:val="24"/>
        </w:rPr>
      </w:pPr>
      <w:r w:rsidRPr="0044771B">
        <w:rPr>
          <w:rFonts w:ascii="Arial" w:hAnsi="Arial" w:cs="Arial"/>
          <w:bCs/>
          <w:sz w:val="24"/>
          <w:szCs w:val="24"/>
        </w:rPr>
        <w:lastRenderedPageBreak/>
        <w:t>3. SULLA LEGITTIMITÀ DELL'ACCERTAMENTO PRESUNTIVO E SULLA MANCATA COLLABORAZIONE DELL'OPPONENTE.</w:t>
      </w:r>
    </w:p>
    <w:p w14:paraId="504FAD10" w14:textId="7EE4574E" w:rsidR="00BF6748" w:rsidRPr="00BF6748" w:rsidRDefault="00BF6748" w:rsidP="003F6BBE">
      <w:pPr>
        <w:pStyle w:val="Bollo"/>
        <w:spacing w:line="360" w:lineRule="auto"/>
        <w:ind w:firstLine="709"/>
        <w:rPr>
          <w:rFonts w:ascii="Arial" w:hAnsi="Arial" w:cs="Arial"/>
          <w:b w:val="0"/>
          <w:sz w:val="24"/>
          <w:szCs w:val="24"/>
        </w:rPr>
      </w:pPr>
      <w:r w:rsidRPr="00BF6748">
        <w:rPr>
          <w:rFonts w:ascii="Arial" w:hAnsi="Arial" w:cs="Arial"/>
          <w:b w:val="0"/>
          <w:sz w:val="24"/>
          <w:szCs w:val="24"/>
        </w:rPr>
        <w:t>L'attrice lamenta l'illegittimità dell'avviso di accertamento in quanto basato su una stima presuntiva del numero di utenze. Tale doglianza è pretestuosa e contraria a buona fede.</w:t>
      </w:r>
    </w:p>
    <w:p w14:paraId="28F25D97" w14:textId="18F6597A" w:rsidR="00BF6748" w:rsidRPr="0044771B" w:rsidRDefault="00BF6748" w:rsidP="003F6BBE">
      <w:pPr>
        <w:pStyle w:val="Bollo"/>
        <w:spacing w:line="360" w:lineRule="auto"/>
        <w:ind w:firstLine="709"/>
        <w:rPr>
          <w:rFonts w:ascii="Arial" w:hAnsi="Arial" w:cs="Arial"/>
          <w:b w:val="0"/>
          <w:sz w:val="24"/>
          <w:szCs w:val="24"/>
          <w:u w:val="single"/>
        </w:rPr>
      </w:pPr>
      <w:r w:rsidRPr="00BF6748">
        <w:rPr>
          <w:rFonts w:ascii="Arial" w:hAnsi="Arial" w:cs="Arial"/>
          <w:b w:val="0"/>
          <w:sz w:val="24"/>
          <w:szCs w:val="24"/>
        </w:rPr>
        <w:t xml:space="preserve">Come documentato in atti (cfr. doc. 2 allegato alla memoria integrativa II del Comune), prima di emettere l'atto impugnato, il Comune, per il tramite della società incaricata, ha formalmente richiesto a Fastweb di fornire i dati relativi al numero delle proprie utenze attive nel territorio comunale. A tale richiesta, Fastweb non ha fornito alcun riscontro. </w:t>
      </w:r>
      <w:r w:rsidRPr="0044771B">
        <w:rPr>
          <w:rFonts w:ascii="Arial" w:hAnsi="Arial" w:cs="Arial"/>
          <w:b w:val="0"/>
          <w:sz w:val="24"/>
          <w:szCs w:val="24"/>
          <w:u w:val="single"/>
        </w:rPr>
        <w:t xml:space="preserve">La condotta omissiva e non collaborativa del contribuente ha legittimato pienamente l'Ente a procedere con un accertamento basato su presunzioni semplici, fondate su dati pubblici e qualificati quali le quote di mercato pubblicate da AGCOM. Tale </w:t>
      </w:r>
      <w:r w:rsidRPr="0044771B">
        <w:rPr>
          <w:rFonts w:ascii="Arial" w:hAnsi="Arial" w:cs="Arial"/>
          <w:b w:val="0"/>
          <w:i/>
          <w:iCs/>
          <w:sz w:val="24"/>
          <w:szCs w:val="24"/>
          <w:u w:val="single"/>
        </w:rPr>
        <w:t>modus operandi</w:t>
      </w:r>
      <w:r w:rsidRPr="0044771B">
        <w:rPr>
          <w:rFonts w:ascii="Arial" w:hAnsi="Arial" w:cs="Arial"/>
          <w:b w:val="0"/>
          <w:sz w:val="24"/>
          <w:szCs w:val="24"/>
          <w:u w:val="single"/>
        </w:rPr>
        <w:t xml:space="preserve"> è un principio generale del diritto tributario, volto a contrastare l'inerzia del contribuente e a garantire l'equità fiscale.</w:t>
      </w:r>
    </w:p>
    <w:p w14:paraId="2FB99C44" w14:textId="3DD366D3" w:rsidR="00BF6748" w:rsidRPr="00BF6748" w:rsidRDefault="00BF6748" w:rsidP="003F6BBE">
      <w:pPr>
        <w:pStyle w:val="Bollo"/>
        <w:spacing w:line="360" w:lineRule="auto"/>
        <w:ind w:firstLine="709"/>
        <w:rPr>
          <w:rFonts w:ascii="Arial" w:hAnsi="Arial" w:cs="Arial"/>
          <w:b w:val="0"/>
          <w:sz w:val="24"/>
          <w:szCs w:val="24"/>
        </w:rPr>
      </w:pPr>
      <w:r w:rsidRPr="0044771B">
        <w:rPr>
          <w:rFonts w:ascii="Arial" w:hAnsi="Arial" w:cs="Arial"/>
          <w:b w:val="0"/>
          <w:sz w:val="24"/>
          <w:szCs w:val="24"/>
          <w:u w:val="single"/>
        </w:rPr>
        <w:t>Grava sul contribuente, che contesta la quantificazione, l'onere di fornire la prova contraria, indicando il numero esatto delle proprie utenze. Onere che Fastweb non ha assolto né in fase procedimentale né nel corso del presente giudizio, limitandosi a una generica contestazione dell'an debeatur.</w:t>
      </w:r>
      <w:r w:rsidRPr="00BF6748">
        <w:rPr>
          <w:rFonts w:ascii="Arial" w:hAnsi="Arial" w:cs="Arial"/>
          <w:b w:val="0"/>
          <w:sz w:val="24"/>
          <w:szCs w:val="24"/>
        </w:rPr>
        <w:t xml:space="preserve"> L'inerzia processuale dell'opponente non può che confermare la correttezza dell'operato del Comune.</w:t>
      </w:r>
    </w:p>
    <w:p w14:paraId="3F0130EA" w14:textId="721C8DC2" w:rsidR="00BF6748" w:rsidRPr="0044771B" w:rsidRDefault="00BF6748" w:rsidP="003F6BBE">
      <w:pPr>
        <w:pStyle w:val="Bollo"/>
        <w:spacing w:line="360" w:lineRule="auto"/>
        <w:ind w:firstLine="709"/>
        <w:rPr>
          <w:rFonts w:ascii="Arial" w:hAnsi="Arial" w:cs="Arial"/>
          <w:bCs/>
          <w:sz w:val="24"/>
          <w:szCs w:val="24"/>
        </w:rPr>
      </w:pPr>
      <w:r w:rsidRPr="0044771B">
        <w:rPr>
          <w:rFonts w:ascii="Arial" w:hAnsi="Arial" w:cs="Arial"/>
          <w:bCs/>
          <w:sz w:val="24"/>
          <w:szCs w:val="24"/>
        </w:rPr>
        <w:t>4. SULLA PRETESA DUPLICAZIONE DEL CANONE.</w:t>
      </w:r>
    </w:p>
    <w:p w14:paraId="0E99851F" w14:textId="77777777" w:rsidR="0044771B"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Infine, è destituita di ogni fondamento la tesi secondo cui la richiesta del canone a Fastweb comporterebbe una duplicazione di imposizione. </w:t>
      </w:r>
    </w:p>
    <w:p w14:paraId="14354B47" w14:textId="2BD7BDCF" w:rsidR="003F6BBE"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 xml:space="preserve">Il meccanismo previsto dal comma 831 è chiaro: ogni operatore è tenuto a versare il canone in proporzione al numero delle "rispettive utenze". </w:t>
      </w:r>
    </w:p>
    <w:p w14:paraId="4195FE28" w14:textId="5B958F99" w:rsidR="00BF6748" w:rsidRPr="0044771B" w:rsidRDefault="00BF6748" w:rsidP="003F6BBE">
      <w:pPr>
        <w:pStyle w:val="Bollo"/>
        <w:spacing w:line="360" w:lineRule="auto"/>
        <w:ind w:firstLine="709"/>
        <w:rPr>
          <w:rFonts w:ascii="Arial" w:hAnsi="Arial" w:cs="Arial"/>
          <w:bCs/>
          <w:sz w:val="24"/>
          <w:szCs w:val="24"/>
          <w:u w:val="single"/>
        </w:rPr>
      </w:pPr>
      <w:r w:rsidRPr="0044771B">
        <w:rPr>
          <w:rFonts w:ascii="Arial" w:hAnsi="Arial" w:cs="Arial"/>
          <w:bCs/>
          <w:sz w:val="24"/>
          <w:szCs w:val="24"/>
          <w:u w:val="single"/>
        </w:rPr>
        <w:t>Il concessionario (TIM/Open Fiber) versa per i propri clienti finali, mentre gli altri operatori (Fastweb, Vodafone, etc.) versano per i loro.</w:t>
      </w:r>
      <w:r w:rsidRPr="00BF6748">
        <w:rPr>
          <w:rFonts w:ascii="Arial" w:hAnsi="Arial" w:cs="Arial"/>
          <w:b w:val="0"/>
          <w:sz w:val="24"/>
          <w:szCs w:val="24"/>
        </w:rPr>
        <w:t xml:space="preserve"> </w:t>
      </w:r>
      <w:r w:rsidRPr="0044771B">
        <w:rPr>
          <w:rFonts w:ascii="Arial" w:hAnsi="Arial" w:cs="Arial"/>
          <w:bCs/>
          <w:sz w:val="24"/>
          <w:szCs w:val="24"/>
          <w:u w:val="single"/>
        </w:rPr>
        <w:t>Non vi è alcuna duplicazione, ma una ripartizione del carico impositivo tra tutti i soggetti che beneficiano economicamente dell'occupazione del suolo pubblico.</w:t>
      </w:r>
    </w:p>
    <w:p w14:paraId="7C929A0E" w14:textId="13B2D240" w:rsidR="00BF6748" w:rsidRPr="00BF6748" w:rsidRDefault="00BF6748" w:rsidP="003F6BBE">
      <w:pPr>
        <w:pStyle w:val="Bollo"/>
        <w:spacing w:line="360" w:lineRule="auto"/>
        <w:ind w:firstLine="709"/>
        <w:rPr>
          <w:rFonts w:ascii="Arial" w:hAnsi="Arial" w:cs="Arial"/>
          <w:b w:val="0"/>
          <w:sz w:val="24"/>
          <w:szCs w:val="24"/>
        </w:rPr>
      </w:pPr>
      <w:r w:rsidRPr="00BF6748">
        <w:rPr>
          <w:rFonts w:ascii="Arial" w:hAnsi="Arial" w:cs="Arial"/>
          <w:b w:val="0"/>
          <w:sz w:val="24"/>
          <w:szCs w:val="24"/>
        </w:rPr>
        <w:t>Seguire la tesi di Fastweb porterebbe, al contrario, a una drastica e ingiustificata riduzione delle entrate per l'Ente locale, come dimostrato dal calo dei versamenti da parte dell'ex monopolista TIM a seguito della liberalizzazione del mercato (cfr. doc. 4 e 6 comparsa di costituzione). Il Legislatore, con la modifica del 2020, ha inteso proprio porre rimedio a tale stortura, assicurando che il canone rifletta l'effettivo e complessivo utilizzo della risorsa pubblica "suolo".</w:t>
      </w:r>
    </w:p>
    <w:p w14:paraId="1F2D1661" w14:textId="77777777" w:rsidR="00BF6748" w:rsidRPr="00BF6748"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lastRenderedPageBreak/>
        <w:t>Per tutte le ragioni sopra esposte, l'opposizione deve essere rigettata, con conseguente conferma dell'avviso di accertamento impugnato.</w:t>
      </w:r>
    </w:p>
    <w:p w14:paraId="307623AA" w14:textId="77777777" w:rsidR="00BF6748" w:rsidRPr="00BF6748" w:rsidRDefault="00BF6748" w:rsidP="0044771B">
      <w:pPr>
        <w:pStyle w:val="Bollo"/>
        <w:spacing w:line="360" w:lineRule="auto"/>
        <w:ind w:firstLine="709"/>
        <w:jc w:val="center"/>
        <w:rPr>
          <w:rFonts w:ascii="Arial" w:hAnsi="Arial" w:cs="Arial"/>
          <w:b w:val="0"/>
          <w:sz w:val="24"/>
          <w:szCs w:val="24"/>
        </w:rPr>
      </w:pPr>
      <w:r w:rsidRPr="00BF6748">
        <w:rPr>
          <w:rFonts w:ascii="Arial" w:hAnsi="Arial" w:cs="Arial"/>
          <w:b w:val="0"/>
          <w:sz w:val="24"/>
          <w:szCs w:val="24"/>
        </w:rPr>
        <w:t>****</w:t>
      </w:r>
    </w:p>
    <w:p w14:paraId="0A2E1EEE" w14:textId="77777777" w:rsidR="00BF6748" w:rsidRDefault="00BF6748" w:rsidP="00BF6748">
      <w:pPr>
        <w:pStyle w:val="Bollo"/>
        <w:spacing w:line="360" w:lineRule="auto"/>
        <w:ind w:firstLine="709"/>
        <w:rPr>
          <w:rFonts w:ascii="Arial" w:hAnsi="Arial" w:cs="Arial"/>
          <w:b w:val="0"/>
          <w:sz w:val="24"/>
          <w:szCs w:val="24"/>
        </w:rPr>
      </w:pPr>
      <w:r w:rsidRPr="00BF6748">
        <w:rPr>
          <w:rFonts w:ascii="Arial" w:hAnsi="Arial" w:cs="Arial"/>
          <w:b w:val="0"/>
          <w:sz w:val="24"/>
          <w:szCs w:val="24"/>
        </w:rPr>
        <w:t>Si insiste, pertanto, per l'accoglimento delle conclusioni già rassegnate in comparsa di costituzione e risposta e da intendersi qui integralmente richiamate e trascritte.</w:t>
      </w:r>
    </w:p>
    <w:p w14:paraId="40330762" w14:textId="77777777" w:rsidR="00630644" w:rsidRDefault="0005767E" w:rsidP="00BF6748">
      <w:pPr>
        <w:pStyle w:val="Bollo"/>
        <w:spacing w:line="360" w:lineRule="auto"/>
        <w:ind w:firstLine="709"/>
        <w:rPr>
          <w:rFonts w:ascii="Arial" w:eastAsia="Calibri" w:hAnsi="Arial" w:cs="Arial"/>
          <w:b w:val="0"/>
          <w:bCs/>
          <w:kern w:val="2"/>
          <w:sz w:val="24"/>
          <w:szCs w:val="24"/>
          <w:lang w:eastAsia="en-US"/>
        </w:rPr>
      </w:pPr>
      <w:r>
        <w:rPr>
          <w:rFonts w:ascii="Arial" w:hAnsi="Arial" w:cs="Arial"/>
          <w:b w:val="0"/>
          <w:sz w:val="24"/>
          <w:szCs w:val="24"/>
        </w:rPr>
        <w:t xml:space="preserve">Si deposita Sentenza </w:t>
      </w:r>
      <w:r w:rsidR="00630644" w:rsidRPr="00630644">
        <w:rPr>
          <w:rFonts w:ascii="Arial" w:eastAsia="Calibri" w:hAnsi="Arial" w:cs="Arial"/>
          <w:b w:val="0"/>
          <w:bCs/>
          <w:kern w:val="2"/>
          <w:sz w:val="24"/>
          <w:szCs w:val="24"/>
          <w:lang w:eastAsia="en-US"/>
        </w:rPr>
        <w:t>Tribunale di Bolzano n. 908/2025 del 15.10.2025</w:t>
      </w:r>
    </w:p>
    <w:p w14:paraId="4E63D4F7" w14:textId="14CFBCD3" w:rsidR="00BF6748" w:rsidRPr="00BF6748" w:rsidRDefault="00BF6748" w:rsidP="00BF6748">
      <w:pPr>
        <w:pStyle w:val="Bollo"/>
        <w:spacing w:line="360" w:lineRule="auto"/>
        <w:ind w:firstLine="709"/>
        <w:rPr>
          <w:rFonts w:ascii="Arial" w:hAnsi="Arial" w:cs="Arial"/>
          <w:b w:val="0"/>
          <w:sz w:val="24"/>
          <w:szCs w:val="24"/>
        </w:rPr>
      </w:pPr>
      <w:r w:rsidRPr="00630644">
        <w:rPr>
          <w:rFonts w:ascii="Arial" w:hAnsi="Arial" w:cs="Arial"/>
          <w:b w:val="0"/>
          <w:sz w:val="24"/>
          <w:szCs w:val="24"/>
        </w:rPr>
        <w:t>Salerno</w:t>
      </w:r>
      <w:r w:rsidR="00630644">
        <w:rPr>
          <w:rFonts w:ascii="Arial" w:hAnsi="Arial" w:cs="Arial"/>
          <w:b w:val="0"/>
          <w:sz w:val="24"/>
          <w:szCs w:val="24"/>
        </w:rPr>
        <w:t>- Bergamo</w:t>
      </w:r>
      <w:r w:rsidRPr="00BF6748">
        <w:rPr>
          <w:rFonts w:ascii="Arial" w:hAnsi="Arial" w:cs="Arial"/>
          <w:b w:val="0"/>
          <w:sz w:val="24"/>
          <w:szCs w:val="24"/>
        </w:rPr>
        <w:t>, lì 18 novembre 2025</w:t>
      </w:r>
    </w:p>
    <w:p w14:paraId="66EDE3F7" w14:textId="77777777" w:rsidR="00BF6748" w:rsidRPr="00BF6748" w:rsidRDefault="00BF6748" w:rsidP="00BF6748">
      <w:pPr>
        <w:pStyle w:val="Bollo"/>
        <w:spacing w:line="360" w:lineRule="auto"/>
        <w:ind w:firstLine="709"/>
        <w:rPr>
          <w:rFonts w:ascii="Arial" w:hAnsi="Arial" w:cs="Arial"/>
          <w:b w:val="0"/>
          <w:sz w:val="24"/>
          <w:szCs w:val="24"/>
        </w:rPr>
      </w:pPr>
    </w:p>
    <w:p w14:paraId="4F4F6B92" w14:textId="77777777" w:rsidR="006C3518" w:rsidRPr="00393A19" w:rsidRDefault="00BF6748" w:rsidP="0044771B">
      <w:pPr>
        <w:pStyle w:val="Bollo"/>
        <w:spacing w:line="360" w:lineRule="auto"/>
        <w:ind w:firstLine="709"/>
        <w:jc w:val="right"/>
        <w:rPr>
          <w:rFonts w:ascii="Arial" w:hAnsi="Arial" w:cs="Arial"/>
          <w:b w:val="0"/>
          <w:sz w:val="24"/>
          <w:szCs w:val="24"/>
        </w:rPr>
      </w:pPr>
      <w:r w:rsidRPr="00BF6748">
        <w:rPr>
          <w:rFonts w:ascii="Arial" w:hAnsi="Arial" w:cs="Arial"/>
          <w:b w:val="0"/>
          <w:sz w:val="24"/>
          <w:szCs w:val="24"/>
        </w:rPr>
        <w:t>Avv. Maria Voccia De Felice</w:t>
      </w:r>
    </w:p>
    <w:sectPr w:rsidR="006C3518" w:rsidRPr="00393A19" w:rsidSect="0044771B">
      <w:footerReference w:type="default" r:id="rId9"/>
      <w:pgSz w:w="11906" w:h="16838"/>
      <w:pgMar w:top="851" w:right="1123" w:bottom="426" w:left="1418" w:header="142" w:footer="645" w:gutter="0"/>
      <w:cols w:space="720"/>
      <w:docGrid w:linePitch="60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942A" w14:textId="77777777" w:rsidR="00A81F05" w:rsidRDefault="00A81F05">
      <w:r>
        <w:separator/>
      </w:r>
    </w:p>
  </w:endnote>
  <w:endnote w:type="continuationSeparator" w:id="0">
    <w:p w14:paraId="068CBD67" w14:textId="77777777" w:rsidR="00A81F05" w:rsidRDefault="00A81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06DB" w14:textId="77777777" w:rsidR="007E3E65" w:rsidRDefault="007E3E65">
    <w:pPr>
      <w:pStyle w:val="Pidipagina"/>
      <w:jc w:val="center"/>
    </w:pPr>
    <w:r>
      <w:fldChar w:fldCharType="begin"/>
    </w:r>
    <w:r>
      <w:instrText>PAGE   \* MERGEFORMAT</w:instrText>
    </w:r>
    <w:r>
      <w:fldChar w:fldCharType="separate"/>
    </w:r>
    <w:r w:rsidR="00C5526F">
      <w:rPr>
        <w:noProof/>
      </w:rPr>
      <w:t>2</w:t>
    </w:r>
    <w:r>
      <w:fldChar w:fldCharType="end"/>
    </w:r>
  </w:p>
  <w:p w14:paraId="2FF8C757" w14:textId="77777777" w:rsidR="007E3E65" w:rsidRDefault="007E3E6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80EC3" w14:textId="77777777" w:rsidR="00A81F05" w:rsidRDefault="00A81F05">
      <w:r>
        <w:separator/>
      </w:r>
    </w:p>
  </w:footnote>
  <w:footnote w:type="continuationSeparator" w:id="0">
    <w:p w14:paraId="544C2EB1" w14:textId="77777777" w:rsidR="00A81F05" w:rsidRDefault="00A81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432" w:hanging="432"/>
      </w:pPr>
    </w:lvl>
    <w:lvl w:ilvl="1">
      <w:start w:val="1"/>
      <w:numFmt w:val="none"/>
      <w:pStyle w:val="Titolo2"/>
      <w:suff w:val="nothing"/>
      <w:lvlText w:val=""/>
      <w:lvlJc w:val="left"/>
      <w:pPr>
        <w:tabs>
          <w:tab w:val="num" w:pos="0"/>
        </w:tabs>
        <w:ind w:left="576" w:hanging="576"/>
      </w:pPr>
    </w:lvl>
    <w:lvl w:ilvl="2">
      <w:start w:val="1"/>
      <w:numFmt w:val="none"/>
      <w:pStyle w:val="Tito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rPr>
        <w:rFonts w:ascii="Symbol" w:hAnsi="Symbol" w:cs="OpenSymbol"/>
        <w:b w:val="0"/>
        <w:bCs/>
        <w:i w:val="0"/>
        <w:i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25348BD"/>
    <w:multiLevelType w:val="hybridMultilevel"/>
    <w:tmpl w:val="A8A098A2"/>
    <w:lvl w:ilvl="0" w:tplc="B4082512">
      <w:start w:val="1"/>
      <w:numFmt w:val="decimal"/>
      <w:lvlText w:val="%1)"/>
      <w:lvlJc w:val="left"/>
      <w:pPr>
        <w:ind w:left="928"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0EB14BCC"/>
    <w:multiLevelType w:val="hybridMultilevel"/>
    <w:tmpl w:val="646E683E"/>
    <w:lvl w:ilvl="0" w:tplc="23F84D5E">
      <w:numFmt w:val="bullet"/>
      <w:lvlText w:val=""/>
      <w:lvlJc w:val="left"/>
      <w:pPr>
        <w:ind w:left="720" w:hanging="360"/>
      </w:pPr>
      <w:rPr>
        <w:rFonts w:ascii="Symbol" w:eastAsia="Times New Roman"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9047546"/>
    <w:multiLevelType w:val="hybridMultilevel"/>
    <w:tmpl w:val="4DCE4BDC"/>
    <w:lvl w:ilvl="0" w:tplc="490A6D16">
      <w:start w:val="1"/>
      <w:numFmt w:val="upperRoman"/>
      <w:lvlText w:val="%1)"/>
      <w:lvlJc w:val="left"/>
      <w:pPr>
        <w:ind w:left="1146" w:hanging="720"/>
      </w:pPr>
      <w:rPr>
        <w:rFonts w:ascii="Times New Roman" w:hAnsi="Times New Roman" w:cs="Times New Roman" w:hint="default"/>
        <w:i/>
        <w:sz w:val="27"/>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6" w15:restartNumberingAfterBreak="0">
    <w:nsid w:val="22DE4D0E"/>
    <w:multiLevelType w:val="hybridMultilevel"/>
    <w:tmpl w:val="A76C6184"/>
    <w:lvl w:ilvl="0" w:tplc="FB802408">
      <w:numFmt w:val="bullet"/>
      <w:lvlText w:val=""/>
      <w:lvlJc w:val="left"/>
      <w:pPr>
        <w:ind w:left="1429" w:hanging="360"/>
      </w:pPr>
      <w:rPr>
        <w:rFonts w:ascii="Symbol" w:eastAsia="Times New Roman" w:hAnsi="Symbol" w:cs="Aria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7" w15:restartNumberingAfterBreak="0">
    <w:nsid w:val="24B60F67"/>
    <w:multiLevelType w:val="hybridMultilevel"/>
    <w:tmpl w:val="AF201428"/>
    <w:lvl w:ilvl="0" w:tplc="6AD607C6">
      <w:numFmt w:val="bullet"/>
      <w:lvlText w:val=""/>
      <w:lvlJc w:val="left"/>
      <w:pPr>
        <w:ind w:left="1069" w:hanging="360"/>
      </w:pPr>
      <w:rPr>
        <w:rFonts w:ascii="Symbol" w:eastAsia="Times New Roman" w:hAnsi="Symbol"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8" w15:restartNumberingAfterBreak="0">
    <w:nsid w:val="268A2798"/>
    <w:multiLevelType w:val="hybridMultilevel"/>
    <w:tmpl w:val="81BA59D4"/>
    <w:lvl w:ilvl="0" w:tplc="6528350C">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6004238"/>
    <w:multiLevelType w:val="hybridMultilevel"/>
    <w:tmpl w:val="29EE185E"/>
    <w:lvl w:ilvl="0" w:tplc="A498E802">
      <w:start w:val="4"/>
      <w:numFmt w:val="bullet"/>
      <w:lvlText w:val=""/>
      <w:lvlJc w:val="left"/>
      <w:pPr>
        <w:ind w:left="1069" w:hanging="360"/>
      </w:pPr>
      <w:rPr>
        <w:rFonts w:ascii="Symbol" w:eastAsia="Times New Roman" w:hAnsi="Symbol" w:cs="Arial" w:hint="default"/>
        <w:b w:val="0"/>
        <w:i/>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10" w15:restartNumberingAfterBreak="0">
    <w:nsid w:val="519E5EC1"/>
    <w:multiLevelType w:val="hybridMultilevel"/>
    <w:tmpl w:val="FB82689E"/>
    <w:lvl w:ilvl="0" w:tplc="0E3ED550">
      <w:numFmt w:val="bullet"/>
      <w:lvlText w:val=""/>
      <w:lvlJc w:val="left"/>
      <w:pPr>
        <w:ind w:left="1789" w:hanging="360"/>
      </w:pPr>
      <w:rPr>
        <w:rFonts w:ascii="Symbol" w:eastAsia="Times New Roman" w:hAnsi="Symbol" w:cs="Arial" w:hint="default"/>
      </w:rPr>
    </w:lvl>
    <w:lvl w:ilvl="1" w:tplc="04100003" w:tentative="1">
      <w:start w:val="1"/>
      <w:numFmt w:val="bullet"/>
      <w:lvlText w:val="o"/>
      <w:lvlJc w:val="left"/>
      <w:pPr>
        <w:ind w:left="2509" w:hanging="360"/>
      </w:pPr>
      <w:rPr>
        <w:rFonts w:ascii="Courier New" w:hAnsi="Courier New" w:cs="Courier New" w:hint="default"/>
      </w:rPr>
    </w:lvl>
    <w:lvl w:ilvl="2" w:tplc="04100005" w:tentative="1">
      <w:start w:val="1"/>
      <w:numFmt w:val="bullet"/>
      <w:lvlText w:val=""/>
      <w:lvlJc w:val="left"/>
      <w:pPr>
        <w:ind w:left="3229" w:hanging="360"/>
      </w:pPr>
      <w:rPr>
        <w:rFonts w:ascii="Wingdings" w:hAnsi="Wingdings" w:hint="default"/>
      </w:rPr>
    </w:lvl>
    <w:lvl w:ilvl="3" w:tplc="04100001" w:tentative="1">
      <w:start w:val="1"/>
      <w:numFmt w:val="bullet"/>
      <w:lvlText w:val=""/>
      <w:lvlJc w:val="left"/>
      <w:pPr>
        <w:ind w:left="3949" w:hanging="360"/>
      </w:pPr>
      <w:rPr>
        <w:rFonts w:ascii="Symbol" w:hAnsi="Symbol" w:hint="default"/>
      </w:rPr>
    </w:lvl>
    <w:lvl w:ilvl="4" w:tplc="04100003" w:tentative="1">
      <w:start w:val="1"/>
      <w:numFmt w:val="bullet"/>
      <w:lvlText w:val="o"/>
      <w:lvlJc w:val="left"/>
      <w:pPr>
        <w:ind w:left="4669" w:hanging="360"/>
      </w:pPr>
      <w:rPr>
        <w:rFonts w:ascii="Courier New" w:hAnsi="Courier New" w:cs="Courier New" w:hint="default"/>
      </w:rPr>
    </w:lvl>
    <w:lvl w:ilvl="5" w:tplc="04100005" w:tentative="1">
      <w:start w:val="1"/>
      <w:numFmt w:val="bullet"/>
      <w:lvlText w:val=""/>
      <w:lvlJc w:val="left"/>
      <w:pPr>
        <w:ind w:left="5389" w:hanging="360"/>
      </w:pPr>
      <w:rPr>
        <w:rFonts w:ascii="Wingdings" w:hAnsi="Wingdings" w:hint="default"/>
      </w:rPr>
    </w:lvl>
    <w:lvl w:ilvl="6" w:tplc="04100001" w:tentative="1">
      <w:start w:val="1"/>
      <w:numFmt w:val="bullet"/>
      <w:lvlText w:val=""/>
      <w:lvlJc w:val="left"/>
      <w:pPr>
        <w:ind w:left="6109" w:hanging="360"/>
      </w:pPr>
      <w:rPr>
        <w:rFonts w:ascii="Symbol" w:hAnsi="Symbol" w:hint="default"/>
      </w:rPr>
    </w:lvl>
    <w:lvl w:ilvl="7" w:tplc="04100003" w:tentative="1">
      <w:start w:val="1"/>
      <w:numFmt w:val="bullet"/>
      <w:lvlText w:val="o"/>
      <w:lvlJc w:val="left"/>
      <w:pPr>
        <w:ind w:left="6829" w:hanging="360"/>
      </w:pPr>
      <w:rPr>
        <w:rFonts w:ascii="Courier New" w:hAnsi="Courier New" w:cs="Courier New" w:hint="default"/>
      </w:rPr>
    </w:lvl>
    <w:lvl w:ilvl="8" w:tplc="04100005" w:tentative="1">
      <w:start w:val="1"/>
      <w:numFmt w:val="bullet"/>
      <w:lvlText w:val=""/>
      <w:lvlJc w:val="left"/>
      <w:pPr>
        <w:ind w:left="7549" w:hanging="360"/>
      </w:pPr>
      <w:rPr>
        <w:rFonts w:ascii="Wingdings" w:hAnsi="Wingdings" w:hint="default"/>
      </w:rPr>
    </w:lvl>
  </w:abstractNum>
  <w:abstractNum w:abstractNumId="11" w15:restartNumberingAfterBreak="0">
    <w:nsid w:val="5CB6770E"/>
    <w:multiLevelType w:val="hybridMultilevel"/>
    <w:tmpl w:val="4DCE4BDC"/>
    <w:lvl w:ilvl="0" w:tplc="FFFFFFFF">
      <w:start w:val="1"/>
      <w:numFmt w:val="upperRoman"/>
      <w:lvlText w:val="%1)"/>
      <w:lvlJc w:val="left"/>
      <w:pPr>
        <w:ind w:left="1146" w:hanging="720"/>
      </w:pPr>
      <w:rPr>
        <w:rFonts w:ascii="Times New Roman" w:hAnsi="Times New Roman" w:cs="Times New Roman" w:hint="default"/>
        <w:i/>
        <w:sz w:val="27"/>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5E23420F"/>
    <w:multiLevelType w:val="hybridMultilevel"/>
    <w:tmpl w:val="EC726BD4"/>
    <w:lvl w:ilvl="0" w:tplc="04100001">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0C95415"/>
    <w:multiLevelType w:val="hybridMultilevel"/>
    <w:tmpl w:val="37D660BA"/>
    <w:lvl w:ilvl="0" w:tplc="EE141790">
      <w:numFmt w:val="bullet"/>
      <w:lvlText w:val=""/>
      <w:lvlJc w:val="left"/>
      <w:pPr>
        <w:ind w:left="1069" w:hanging="360"/>
      </w:pPr>
      <w:rPr>
        <w:rFonts w:ascii="Symbol" w:eastAsia="Times New Roman" w:hAnsi="Symbol"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14" w15:restartNumberingAfterBreak="0">
    <w:nsid w:val="7F35646C"/>
    <w:multiLevelType w:val="hybridMultilevel"/>
    <w:tmpl w:val="ACF26676"/>
    <w:lvl w:ilvl="0" w:tplc="394C813E">
      <w:numFmt w:val="bullet"/>
      <w:lvlText w:val=""/>
      <w:lvlJc w:val="left"/>
      <w:pPr>
        <w:ind w:left="1789" w:hanging="360"/>
      </w:pPr>
      <w:rPr>
        <w:rFonts w:ascii="Symbol" w:eastAsia="Times New Roman" w:hAnsi="Symbol" w:cs="Arial" w:hint="default"/>
      </w:rPr>
    </w:lvl>
    <w:lvl w:ilvl="1" w:tplc="04100003" w:tentative="1">
      <w:start w:val="1"/>
      <w:numFmt w:val="bullet"/>
      <w:lvlText w:val="o"/>
      <w:lvlJc w:val="left"/>
      <w:pPr>
        <w:ind w:left="2509" w:hanging="360"/>
      </w:pPr>
      <w:rPr>
        <w:rFonts w:ascii="Courier New" w:hAnsi="Courier New" w:cs="Courier New" w:hint="default"/>
      </w:rPr>
    </w:lvl>
    <w:lvl w:ilvl="2" w:tplc="04100005" w:tentative="1">
      <w:start w:val="1"/>
      <w:numFmt w:val="bullet"/>
      <w:lvlText w:val=""/>
      <w:lvlJc w:val="left"/>
      <w:pPr>
        <w:ind w:left="3229" w:hanging="360"/>
      </w:pPr>
      <w:rPr>
        <w:rFonts w:ascii="Wingdings" w:hAnsi="Wingdings" w:hint="default"/>
      </w:rPr>
    </w:lvl>
    <w:lvl w:ilvl="3" w:tplc="04100001" w:tentative="1">
      <w:start w:val="1"/>
      <w:numFmt w:val="bullet"/>
      <w:lvlText w:val=""/>
      <w:lvlJc w:val="left"/>
      <w:pPr>
        <w:ind w:left="3949" w:hanging="360"/>
      </w:pPr>
      <w:rPr>
        <w:rFonts w:ascii="Symbol" w:hAnsi="Symbol" w:hint="default"/>
      </w:rPr>
    </w:lvl>
    <w:lvl w:ilvl="4" w:tplc="04100003" w:tentative="1">
      <w:start w:val="1"/>
      <w:numFmt w:val="bullet"/>
      <w:lvlText w:val="o"/>
      <w:lvlJc w:val="left"/>
      <w:pPr>
        <w:ind w:left="4669" w:hanging="360"/>
      </w:pPr>
      <w:rPr>
        <w:rFonts w:ascii="Courier New" w:hAnsi="Courier New" w:cs="Courier New" w:hint="default"/>
      </w:rPr>
    </w:lvl>
    <w:lvl w:ilvl="5" w:tplc="04100005" w:tentative="1">
      <w:start w:val="1"/>
      <w:numFmt w:val="bullet"/>
      <w:lvlText w:val=""/>
      <w:lvlJc w:val="left"/>
      <w:pPr>
        <w:ind w:left="5389" w:hanging="360"/>
      </w:pPr>
      <w:rPr>
        <w:rFonts w:ascii="Wingdings" w:hAnsi="Wingdings" w:hint="default"/>
      </w:rPr>
    </w:lvl>
    <w:lvl w:ilvl="6" w:tplc="04100001" w:tentative="1">
      <w:start w:val="1"/>
      <w:numFmt w:val="bullet"/>
      <w:lvlText w:val=""/>
      <w:lvlJc w:val="left"/>
      <w:pPr>
        <w:ind w:left="6109" w:hanging="360"/>
      </w:pPr>
      <w:rPr>
        <w:rFonts w:ascii="Symbol" w:hAnsi="Symbol" w:hint="default"/>
      </w:rPr>
    </w:lvl>
    <w:lvl w:ilvl="7" w:tplc="04100003" w:tentative="1">
      <w:start w:val="1"/>
      <w:numFmt w:val="bullet"/>
      <w:lvlText w:val="o"/>
      <w:lvlJc w:val="left"/>
      <w:pPr>
        <w:ind w:left="6829" w:hanging="360"/>
      </w:pPr>
      <w:rPr>
        <w:rFonts w:ascii="Courier New" w:hAnsi="Courier New" w:cs="Courier New" w:hint="default"/>
      </w:rPr>
    </w:lvl>
    <w:lvl w:ilvl="8" w:tplc="04100005" w:tentative="1">
      <w:start w:val="1"/>
      <w:numFmt w:val="bullet"/>
      <w:lvlText w:val=""/>
      <w:lvlJc w:val="left"/>
      <w:pPr>
        <w:ind w:left="7549" w:hanging="360"/>
      </w:pPr>
      <w:rPr>
        <w:rFonts w:ascii="Wingdings" w:hAnsi="Wingdings" w:hint="default"/>
      </w:rPr>
    </w:lvl>
  </w:abstractNum>
  <w:num w:numId="1" w16cid:durableId="1078135530">
    <w:abstractNumId w:val="0"/>
  </w:num>
  <w:num w:numId="2" w16cid:durableId="1859736400">
    <w:abstractNumId w:val="1"/>
  </w:num>
  <w:num w:numId="3" w16cid:durableId="1923950642">
    <w:abstractNumId w:val="12"/>
  </w:num>
  <w:num w:numId="4" w16cid:durableId="1382093410">
    <w:abstractNumId w:val="5"/>
  </w:num>
  <w:num w:numId="5" w16cid:durableId="1813979674">
    <w:abstractNumId w:val="11"/>
  </w:num>
  <w:num w:numId="6" w16cid:durableId="2086369175">
    <w:abstractNumId w:val="9"/>
  </w:num>
  <w:num w:numId="7" w16cid:durableId="580530093">
    <w:abstractNumId w:val="8"/>
  </w:num>
  <w:num w:numId="8" w16cid:durableId="1184435535">
    <w:abstractNumId w:val="7"/>
  </w:num>
  <w:num w:numId="9" w16cid:durableId="883255681">
    <w:abstractNumId w:val="13"/>
  </w:num>
  <w:num w:numId="10" w16cid:durableId="1386369113">
    <w:abstractNumId w:val="6"/>
  </w:num>
  <w:num w:numId="11" w16cid:durableId="745304580">
    <w:abstractNumId w:val="10"/>
  </w:num>
  <w:num w:numId="12" w16cid:durableId="1318723361">
    <w:abstractNumId w:val="14"/>
  </w:num>
  <w:num w:numId="13" w16cid:durableId="1749378264">
    <w:abstractNumId w:val="4"/>
  </w:num>
  <w:num w:numId="14" w16cid:durableId="96872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0942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4E"/>
    <w:rsid w:val="00024EE0"/>
    <w:rsid w:val="00051087"/>
    <w:rsid w:val="0005767E"/>
    <w:rsid w:val="00076E91"/>
    <w:rsid w:val="000A0C39"/>
    <w:rsid w:val="000B4134"/>
    <w:rsid w:val="000C3A5C"/>
    <w:rsid w:val="000C5422"/>
    <w:rsid w:val="000E7E50"/>
    <w:rsid w:val="000F50B7"/>
    <w:rsid w:val="00136FC6"/>
    <w:rsid w:val="001606D1"/>
    <w:rsid w:val="001B261B"/>
    <w:rsid w:val="001B3982"/>
    <w:rsid w:val="001C264B"/>
    <w:rsid w:val="001E0DE4"/>
    <w:rsid w:val="001F1E68"/>
    <w:rsid w:val="001F4859"/>
    <w:rsid w:val="00202313"/>
    <w:rsid w:val="002174AC"/>
    <w:rsid w:val="0022000B"/>
    <w:rsid w:val="002418E0"/>
    <w:rsid w:val="00250BF8"/>
    <w:rsid w:val="00275BC1"/>
    <w:rsid w:val="00281DA1"/>
    <w:rsid w:val="00282B78"/>
    <w:rsid w:val="00285353"/>
    <w:rsid w:val="002857F0"/>
    <w:rsid w:val="00285C46"/>
    <w:rsid w:val="002A6793"/>
    <w:rsid w:val="002B282C"/>
    <w:rsid w:val="002D25CB"/>
    <w:rsid w:val="002E1D86"/>
    <w:rsid w:val="002E3E3E"/>
    <w:rsid w:val="00323FA5"/>
    <w:rsid w:val="00324F3D"/>
    <w:rsid w:val="00331F4C"/>
    <w:rsid w:val="00364112"/>
    <w:rsid w:val="00364965"/>
    <w:rsid w:val="00371412"/>
    <w:rsid w:val="0039231F"/>
    <w:rsid w:val="00393A19"/>
    <w:rsid w:val="003B1663"/>
    <w:rsid w:val="003B6579"/>
    <w:rsid w:val="003B6DFB"/>
    <w:rsid w:val="003D35AD"/>
    <w:rsid w:val="003F6BBE"/>
    <w:rsid w:val="00400CE9"/>
    <w:rsid w:val="00403E60"/>
    <w:rsid w:val="004229F6"/>
    <w:rsid w:val="004247B8"/>
    <w:rsid w:val="0043123C"/>
    <w:rsid w:val="004419EF"/>
    <w:rsid w:val="0044771B"/>
    <w:rsid w:val="00454F2A"/>
    <w:rsid w:val="00463AD8"/>
    <w:rsid w:val="004711DE"/>
    <w:rsid w:val="00492DF9"/>
    <w:rsid w:val="004A3363"/>
    <w:rsid w:val="004B7BDF"/>
    <w:rsid w:val="004E4AFC"/>
    <w:rsid w:val="004F75AF"/>
    <w:rsid w:val="00521518"/>
    <w:rsid w:val="00593816"/>
    <w:rsid w:val="005A7007"/>
    <w:rsid w:val="005D341E"/>
    <w:rsid w:val="005F7120"/>
    <w:rsid w:val="00614131"/>
    <w:rsid w:val="006219F1"/>
    <w:rsid w:val="00630644"/>
    <w:rsid w:val="00661938"/>
    <w:rsid w:val="00676EE8"/>
    <w:rsid w:val="00690715"/>
    <w:rsid w:val="006A5655"/>
    <w:rsid w:val="006C2AC1"/>
    <w:rsid w:val="006C3518"/>
    <w:rsid w:val="006E6770"/>
    <w:rsid w:val="006F1406"/>
    <w:rsid w:val="00710EA2"/>
    <w:rsid w:val="00727C4E"/>
    <w:rsid w:val="00733D62"/>
    <w:rsid w:val="007433D7"/>
    <w:rsid w:val="00753AD5"/>
    <w:rsid w:val="00762014"/>
    <w:rsid w:val="00794083"/>
    <w:rsid w:val="007A5048"/>
    <w:rsid w:val="007A7297"/>
    <w:rsid w:val="007A7ACE"/>
    <w:rsid w:val="007B01C3"/>
    <w:rsid w:val="007B50C8"/>
    <w:rsid w:val="007C3A5F"/>
    <w:rsid w:val="007E3E65"/>
    <w:rsid w:val="007F04AB"/>
    <w:rsid w:val="0082244D"/>
    <w:rsid w:val="00861AD5"/>
    <w:rsid w:val="008847A3"/>
    <w:rsid w:val="00886724"/>
    <w:rsid w:val="00893901"/>
    <w:rsid w:val="008A3847"/>
    <w:rsid w:val="008A66BF"/>
    <w:rsid w:val="00926446"/>
    <w:rsid w:val="009F369B"/>
    <w:rsid w:val="00A050C5"/>
    <w:rsid w:val="00A233D6"/>
    <w:rsid w:val="00A30105"/>
    <w:rsid w:val="00A81F05"/>
    <w:rsid w:val="00A820E2"/>
    <w:rsid w:val="00AB1E15"/>
    <w:rsid w:val="00AB259A"/>
    <w:rsid w:val="00AE3EA6"/>
    <w:rsid w:val="00AE557D"/>
    <w:rsid w:val="00AF1D8C"/>
    <w:rsid w:val="00AF3A86"/>
    <w:rsid w:val="00B4626E"/>
    <w:rsid w:val="00B702BD"/>
    <w:rsid w:val="00B846AD"/>
    <w:rsid w:val="00BE4103"/>
    <w:rsid w:val="00BF10E8"/>
    <w:rsid w:val="00BF6748"/>
    <w:rsid w:val="00C042F3"/>
    <w:rsid w:val="00C23D0A"/>
    <w:rsid w:val="00C4789A"/>
    <w:rsid w:val="00C53BD6"/>
    <w:rsid w:val="00C5526F"/>
    <w:rsid w:val="00CA61FD"/>
    <w:rsid w:val="00CF518C"/>
    <w:rsid w:val="00CF66E9"/>
    <w:rsid w:val="00D20F4A"/>
    <w:rsid w:val="00D34005"/>
    <w:rsid w:val="00D62181"/>
    <w:rsid w:val="00D74DFA"/>
    <w:rsid w:val="00D750C6"/>
    <w:rsid w:val="00DE1F54"/>
    <w:rsid w:val="00DE212D"/>
    <w:rsid w:val="00DE6D4F"/>
    <w:rsid w:val="00E15E80"/>
    <w:rsid w:val="00E3229D"/>
    <w:rsid w:val="00E55324"/>
    <w:rsid w:val="00E6085D"/>
    <w:rsid w:val="00E94A9B"/>
    <w:rsid w:val="00E95486"/>
    <w:rsid w:val="00E95FAC"/>
    <w:rsid w:val="00EA1FD2"/>
    <w:rsid w:val="00EC6B89"/>
    <w:rsid w:val="00ED3C1D"/>
    <w:rsid w:val="00EF05C9"/>
    <w:rsid w:val="00F42B80"/>
    <w:rsid w:val="00F44296"/>
    <w:rsid w:val="00F702B9"/>
    <w:rsid w:val="00F7613F"/>
    <w:rsid w:val="00F96AFF"/>
    <w:rsid w:val="00FA6834"/>
    <w:rsid w:val="00FD34B7"/>
    <w:rsid w:val="00FE549E"/>
    <w:rsid w:val="00FF71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7383DFB"/>
  <w15:chartTrackingRefBased/>
  <w15:docId w15:val="{24DA1BCE-E746-4A4F-A8C1-07E2C553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overflowPunct w:val="0"/>
      <w:autoSpaceDE w:val="0"/>
      <w:textAlignment w:val="baseline"/>
    </w:pPr>
    <w:rPr>
      <w:kern w:val="1"/>
      <w:sz w:val="28"/>
      <w:lang w:eastAsia="ar-SA"/>
    </w:rPr>
  </w:style>
  <w:style w:type="paragraph" w:styleId="Titolo1">
    <w:name w:val="heading 1"/>
    <w:basedOn w:val="Normale"/>
    <w:next w:val="Normale"/>
    <w:qFormat/>
    <w:pPr>
      <w:keepNext/>
      <w:numPr>
        <w:numId w:val="1"/>
      </w:numPr>
      <w:spacing w:before="240" w:after="60"/>
      <w:outlineLvl w:val="0"/>
    </w:pPr>
    <w:rPr>
      <w:rFonts w:ascii="Arial" w:hAnsi="Arial" w:cs="Arial"/>
      <w:b/>
    </w:rPr>
  </w:style>
  <w:style w:type="paragraph" w:styleId="Titolo2">
    <w:name w:val="heading 2"/>
    <w:basedOn w:val="Normale"/>
    <w:next w:val="Normale"/>
    <w:qFormat/>
    <w:pPr>
      <w:keepNext/>
      <w:numPr>
        <w:ilvl w:val="1"/>
        <w:numId w:val="1"/>
      </w:numPr>
      <w:spacing w:before="240" w:after="60"/>
      <w:outlineLvl w:val="1"/>
    </w:pPr>
    <w:rPr>
      <w:rFonts w:ascii="Arial" w:hAnsi="Arial" w:cs="Arial"/>
      <w:b/>
      <w:i/>
    </w:rPr>
  </w:style>
  <w:style w:type="paragraph" w:styleId="Titolo3">
    <w:name w:val="heading 3"/>
    <w:basedOn w:val="Normale"/>
    <w:next w:val="Normale"/>
    <w:qFormat/>
    <w:pPr>
      <w:keepNext/>
      <w:numPr>
        <w:ilvl w:val="2"/>
        <w:numId w:val="1"/>
      </w:numPr>
      <w:spacing w:before="240" w:after="60"/>
      <w:outlineLvl w:val="2"/>
    </w:pPr>
    <w:rPr>
      <w:rFonts w:ascii="Arial" w:hAnsi="Arial" w:cs="Arial"/>
      <w:b/>
      <w:sz w:val="26"/>
    </w:rPr>
  </w:style>
  <w:style w:type="paragraph" w:styleId="Titolo4">
    <w:name w:val="heading 4"/>
    <w:basedOn w:val="Normale"/>
    <w:next w:val="Normale"/>
    <w:qFormat/>
    <w:pPr>
      <w:keepNext/>
      <w:tabs>
        <w:tab w:val="left" w:pos="720"/>
        <w:tab w:val="left" w:pos="3686"/>
      </w:tabs>
      <w:spacing w:line="480" w:lineRule="auto"/>
      <w:jc w:val="both"/>
      <w:outlineLvl w:val="3"/>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b w:val="0"/>
      <w:bCs/>
      <w:i w:val="0"/>
      <w:iCs w:val="0"/>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bC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Carpredefinitoparagrafo1">
    <w:name w:val="Car. predefinito paragrafo1"/>
  </w:style>
  <w:style w:type="character" w:styleId="Numeropagina">
    <w:name w:val="page number"/>
    <w:basedOn w:val="Carpredefinitoparagrafo1"/>
  </w:style>
  <w:style w:type="character" w:customStyle="1" w:styleId="Collegamentoipertestuale1">
    <w:name w:val="Collegamento ipertestuale1"/>
    <w:rPr>
      <w:color w:val="0000FF"/>
      <w:u w:val="single"/>
    </w:rPr>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character" w:customStyle="1" w:styleId="Caratteredinumerazione">
    <w:name w:val="Carattere di numerazione"/>
  </w:style>
  <w:style w:type="character" w:customStyle="1" w:styleId="Caratteredellanota">
    <w:name w:val="Carattere della nota"/>
    <w:rPr>
      <w:vertAlign w:val="superscript"/>
    </w:rPr>
  </w:style>
  <w:style w:type="character" w:styleId="Enfasigrassetto">
    <w:name w:val="Strong"/>
    <w:qFormat/>
    <w:rPr>
      <w:b/>
      <w:bCs/>
    </w:rPr>
  </w:style>
  <w:style w:type="character" w:styleId="Enfasicorsivo">
    <w:name w:val="Emphasis"/>
    <w:qFormat/>
    <w:rPr>
      <w:i/>
      <w:iCs/>
    </w:rPr>
  </w:style>
  <w:style w:type="character" w:customStyle="1" w:styleId="WW8Num35z8">
    <w:name w:val="WW8Num35z8"/>
  </w:style>
  <w:style w:type="character" w:customStyle="1" w:styleId="WW8Num35z7">
    <w:name w:val="WW8Num35z7"/>
  </w:style>
  <w:style w:type="character" w:customStyle="1" w:styleId="WW8Num35z6">
    <w:name w:val="WW8Num35z6"/>
  </w:style>
  <w:style w:type="character" w:customStyle="1" w:styleId="WW8Num35z5">
    <w:name w:val="WW8Num35z5"/>
  </w:style>
  <w:style w:type="character" w:customStyle="1" w:styleId="WW8Num35z4">
    <w:name w:val="WW8Num35z4"/>
  </w:style>
  <w:style w:type="character" w:customStyle="1" w:styleId="WW8Num35z3">
    <w:name w:val="WW8Num35z3"/>
  </w:style>
  <w:style w:type="character" w:customStyle="1" w:styleId="WW8Num35z2">
    <w:name w:val="WW8Num35z2"/>
  </w:style>
  <w:style w:type="character" w:customStyle="1" w:styleId="WW8Num35z1">
    <w:name w:val="WW8Num35z1"/>
  </w:style>
  <w:style w:type="character" w:customStyle="1" w:styleId="WW8Num35z0">
    <w:name w:val="WW8Num35z0"/>
  </w:style>
  <w:style w:type="character" w:customStyle="1" w:styleId="WW8Num34z8">
    <w:name w:val="WW8Num34z8"/>
  </w:style>
  <w:style w:type="character" w:customStyle="1" w:styleId="WW8Num34z7">
    <w:name w:val="WW8Num34z7"/>
  </w:style>
  <w:style w:type="character" w:customStyle="1" w:styleId="WW8Num34z6">
    <w:name w:val="WW8Num34z6"/>
  </w:style>
  <w:style w:type="character" w:customStyle="1" w:styleId="WW8Num34z5">
    <w:name w:val="WW8Num34z5"/>
  </w:style>
  <w:style w:type="character" w:customStyle="1" w:styleId="WW8Num34z4">
    <w:name w:val="WW8Num34z4"/>
  </w:style>
  <w:style w:type="character" w:customStyle="1" w:styleId="WW8Num34z3">
    <w:name w:val="WW8Num34z3"/>
  </w:style>
  <w:style w:type="character" w:customStyle="1" w:styleId="WW8Num34z2">
    <w:name w:val="WW8Num34z2"/>
  </w:style>
  <w:style w:type="character" w:customStyle="1" w:styleId="WW8Num34z1">
    <w:name w:val="WW8Num34z1"/>
  </w:style>
  <w:style w:type="character" w:customStyle="1" w:styleId="WW8Num34z0">
    <w:name w:val="WW8Num34z0"/>
    <w:rPr>
      <w:i w:val="0"/>
      <w:iCs/>
    </w:rPr>
  </w:style>
  <w:style w:type="character" w:customStyle="1" w:styleId="WW8Num33z8">
    <w:name w:val="WW8Num33z8"/>
  </w:style>
  <w:style w:type="character" w:customStyle="1" w:styleId="WW8Num33z7">
    <w:name w:val="WW8Num33z7"/>
  </w:style>
  <w:style w:type="character" w:customStyle="1" w:styleId="WW8Num33z6">
    <w:name w:val="WW8Num33z6"/>
  </w:style>
  <w:style w:type="character" w:customStyle="1" w:styleId="WW8Num33z5">
    <w:name w:val="WW8Num33z5"/>
  </w:style>
  <w:style w:type="character" w:customStyle="1" w:styleId="WW8Num33z4">
    <w:name w:val="WW8Num33z4"/>
  </w:style>
  <w:style w:type="character" w:customStyle="1" w:styleId="WW8Num33z3">
    <w:name w:val="WW8Num33z3"/>
  </w:style>
  <w:style w:type="character" w:customStyle="1" w:styleId="WW8Num33z2">
    <w:name w:val="WW8Num33z2"/>
  </w:style>
  <w:style w:type="character" w:customStyle="1" w:styleId="WW8Num33z1">
    <w:name w:val="WW8Num33z1"/>
  </w:style>
  <w:style w:type="character" w:customStyle="1" w:styleId="WW8Num33z0">
    <w:name w:val="WW8Num33z0"/>
  </w:style>
  <w:style w:type="character" w:customStyle="1" w:styleId="WW8Num32z8">
    <w:name w:val="WW8Num32z8"/>
  </w:style>
  <w:style w:type="character" w:customStyle="1" w:styleId="WW8Num32z7">
    <w:name w:val="WW8Num32z7"/>
  </w:style>
  <w:style w:type="character" w:customStyle="1" w:styleId="WW8Num32z6">
    <w:name w:val="WW8Num32z6"/>
  </w:style>
  <w:style w:type="character" w:customStyle="1" w:styleId="WW8Num32z5">
    <w:name w:val="WW8Num32z5"/>
  </w:style>
  <w:style w:type="character" w:customStyle="1" w:styleId="WW8Num32z4">
    <w:name w:val="WW8Num32z4"/>
  </w:style>
  <w:style w:type="character" w:customStyle="1" w:styleId="WW8Num32z3">
    <w:name w:val="WW8Num32z3"/>
  </w:style>
  <w:style w:type="character" w:customStyle="1" w:styleId="WW8Num32z2">
    <w:name w:val="WW8Num32z2"/>
  </w:style>
  <w:style w:type="character" w:customStyle="1" w:styleId="WW8Num32z1">
    <w:name w:val="WW8Num32z1"/>
  </w:style>
  <w:style w:type="character" w:customStyle="1" w:styleId="WW8Num32z0">
    <w:name w:val="WW8Num32z0"/>
  </w:style>
  <w:style w:type="character" w:customStyle="1" w:styleId="WW8Num31z8">
    <w:name w:val="WW8Num31z8"/>
  </w:style>
  <w:style w:type="character" w:customStyle="1" w:styleId="WW8Num31z7">
    <w:name w:val="WW8Num31z7"/>
  </w:style>
  <w:style w:type="character" w:customStyle="1" w:styleId="WW8Num31z6">
    <w:name w:val="WW8Num31z6"/>
  </w:style>
  <w:style w:type="character" w:customStyle="1" w:styleId="WW8Num31z5">
    <w:name w:val="WW8Num31z5"/>
  </w:style>
  <w:style w:type="character" w:customStyle="1" w:styleId="WW8Num31z4">
    <w:name w:val="WW8Num31z4"/>
  </w:style>
  <w:style w:type="character" w:customStyle="1" w:styleId="WW8Num31z3">
    <w:name w:val="WW8Num31z3"/>
  </w:style>
  <w:style w:type="character" w:customStyle="1" w:styleId="WW8Num31z2">
    <w:name w:val="WW8Num31z2"/>
  </w:style>
  <w:style w:type="character" w:customStyle="1" w:styleId="WW8Num31z1">
    <w:name w:val="WW8Num31z1"/>
  </w:style>
  <w:style w:type="character" w:customStyle="1" w:styleId="WW8Num31z0">
    <w:name w:val="WW8Num31z0"/>
  </w:style>
  <w:style w:type="character" w:customStyle="1" w:styleId="WW8Num30z8">
    <w:name w:val="WW8Num30z8"/>
  </w:style>
  <w:style w:type="character" w:customStyle="1" w:styleId="WW8Num30z7">
    <w:name w:val="WW8Num30z7"/>
  </w:style>
  <w:style w:type="character" w:customStyle="1" w:styleId="WW8Num30z6">
    <w:name w:val="WW8Num30z6"/>
  </w:style>
  <w:style w:type="character" w:customStyle="1" w:styleId="WW8Num30z5">
    <w:name w:val="WW8Num30z5"/>
  </w:style>
  <w:style w:type="character" w:customStyle="1" w:styleId="WW8Num30z4">
    <w:name w:val="WW8Num30z4"/>
  </w:style>
  <w:style w:type="character" w:customStyle="1" w:styleId="WW8Num30z3">
    <w:name w:val="WW8Num30z3"/>
  </w:style>
  <w:style w:type="character" w:customStyle="1" w:styleId="WW8Num30z2">
    <w:name w:val="WW8Num30z2"/>
  </w:style>
  <w:style w:type="character" w:customStyle="1" w:styleId="WW8Num30z1">
    <w:name w:val="WW8Num30z1"/>
  </w:style>
  <w:style w:type="character" w:customStyle="1" w:styleId="WW8Num30z0">
    <w:name w:val="WW8Num30z0"/>
  </w:style>
  <w:style w:type="character" w:customStyle="1" w:styleId="WW8Num29z8">
    <w:name w:val="WW8Num29z8"/>
  </w:style>
  <w:style w:type="character" w:customStyle="1" w:styleId="WW8Num29z7">
    <w:name w:val="WW8Num29z7"/>
  </w:style>
  <w:style w:type="character" w:customStyle="1" w:styleId="WW8Num29z6">
    <w:name w:val="WW8Num29z6"/>
  </w:style>
  <w:style w:type="character" w:customStyle="1" w:styleId="WW8Num29z5">
    <w:name w:val="WW8Num29z5"/>
  </w:style>
  <w:style w:type="character" w:customStyle="1" w:styleId="WW8Num29z4">
    <w:name w:val="WW8Num29z4"/>
  </w:style>
  <w:style w:type="character" w:customStyle="1" w:styleId="WW8Num29z3">
    <w:name w:val="WW8Num29z3"/>
  </w:style>
  <w:style w:type="character" w:customStyle="1" w:styleId="WW8Num29z2">
    <w:name w:val="WW8Num29z2"/>
  </w:style>
  <w:style w:type="character" w:customStyle="1" w:styleId="WW8Num29z1">
    <w:name w:val="WW8Num29z1"/>
  </w:style>
  <w:style w:type="character" w:customStyle="1" w:styleId="WW8Num29z0">
    <w:name w:val="WW8Num29z0"/>
    <w:rPr>
      <w:rFonts w:ascii="Book Antiqua" w:hAnsi="Book Antiqua" w:cs="Book Antiqua"/>
      <w:b/>
      <w:i w:val="0"/>
      <w:caps/>
      <w:sz w:val="28"/>
      <w:szCs w:val="28"/>
      <w:u w:val="words"/>
    </w:rPr>
  </w:style>
  <w:style w:type="character" w:customStyle="1" w:styleId="WW8Num28z3">
    <w:name w:val="WW8Num28z3"/>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Book Antiqua" w:eastAsia="Times New Roman" w:hAnsi="Book Antiqua" w:cs="Times New Roman"/>
    </w:rPr>
  </w:style>
  <w:style w:type="character" w:customStyle="1" w:styleId="WW8Num27z0">
    <w:name w:val="WW8Num27z0"/>
  </w:style>
  <w:style w:type="character" w:customStyle="1" w:styleId="WW8Num26z8">
    <w:name w:val="WW8Num26z8"/>
  </w:style>
  <w:style w:type="character" w:customStyle="1" w:styleId="WW8Num26z7">
    <w:name w:val="WW8Num26z7"/>
  </w:style>
  <w:style w:type="character" w:customStyle="1" w:styleId="WW8Num26z6">
    <w:name w:val="WW8Num26z6"/>
  </w:style>
  <w:style w:type="character" w:customStyle="1" w:styleId="WW8Num26z5">
    <w:name w:val="WW8Num26z5"/>
  </w:style>
  <w:style w:type="character" w:customStyle="1" w:styleId="WW8Num26z4">
    <w:name w:val="WW8Num26z4"/>
  </w:style>
  <w:style w:type="character" w:customStyle="1" w:styleId="WW8Num26z3">
    <w:name w:val="WW8Num26z3"/>
  </w:style>
  <w:style w:type="character" w:customStyle="1" w:styleId="WW8Num26z2">
    <w:name w:val="WW8Num26z2"/>
  </w:style>
  <w:style w:type="character" w:customStyle="1" w:styleId="WW8Num26z1">
    <w:name w:val="WW8Num26z1"/>
  </w:style>
  <w:style w:type="character" w:customStyle="1" w:styleId="WW8Num26z0">
    <w:name w:val="WW8Num26z0"/>
  </w:style>
  <w:style w:type="character" w:customStyle="1" w:styleId="WW8Num25z8">
    <w:name w:val="WW8Num25z8"/>
  </w:style>
  <w:style w:type="character" w:customStyle="1" w:styleId="WW8Num25z7">
    <w:name w:val="WW8Num25z7"/>
  </w:style>
  <w:style w:type="character" w:customStyle="1" w:styleId="WW8Num25z6">
    <w:name w:val="WW8Num25z6"/>
  </w:style>
  <w:style w:type="character" w:customStyle="1" w:styleId="WW8Num25z5">
    <w:name w:val="WW8Num25z5"/>
  </w:style>
  <w:style w:type="character" w:customStyle="1" w:styleId="WW8Num25z4">
    <w:name w:val="WW8Num25z4"/>
  </w:style>
  <w:style w:type="character" w:customStyle="1" w:styleId="WW8Num25z3">
    <w:name w:val="WW8Num25z3"/>
  </w:style>
  <w:style w:type="character" w:customStyle="1" w:styleId="WW8Num25z2">
    <w:name w:val="WW8Num25z2"/>
  </w:style>
  <w:style w:type="character" w:customStyle="1" w:styleId="WW8Num25z1">
    <w:name w:val="WW8Num25z1"/>
  </w:style>
  <w:style w:type="character" w:customStyle="1" w:styleId="WW8Num25z0">
    <w:name w:val="WW8Num25z0"/>
    <w:rPr>
      <w:szCs w:val="28"/>
    </w:rPr>
  </w:style>
  <w:style w:type="character" w:customStyle="1" w:styleId="WW8Num24z8">
    <w:name w:val="WW8Num24z8"/>
  </w:style>
  <w:style w:type="character" w:customStyle="1" w:styleId="WW8Num24z7">
    <w:name w:val="WW8Num24z7"/>
  </w:style>
  <w:style w:type="character" w:customStyle="1" w:styleId="WW8Num24z6">
    <w:name w:val="WW8Num24z6"/>
  </w:style>
  <w:style w:type="character" w:customStyle="1" w:styleId="WW8Num24z5">
    <w:name w:val="WW8Num24z5"/>
  </w:style>
  <w:style w:type="character" w:customStyle="1" w:styleId="WW8Num24z4">
    <w:name w:val="WW8Num24z4"/>
  </w:style>
  <w:style w:type="character" w:customStyle="1" w:styleId="WW8Num24z3">
    <w:name w:val="WW8Num24z3"/>
  </w:style>
  <w:style w:type="character" w:customStyle="1" w:styleId="WW8Num24z2">
    <w:name w:val="WW8Num24z2"/>
  </w:style>
  <w:style w:type="character" w:customStyle="1" w:styleId="WW8Num24z1">
    <w:name w:val="WW8Num24z1"/>
  </w:style>
  <w:style w:type="character" w:customStyle="1" w:styleId="WW8Num24z0">
    <w:name w:val="WW8Num24z0"/>
  </w:style>
  <w:style w:type="character" w:customStyle="1" w:styleId="WW8Num23z8">
    <w:name w:val="WW8Num23z8"/>
  </w:style>
  <w:style w:type="character" w:customStyle="1" w:styleId="WW8Num23z7">
    <w:name w:val="WW8Num23z7"/>
  </w:style>
  <w:style w:type="character" w:customStyle="1" w:styleId="WW8Num23z6">
    <w:name w:val="WW8Num23z6"/>
  </w:style>
  <w:style w:type="character" w:customStyle="1" w:styleId="WW8Num23z5">
    <w:name w:val="WW8Num23z5"/>
  </w:style>
  <w:style w:type="character" w:customStyle="1" w:styleId="WW8Num23z4">
    <w:name w:val="WW8Num23z4"/>
  </w:style>
  <w:style w:type="character" w:customStyle="1" w:styleId="WW8Num23z3">
    <w:name w:val="WW8Num23z3"/>
  </w:style>
  <w:style w:type="character" w:customStyle="1" w:styleId="WW8Num23z2">
    <w:name w:val="WW8Num23z2"/>
  </w:style>
  <w:style w:type="character" w:customStyle="1" w:styleId="WW8Num23z1">
    <w:name w:val="WW8Num23z1"/>
  </w:style>
  <w:style w:type="character" w:customStyle="1" w:styleId="WW8Num23z0">
    <w:name w:val="WW8Num23z0"/>
  </w:style>
  <w:style w:type="character" w:customStyle="1" w:styleId="WW8Num22z8">
    <w:name w:val="WW8Num22z8"/>
  </w:style>
  <w:style w:type="character" w:customStyle="1" w:styleId="WW8Num22z7">
    <w:name w:val="WW8Num22z7"/>
  </w:style>
  <w:style w:type="character" w:customStyle="1" w:styleId="WW8Num22z6">
    <w:name w:val="WW8Num22z6"/>
  </w:style>
  <w:style w:type="character" w:customStyle="1" w:styleId="WW8Num22z5">
    <w:name w:val="WW8Num22z5"/>
  </w:style>
  <w:style w:type="character" w:customStyle="1" w:styleId="WW8Num22z4">
    <w:name w:val="WW8Num22z4"/>
  </w:style>
  <w:style w:type="character" w:customStyle="1" w:styleId="WW8Num22z3">
    <w:name w:val="WW8Num22z3"/>
  </w:style>
  <w:style w:type="character" w:customStyle="1" w:styleId="WW8Num22z2">
    <w:name w:val="WW8Num22z2"/>
  </w:style>
  <w:style w:type="character" w:customStyle="1" w:styleId="WW8Num22z1">
    <w:name w:val="WW8Num22z1"/>
  </w:style>
  <w:style w:type="character" w:customStyle="1" w:styleId="WW8Num22z0">
    <w:name w:val="WW8Num22z0"/>
  </w:style>
  <w:style w:type="character" w:customStyle="1" w:styleId="WW8Num21z8">
    <w:name w:val="WW8Num21z8"/>
  </w:style>
  <w:style w:type="character" w:customStyle="1" w:styleId="WW8Num21z7">
    <w:name w:val="WW8Num21z7"/>
  </w:style>
  <w:style w:type="character" w:customStyle="1" w:styleId="WW8Num21z6">
    <w:name w:val="WW8Num21z6"/>
  </w:style>
  <w:style w:type="character" w:customStyle="1" w:styleId="WW8Num21z5">
    <w:name w:val="WW8Num21z5"/>
  </w:style>
  <w:style w:type="character" w:customStyle="1" w:styleId="WW8Num21z4">
    <w:name w:val="WW8Num21z4"/>
  </w:style>
  <w:style w:type="character" w:customStyle="1" w:styleId="WW8Num21z3">
    <w:name w:val="WW8Num21z3"/>
  </w:style>
  <w:style w:type="character" w:customStyle="1" w:styleId="WW8Num21z2">
    <w:name w:val="WW8Num21z2"/>
  </w:style>
  <w:style w:type="character" w:customStyle="1" w:styleId="WW8Num21z1">
    <w:name w:val="WW8Num21z1"/>
  </w:style>
  <w:style w:type="character" w:customStyle="1" w:styleId="WW8Num21z0">
    <w:name w:val="WW8Num21z0"/>
  </w:style>
  <w:style w:type="character" w:customStyle="1" w:styleId="WW8Num20z8">
    <w:name w:val="WW8Num20z8"/>
  </w:style>
  <w:style w:type="character" w:customStyle="1" w:styleId="WW8Num20z7">
    <w:name w:val="WW8Num20z7"/>
  </w:style>
  <w:style w:type="character" w:customStyle="1" w:styleId="WW8Num20z6">
    <w:name w:val="WW8Num20z6"/>
  </w:style>
  <w:style w:type="character" w:customStyle="1" w:styleId="WW8Num20z5">
    <w:name w:val="WW8Num20z5"/>
  </w:style>
  <w:style w:type="character" w:customStyle="1" w:styleId="WW8Num20z4">
    <w:name w:val="WW8Num20z4"/>
  </w:style>
  <w:style w:type="character" w:customStyle="1" w:styleId="WW8Num20z3">
    <w:name w:val="WW8Num20z3"/>
  </w:style>
  <w:style w:type="character" w:customStyle="1" w:styleId="WW8Num20z2">
    <w:name w:val="WW8Num20z2"/>
  </w:style>
  <w:style w:type="character" w:customStyle="1" w:styleId="WW8Num20z1">
    <w:name w:val="WW8Num20z1"/>
  </w:style>
  <w:style w:type="character" w:customStyle="1" w:styleId="WW8Num20z0">
    <w:name w:val="WW8Num20z0"/>
  </w:style>
  <w:style w:type="character" w:customStyle="1" w:styleId="WW8Num19z8">
    <w:name w:val="WW8Num19z8"/>
  </w:style>
  <w:style w:type="character" w:customStyle="1" w:styleId="WW8Num19z7">
    <w:name w:val="WW8Num19z7"/>
  </w:style>
  <w:style w:type="character" w:customStyle="1" w:styleId="WW8Num19z6">
    <w:name w:val="WW8Num19z6"/>
  </w:style>
  <w:style w:type="character" w:customStyle="1" w:styleId="WW8Num19z5">
    <w:name w:val="WW8Num19z5"/>
  </w:style>
  <w:style w:type="character" w:customStyle="1" w:styleId="WW8Num19z4">
    <w:name w:val="WW8Num19z4"/>
  </w:style>
  <w:style w:type="character" w:customStyle="1" w:styleId="WW8Num19z3">
    <w:name w:val="WW8Num19z3"/>
  </w:style>
  <w:style w:type="character" w:customStyle="1" w:styleId="WW8Num19z2">
    <w:name w:val="WW8Num19z2"/>
  </w:style>
  <w:style w:type="character" w:customStyle="1" w:styleId="WW8Num19z1">
    <w:name w:val="WW8Num19z1"/>
  </w:style>
  <w:style w:type="character" w:customStyle="1" w:styleId="WW8Num19z0">
    <w:name w:val="WW8Num19z0"/>
  </w:style>
  <w:style w:type="character" w:customStyle="1" w:styleId="WW8Num18z8">
    <w:name w:val="WW8Num18z8"/>
  </w:style>
  <w:style w:type="character" w:customStyle="1" w:styleId="WW8Num18z7">
    <w:name w:val="WW8Num18z7"/>
  </w:style>
  <w:style w:type="character" w:customStyle="1" w:styleId="WW8Num18z6">
    <w:name w:val="WW8Num18z6"/>
  </w:style>
  <w:style w:type="character" w:customStyle="1" w:styleId="WW8Num18z5">
    <w:name w:val="WW8Num18z5"/>
  </w:style>
  <w:style w:type="character" w:customStyle="1" w:styleId="WW8Num18z4">
    <w:name w:val="WW8Num18z4"/>
  </w:style>
  <w:style w:type="character" w:customStyle="1" w:styleId="WW8Num18z3">
    <w:name w:val="WW8Num18z3"/>
  </w:style>
  <w:style w:type="character" w:customStyle="1" w:styleId="WW8Num18z2">
    <w:name w:val="WW8Num18z2"/>
  </w:style>
  <w:style w:type="character" w:customStyle="1" w:styleId="WW8Num18z1">
    <w:name w:val="WW8Num18z1"/>
  </w:style>
  <w:style w:type="character" w:customStyle="1" w:styleId="WW8Num18z0">
    <w:name w:val="WW8Num18z0"/>
  </w:style>
  <w:style w:type="character" w:customStyle="1" w:styleId="WW8Num17z8">
    <w:name w:val="WW8Num17z8"/>
  </w:style>
  <w:style w:type="character" w:customStyle="1" w:styleId="WW8Num17z7">
    <w:name w:val="WW8Num17z7"/>
  </w:style>
  <w:style w:type="character" w:customStyle="1" w:styleId="WW8Num17z6">
    <w:name w:val="WW8Num17z6"/>
  </w:style>
  <w:style w:type="character" w:customStyle="1" w:styleId="WW8Num17z5">
    <w:name w:val="WW8Num17z5"/>
  </w:style>
  <w:style w:type="character" w:customStyle="1" w:styleId="WW8Num17z4">
    <w:name w:val="WW8Num17z4"/>
  </w:style>
  <w:style w:type="character" w:customStyle="1" w:styleId="WW8Num17z3">
    <w:name w:val="WW8Num17z3"/>
  </w:style>
  <w:style w:type="character" w:customStyle="1" w:styleId="WW8Num17z2">
    <w:name w:val="WW8Num17z2"/>
  </w:style>
  <w:style w:type="character" w:customStyle="1" w:styleId="WW8Num17z1">
    <w:name w:val="WW8Num17z1"/>
  </w:style>
  <w:style w:type="character" w:customStyle="1" w:styleId="WW8Num17z0">
    <w:name w:val="WW8Num17z0"/>
    <w:rPr>
      <w:rFonts w:ascii="Garamond" w:hAnsi="Garamond" w:cs="Garamond"/>
    </w:rPr>
  </w:style>
  <w:style w:type="character" w:customStyle="1" w:styleId="WW8Num16z8">
    <w:name w:val="WW8Num16z8"/>
  </w:style>
  <w:style w:type="character" w:customStyle="1" w:styleId="WW8Num16z7">
    <w:name w:val="WW8Num16z7"/>
  </w:style>
  <w:style w:type="character" w:customStyle="1" w:styleId="WW8Num16z6">
    <w:name w:val="WW8Num16z6"/>
  </w:style>
  <w:style w:type="character" w:customStyle="1" w:styleId="WW8Num16z5">
    <w:name w:val="WW8Num16z5"/>
  </w:style>
  <w:style w:type="character" w:customStyle="1" w:styleId="WW8Num16z4">
    <w:name w:val="WW8Num16z4"/>
  </w:style>
  <w:style w:type="character" w:customStyle="1" w:styleId="WW8Num16z3">
    <w:name w:val="WW8Num16z3"/>
  </w:style>
  <w:style w:type="character" w:customStyle="1" w:styleId="WW8Num16z2">
    <w:name w:val="WW8Num16z2"/>
  </w:style>
  <w:style w:type="character" w:customStyle="1" w:styleId="WW8Num16z1">
    <w:name w:val="WW8Num16z1"/>
  </w:style>
  <w:style w:type="character" w:customStyle="1" w:styleId="WW8Num16z0">
    <w:name w:val="WW8Num16z0"/>
  </w:style>
  <w:style w:type="character" w:customStyle="1" w:styleId="WW8Num15z8">
    <w:name w:val="WW8Num15z8"/>
  </w:style>
  <w:style w:type="character" w:customStyle="1" w:styleId="WW8Num15z7">
    <w:name w:val="WW8Num15z7"/>
  </w:style>
  <w:style w:type="character" w:customStyle="1" w:styleId="WW8Num15z6">
    <w:name w:val="WW8Num15z6"/>
  </w:style>
  <w:style w:type="character" w:customStyle="1" w:styleId="WW8Num15z5">
    <w:name w:val="WW8Num15z5"/>
  </w:style>
  <w:style w:type="character" w:customStyle="1" w:styleId="WW8Num15z4">
    <w:name w:val="WW8Num15z4"/>
  </w:style>
  <w:style w:type="character" w:customStyle="1" w:styleId="WW8Num15z3">
    <w:name w:val="WW8Num15z3"/>
  </w:style>
  <w:style w:type="character" w:customStyle="1" w:styleId="WW8Num15z2">
    <w:name w:val="WW8Num15z2"/>
  </w:style>
  <w:style w:type="character" w:customStyle="1" w:styleId="WW8Num15z1">
    <w:name w:val="WW8Num15z1"/>
  </w:style>
  <w:style w:type="character" w:customStyle="1" w:styleId="WW8Num15z0">
    <w:name w:val="WW8Num15z0"/>
  </w:style>
  <w:style w:type="character" w:customStyle="1" w:styleId="WW8Num14z8">
    <w:name w:val="WW8Num14z8"/>
  </w:style>
  <w:style w:type="character" w:customStyle="1" w:styleId="WW8Num14z7">
    <w:name w:val="WW8Num14z7"/>
  </w:style>
  <w:style w:type="character" w:customStyle="1" w:styleId="WW8Num14z6">
    <w:name w:val="WW8Num14z6"/>
  </w:style>
  <w:style w:type="character" w:customStyle="1" w:styleId="WW8Num14z5">
    <w:name w:val="WW8Num14z5"/>
  </w:style>
  <w:style w:type="character" w:customStyle="1" w:styleId="WW8Num14z4">
    <w:name w:val="WW8Num14z4"/>
  </w:style>
  <w:style w:type="character" w:customStyle="1" w:styleId="WW8Num14z3">
    <w:name w:val="WW8Num14z3"/>
  </w:style>
  <w:style w:type="character" w:customStyle="1" w:styleId="WW8Num14z2">
    <w:name w:val="WW8Num14z2"/>
  </w:style>
  <w:style w:type="character" w:customStyle="1" w:styleId="WW8Num14z1">
    <w:name w:val="WW8Num14z1"/>
  </w:style>
  <w:style w:type="character" w:customStyle="1" w:styleId="WW8Num14z0">
    <w:name w:val="WW8Num14z0"/>
  </w:style>
  <w:style w:type="character" w:customStyle="1" w:styleId="WW8Num13z8">
    <w:name w:val="WW8Num13z8"/>
  </w:style>
  <w:style w:type="character" w:customStyle="1" w:styleId="WW8Num13z7">
    <w:name w:val="WW8Num13z7"/>
  </w:style>
  <w:style w:type="character" w:customStyle="1" w:styleId="WW8Num13z6">
    <w:name w:val="WW8Num13z6"/>
  </w:style>
  <w:style w:type="character" w:customStyle="1" w:styleId="WW8Num13z5">
    <w:name w:val="WW8Num13z5"/>
  </w:style>
  <w:style w:type="character" w:customStyle="1" w:styleId="WW8Num13z4">
    <w:name w:val="WW8Num13z4"/>
  </w:style>
  <w:style w:type="character" w:customStyle="1" w:styleId="WW8Num13z3">
    <w:name w:val="WW8Num13z3"/>
  </w:style>
  <w:style w:type="character" w:customStyle="1" w:styleId="WW8Num13z2">
    <w:name w:val="WW8Num13z2"/>
  </w:style>
  <w:style w:type="character" w:customStyle="1" w:styleId="WW8Num13z1">
    <w:name w:val="WW8Num13z1"/>
  </w:style>
  <w:style w:type="character" w:customStyle="1" w:styleId="WW8Num13z0">
    <w:name w:val="WW8Num13z0"/>
  </w:style>
  <w:style w:type="character" w:customStyle="1" w:styleId="WW8Num12z8">
    <w:name w:val="WW8Num12z8"/>
  </w:style>
  <w:style w:type="character" w:customStyle="1" w:styleId="WW8Num12z7">
    <w:name w:val="WW8Num12z7"/>
  </w:style>
  <w:style w:type="character" w:customStyle="1" w:styleId="WW8Num12z6">
    <w:name w:val="WW8Num12z6"/>
  </w:style>
  <w:style w:type="character" w:customStyle="1" w:styleId="WW8Num12z5">
    <w:name w:val="WW8Num12z5"/>
  </w:style>
  <w:style w:type="character" w:customStyle="1" w:styleId="WW8Num12z4">
    <w:name w:val="WW8Num12z4"/>
  </w:style>
  <w:style w:type="character" w:customStyle="1" w:styleId="WW8Num12z3">
    <w:name w:val="WW8Num12z3"/>
  </w:style>
  <w:style w:type="character" w:customStyle="1" w:styleId="WW8Num12z2">
    <w:name w:val="WW8Num12z2"/>
  </w:style>
  <w:style w:type="character" w:customStyle="1" w:styleId="WW8Num12z1">
    <w:name w:val="WW8Num12z1"/>
  </w:style>
  <w:style w:type="character" w:customStyle="1" w:styleId="WW8Num12z0">
    <w:name w:val="WW8Num12z0"/>
  </w:style>
  <w:style w:type="character" w:customStyle="1" w:styleId="WW8Num11z8">
    <w:name w:val="WW8Num11z8"/>
  </w:style>
  <w:style w:type="character" w:customStyle="1" w:styleId="WW8Num11z7">
    <w:name w:val="WW8Num11z7"/>
  </w:style>
  <w:style w:type="character" w:customStyle="1" w:styleId="WW8Num11z6">
    <w:name w:val="WW8Num11z6"/>
  </w:style>
  <w:style w:type="character" w:customStyle="1" w:styleId="WW8Num11z5">
    <w:name w:val="WW8Num11z5"/>
  </w:style>
  <w:style w:type="character" w:customStyle="1" w:styleId="WW8Num11z4">
    <w:name w:val="WW8Num11z4"/>
  </w:style>
  <w:style w:type="character" w:customStyle="1" w:styleId="WW8Num11z3">
    <w:name w:val="WW8Num11z3"/>
  </w:style>
  <w:style w:type="character" w:customStyle="1" w:styleId="WW8Num11z2">
    <w:name w:val="WW8Num11z2"/>
  </w:style>
  <w:style w:type="character" w:customStyle="1" w:styleId="WW8Num11z1">
    <w:name w:val="WW8Num11z1"/>
  </w:style>
  <w:style w:type="character" w:customStyle="1" w:styleId="WW8Num11z0">
    <w:name w:val="WW8Num11z0"/>
  </w:style>
  <w:style w:type="character" w:customStyle="1" w:styleId="WW8Num10z3">
    <w:name w:val="WW8Num10z3"/>
    <w:rPr>
      <w:rFonts w:ascii="Symbol" w:hAnsi="Symbol" w:cs="Symbol"/>
    </w:rPr>
  </w:style>
  <w:style w:type="character" w:customStyle="1" w:styleId="WW8Num10z2">
    <w:name w:val="WW8Num10z2"/>
    <w:rPr>
      <w:rFonts w:ascii="Wingdings" w:hAnsi="Wingdings" w:cs="Wingdings"/>
    </w:rPr>
  </w:style>
  <w:style w:type="character" w:customStyle="1" w:styleId="WW8Num10z1">
    <w:name w:val="WW8Num10z1"/>
    <w:rPr>
      <w:rFonts w:ascii="Courier New" w:hAnsi="Courier New" w:cs="Courier New"/>
    </w:rPr>
  </w:style>
  <w:style w:type="character" w:customStyle="1" w:styleId="WW8Num10z0">
    <w:name w:val="WW8Num10z0"/>
    <w:rPr>
      <w:rFonts w:ascii="Garamond" w:eastAsia="Times New Roman" w:hAnsi="Garamond" w:cs="Times New Roman"/>
      <w:b/>
    </w:rPr>
  </w:style>
  <w:style w:type="character" w:customStyle="1" w:styleId="WW8Num9z8">
    <w:name w:val="WW8Num9z8"/>
  </w:style>
  <w:style w:type="character" w:customStyle="1" w:styleId="WW8Num9z7">
    <w:name w:val="WW8Num9z7"/>
  </w:style>
  <w:style w:type="character" w:customStyle="1" w:styleId="WW8Num9z6">
    <w:name w:val="WW8Num9z6"/>
  </w:style>
  <w:style w:type="character" w:customStyle="1" w:styleId="WW8Num9z5">
    <w:name w:val="WW8Num9z5"/>
  </w:style>
  <w:style w:type="character" w:customStyle="1" w:styleId="WW8Num9z4">
    <w:name w:val="WW8Num9z4"/>
  </w:style>
  <w:style w:type="character" w:customStyle="1" w:styleId="WW8Num9z3">
    <w:name w:val="WW8Num9z3"/>
  </w:style>
  <w:style w:type="character" w:customStyle="1" w:styleId="WW8Num9z2">
    <w:name w:val="WW8Num9z2"/>
  </w:style>
  <w:style w:type="character" w:customStyle="1" w:styleId="WW8Num9z1">
    <w:name w:val="WW8Num9z1"/>
  </w:style>
  <w:style w:type="character" w:customStyle="1" w:styleId="WW8Num9z0">
    <w:name w:val="WW8Num9z0"/>
  </w:style>
  <w:style w:type="character" w:customStyle="1" w:styleId="WW8Num8z4">
    <w:name w:val="WW8Num8z4"/>
    <w:rPr>
      <w:rFonts w:ascii="Courier New" w:hAnsi="Courier New" w:cs="Courier New"/>
    </w:rPr>
  </w:style>
  <w:style w:type="character" w:customStyle="1" w:styleId="WW8Num8z2">
    <w:name w:val="WW8Num8z2"/>
    <w:rPr>
      <w:rFonts w:ascii="Wingdings" w:hAnsi="Wingdings" w:cs="Wingdings"/>
    </w:rPr>
  </w:style>
  <w:style w:type="character" w:customStyle="1" w:styleId="WW8Num8z1">
    <w:name w:val="WW8Num8z1"/>
  </w:style>
  <w:style w:type="character" w:customStyle="1" w:styleId="WW8Num8z0">
    <w:name w:val="WW8Num8z0"/>
    <w:rPr>
      <w:rFonts w:ascii="Symbol" w:hAnsi="Symbol" w:cs="Symbol"/>
    </w:rPr>
  </w:style>
  <w:style w:type="character" w:customStyle="1" w:styleId="WW8Num7z8">
    <w:name w:val="WW8Num7z8"/>
  </w:style>
  <w:style w:type="character" w:customStyle="1" w:styleId="WW8Num7z7">
    <w:name w:val="WW8Num7z7"/>
  </w:style>
  <w:style w:type="character" w:customStyle="1" w:styleId="WW8Num7z6">
    <w:name w:val="WW8Num7z6"/>
  </w:style>
  <w:style w:type="character" w:customStyle="1" w:styleId="WW8Num7z5">
    <w:name w:val="WW8Num7z5"/>
  </w:style>
  <w:style w:type="character" w:customStyle="1" w:styleId="WW8Num7z4">
    <w:name w:val="WW8Num7z4"/>
  </w:style>
  <w:style w:type="character" w:customStyle="1" w:styleId="WW8Num7z3">
    <w:name w:val="WW8Num7z3"/>
  </w:style>
  <w:style w:type="character" w:customStyle="1" w:styleId="WW8Num7z2">
    <w:name w:val="WW8Num7z2"/>
  </w:style>
  <w:style w:type="character" w:customStyle="1" w:styleId="WW8Num7z1">
    <w:name w:val="WW8Num7z1"/>
  </w:style>
  <w:style w:type="character" w:customStyle="1" w:styleId="WW8Num7z0">
    <w:name w:val="WW8Num7z0"/>
  </w:style>
  <w:style w:type="character" w:customStyle="1" w:styleId="WW8Num6z8">
    <w:name w:val="WW8Num6z8"/>
  </w:style>
  <w:style w:type="character" w:customStyle="1" w:styleId="WW8Num6z7">
    <w:name w:val="WW8Num6z7"/>
  </w:style>
  <w:style w:type="character" w:customStyle="1" w:styleId="WW8Num6z6">
    <w:name w:val="WW8Num6z6"/>
  </w:style>
  <w:style w:type="character" w:customStyle="1" w:styleId="WW8Num6z5">
    <w:name w:val="WW8Num6z5"/>
  </w:style>
  <w:style w:type="character" w:customStyle="1" w:styleId="WW8Num6z4">
    <w:name w:val="WW8Num6z4"/>
  </w:style>
  <w:style w:type="character" w:customStyle="1" w:styleId="WW8Num6z3">
    <w:name w:val="WW8Num6z3"/>
  </w:style>
  <w:style w:type="character" w:customStyle="1" w:styleId="WW8Num6z2">
    <w:name w:val="WW8Num6z2"/>
  </w:style>
  <w:style w:type="character" w:customStyle="1" w:styleId="WW8Num6z1">
    <w:name w:val="WW8Num6z1"/>
  </w:style>
  <w:style w:type="character" w:customStyle="1" w:styleId="WW8Num6z0">
    <w:name w:val="WW8Num6z0"/>
  </w:style>
  <w:style w:type="character" w:customStyle="1" w:styleId="WW8Num5z8">
    <w:name w:val="WW8Num5z8"/>
  </w:style>
  <w:style w:type="character" w:customStyle="1" w:styleId="WW8Num5z7">
    <w:name w:val="WW8Num5z7"/>
  </w:style>
  <w:style w:type="character" w:customStyle="1" w:styleId="WW8Num5z6">
    <w:name w:val="WW8Num5z6"/>
  </w:style>
  <w:style w:type="character" w:customStyle="1" w:styleId="WW8Num5z5">
    <w:name w:val="WW8Num5z5"/>
  </w:style>
  <w:style w:type="character" w:customStyle="1" w:styleId="WW8Num5z4">
    <w:name w:val="WW8Num5z4"/>
  </w:style>
  <w:style w:type="character" w:customStyle="1" w:styleId="WW8Num5z3">
    <w:name w:val="WW8Num5z3"/>
  </w:style>
  <w:style w:type="character" w:customStyle="1" w:styleId="WW8Num5z2">
    <w:name w:val="WW8Num5z2"/>
  </w:style>
  <w:style w:type="character" w:customStyle="1" w:styleId="WW8Num5z1">
    <w:name w:val="WW8Num5z1"/>
    <w:rPr>
      <w:i w:val="0"/>
    </w:rPr>
  </w:style>
  <w:style w:type="character" w:customStyle="1" w:styleId="WW8Num5z0">
    <w:name w:val="WW8Num5z0"/>
  </w:style>
  <w:style w:type="character" w:customStyle="1" w:styleId="WW8Num4z8">
    <w:name w:val="WW8Num4z8"/>
  </w:style>
  <w:style w:type="character" w:customStyle="1" w:styleId="WW8Num4z7">
    <w:name w:val="WW8Num4z7"/>
  </w:style>
  <w:style w:type="character" w:customStyle="1" w:styleId="WW8Num4z6">
    <w:name w:val="WW8Num4z6"/>
  </w:style>
  <w:style w:type="character" w:customStyle="1" w:styleId="WW8Num4z5">
    <w:name w:val="WW8Num4z5"/>
  </w:style>
  <w:style w:type="character" w:customStyle="1" w:styleId="WW8Num4z4">
    <w:name w:val="WW8Num4z4"/>
  </w:style>
  <w:style w:type="character" w:customStyle="1" w:styleId="WW8Num4z3">
    <w:name w:val="WW8Num4z3"/>
  </w:style>
  <w:style w:type="character" w:customStyle="1" w:styleId="WW8Num4z2">
    <w:name w:val="WW8Num4z2"/>
  </w:style>
  <w:style w:type="character" w:customStyle="1" w:styleId="WW8Num4z1">
    <w:name w:val="WW8Num4z1"/>
  </w:style>
  <w:style w:type="character" w:customStyle="1" w:styleId="WW8Num4z0">
    <w:name w:val="WW8Num4z0"/>
    <w:rPr>
      <w:rFonts w:ascii="Garamond" w:hAnsi="Garamond" w:cs="Garamond"/>
    </w:rPr>
  </w:style>
  <w:style w:type="paragraph" w:customStyle="1" w:styleId="Intestazione1">
    <w:name w:val="Intestazione1"/>
    <w:basedOn w:val="Normale"/>
    <w:next w:val="Corpotesto"/>
    <w:pPr>
      <w:keepNext/>
      <w:spacing w:before="240" w:after="120"/>
    </w:pPr>
    <w:rPr>
      <w:rFonts w:ascii="Arial" w:eastAsia="Microsoft YaHei" w:hAnsi="Arial" w:cs="Lucida Sans"/>
      <w:szCs w:val="28"/>
    </w:rPr>
  </w:style>
  <w:style w:type="paragraph" w:styleId="Corpotesto">
    <w:name w:val="Body Text"/>
    <w:basedOn w:val="Normale"/>
    <w:pPr>
      <w:spacing w:after="120"/>
    </w:pPr>
  </w:style>
  <w:style w:type="paragraph" w:styleId="Elenco">
    <w:name w:val="List"/>
    <w:basedOn w:val="Corpotesto"/>
    <w:rPr>
      <w:rFonts w:cs="Lucida Sans"/>
    </w:rPr>
  </w:style>
  <w:style w:type="paragraph" w:customStyle="1" w:styleId="Didascalia1">
    <w:name w:val="Didascalia1"/>
    <w:basedOn w:val="Normale"/>
    <w:pPr>
      <w:suppressLineNumbers/>
      <w:spacing w:before="120" w:after="120"/>
    </w:pPr>
    <w:rPr>
      <w:rFonts w:cs="Lucida Sans"/>
      <w:i/>
      <w:iCs/>
      <w:sz w:val="24"/>
      <w:szCs w:val="24"/>
    </w:rPr>
  </w:style>
  <w:style w:type="paragraph" w:customStyle="1" w:styleId="Indice">
    <w:name w:val="Indice"/>
    <w:basedOn w:val="Normale"/>
    <w:pPr>
      <w:suppressLineNumbers/>
    </w:pPr>
    <w:rPr>
      <w:rFonts w:cs="Lucida Sans"/>
    </w:rPr>
  </w:style>
  <w:style w:type="paragraph" w:styleId="Intestazione">
    <w:name w:val="header"/>
    <w:basedOn w:val="Normale"/>
    <w:link w:val="IntestazioneCarattere"/>
    <w:uiPriority w:val="99"/>
    <w:pPr>
      <w:tabs>
        <w:tab w:val="center" w:pos="4819"/>
        <w:tab w:val="right" w:pos="9638"/>
      </w:tabs>
    </w:pPr>
  </w:style>
  <w:style w:type="paragraph" w:customStyle="1" w:styleId="Bollo">
    <w:name w:val="Bollo"/>
    <w:basedOn w:val="Normale"/>
    <w:pPr>
      <w:spacing w:line="520" w:lineRule="exact"/>
      <w:jc w:val="both"/>
    </w:pPr>
    <w:rPr>
      <w:b/>
    </w:rPr>
  </w:style>
  <w:style w:type="paragraph" w:styleId="Pidipagina">
    <w:name w:val="footer"/>
    <w:basedOn w:val="Normale"/>
    <w:link w:val="PidipaginaCarattere"/>
    <w:uiPriority w:val="99"/>
    <w:pPr>
      <w:tabs>
        <w:tab w:val="center" w:pos="4819"/>
        <w:tab w:val="right" w:pos="9638"/>
      </w:tabs>
    </w:pPr>
  </w:style>
  <w:style w:type="paragraph" w:customStyle="1" w:styleId="Contenutocornice">
    <w:name w:val="Contenuto cornice"/>
    <w:basedOn w:val="Normale"/>
  </w:style>
  <w:style w:type="paragraph" w:styleId="Testonotaapidipagina">
    <w:name w:val="footnote text"/>
    <w:basedOn w:val="Normale"/>
    <w:rPr>
      <w:sz w:val="20"/>
    </w:rPr>
  </w:style>
  <w:style w:type="paragraph" w:customStyle="1" w:styleId="bodytext2">
    <w:name w:val="bodytext2"/>
    <w:basedOn w:val="Normale"/>
    <w:pPr>
      <w:spacing w:before="100" w:after="100"/>
    </w:pPr>
    <w:rPr>
      <w:szCs w:val="24"/>
    </w:rPr>
  </w:style>
  <w:style w:type="paragraph" w:styleId="PreformattatoHTML">
    <w:name w:val="HTML Preformatted"/>
    <w:basedOn w:val="Normal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rPr>
  </w:style>
  <w:style w:type="paragraph" w:styleId="NormaleWeb">
    <w:name w:val="Normal (Web)"/>
    <w:basedOn w:val="Normale"/>
    <w:pPr>
      <w:spacing w:before="100" w:after="100"/>
    </w:pPr>
    <w:rPr>
      <w:szCs w:val="24"/>
      <w:lang w:eastAsia="bn-BD" w:bidi="bn-BD"/>
    </w:rPr>
  </w:style>
  <w:style w:type="paragraph" w:styleId="Testofumetto">
    <w:name w:val="Balloon Text"/>
    <w:basedOn w:val="Normale"/>
    <w:rPr>
      <w:rFonts w:ascii="Tahoma" w:hAnsi="Tahoma" w:cs="Tahoma"/>
      <w:sz w:val="16"/>
      <w:szCs w:val="16"/>
    </w:rPr>
  </w:style>
  <w:style w:type="paragraph" w:styleId="Rientrocorpodeltesto">
    <w:name w:val="Body Text Indent"/>
    <w:basedOn w:val="Normale"/>
    <w:pPr>
      <w:tabs>
        <w:tab w:val="left" w:pos="720"/>
        <w:tab w:val="left" w:pos="3686"/>
      </w:tabs>
      <w:spacing w:line="480" w:lineRule="auto"/>
      <w:ind w:left="-426"/>
      <w:jc w:val="both"/>
    </w:pPr>
  </w:style>
  <w:style w:type="paragraph" w:customStyle="1" w:styleId="WW-DocumentMap">
    <w:name w:val="WW-Document Map"/>
    <w:basedOn w:val="Normale"/>
    <w:rPr>
      <w:rFonts w:ascii="Tahoma" w:hAnsi="Tahoma" w:cs="Tahoma"/>
    </w:rPr>
  </w:style>
  <w:style w:type="paragraph" w:customStyle="1" w:styleId="Mappadocumento1">
    <w:name w:val="Mappa documento1"/>
    <w:basedOn w:val="Normale"/>
    <w:rPr>
      <w:rFonts w:ascii="Tahoma" w:hAnsi="Tahoma" w:cs="Tahoma"/>
    </w:rPr>
  </w:style>
  <w:style w:type="paragraph" w:customStyle="1" w:styleId="Corpodeltesto21">
    <w:name w:val="Corpo del testo 21"/>
    <w:basedOn w:val="Normale"/>
    <w:pPr>
      <w:widowControl w:val="0"/>
      <w:spacing w:line="480" w:lineRule="atLeast"/>
      <w:jc w:val="both"/>
    </w:pPr>
  </w:style>
  <w:style w:type="paragraph" w:styleId="Sottotitolo">
    <w:name w:val="Subtitle"/>
    <w:basedOn w:val="Intestazione1"/>
    <w:next w:val="Corpotesto"/>
    <w:qFormat/>
    <w:pPr>
      <w:jc w:val="center"/>
    </w:pPr>
    <w:rPr>
      <w:i/>
      <w:iCs/>
    </w:rPr>
  </w:style>
  <w:style w:type="paragraph" w:styleId="Titolo">
    <w:name w:val="Title"/>
    <w:basedOn w:val="Normale"/>
    <w:next w:val="Sottotitolo"/>
    <w:qFormat/>
    <w:pPr>
      <w:widowControl w:val="0"/>
      <w:spacing w:line="480" w:lineRule="atLeast"/>
      <w:jc w:val="center"/>
    </w:pPr>
    <w:rPr>
      <w:b/>
    </w:rPr>
  </w:style>
  <w:style w:type="character" w:customStyle="1" w:styleId="IntestazioneCarattere">
    <w:name w:val="Intestazione Carattere"/>
    <w:link w:val="Intestazione"/>
    <w:uiPriority w:val="99"/>
    <w:rsid w:val="000C5422"/>
    <w:rPr>
      <w:kern w:val="1"/>
      <w:sz w:val="28"/>
      <w:lang w:eastAsia="ar-SA"/>
    </w:rPr>
  </w:style>
  <w:style w:type="character" w:customStyle="1" w:styleId="PidipaginaCarattere">
    <w:name w:val="Piè di pagina Carattere"/>
    <w:link w:val="Pidipagina"/>
    <w:uiPriority w:val="99"/>
    <w:rsid w:val="007E3E65"/>
    <w:rPr>
      <w:kern w:val="1"/>
      <w:sz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ettings" Target="settings.xml"/><Relationship Id="rId7" Type="http://schemas.openxmlformats.org/officeDocument/2006/relationships/hyperlink" Target="mailto:mvoccia@vocciasp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3785</Words>
  <Characters>21580</Characters>
  <Application>Microsoft Office Word</Application>
  <DocSecurity>0</DocSecurity>
  <Lines>179</Lines>
  <Paragraphs>50</Paragraphs>
  <ScaleCrop>false</ScaleCrop>
  <HeadingPairs>
    <vt:vector size="2" baseType="variant">
      <vt:variant>
        <vt:lpstr>Titolo</vt:lpstr>
      </vt:variant>
      <vt:variant>
        <vt:i4>1</vt:i4>
      </vt:variant>
    </vt:vector>
  </HeadingPairs>
  <TitlesOfParts>
    <vt:vector size="1" baseType="lpstr">
      <vt:lpstr>XGGSG</vt:lpstr>
    </vt:vector>
  </TitlesOfParts>
  <Company/>
  <LinksUpToDate>false</LinksUpToDate>
  <CharactersWithSpaces>25315</CharactersWithSpaces>
  <SharedDoc>false</SharedDoc>
  <HLinks>
    <vt:vector size="12" baseType="variant">
      <vt:variant>
        <vt:i4>5177399</vt:i4>
      </vt:variant>
      <vt:variant>
        <vt:i4>3</vt:i4>
      </vt:variant>
      <vt:variant>
        <vt:i4>0</vt:i4>
      </vt:variant>
      <vt:variant>
        <vt:i4>5</vt:i4>
      </vt:variant>
      <vt:variant>
        <vt:lpwstr>mailto:mvocciaordsa@pec.giuffre.it</vt:lpwstr>
      </vt:variant>
      <vt:variant>
        <vt:lpwstr/>
      </vt:variant>
      <vt:variant>
        <vt:i4>131114</vt:i4>
      </vt:variant>
      <vt:variant>
        <vt:i4>0</vt:i4>
      </vt:variant>
      <vt:variant>
        <vt:i4>0</vt:i4>
      </vt:variant>
      <vt:variant>
        <vt:i4>5</vt:i4>
      </vt:variant>
      <vt:variant>
        <vt:lpwstr>mailto:mvoccia@vocciaspa.com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XGGSG</dc:title>
  <dc:subject/>
  <dc:creator>Utente 1</dc:creator>
  <cp:keywords/>
  <cp:lastModifiedBy>Maria Voccia de Felice</cp:lastModifiedBy>
  <cp:revision>5</cp:revision>
  <cp:lastPrinted>2025-11-18T16:41:00Z</cp:lastPrinted>
  <dcterms:created xsi:type="dcterms:W3CDTF">2025-11-18T16:29:00Z</dcterms:created>
  <dcterms:modified xsi:type="dcterms:W3CDTF">2025-11-18T16:44:00Z</dcterms:modified>
</cp:coreProperties>
</file>