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292F" w14:textId="77777777" w:rsidR="0054082B" w:rsidRPr="00286E13" w:rsidRDefault="0054082B" w:rsidP="0054082B">
      <w:pPr>
        <w:jc w:val="center"/>
      </w:pPr>
      <w:r>
        <w:rPr>
          <w:b/>
          <w:bCs/>
        </w:rPr>
        <w:t>Maria Voccia De Felice</w:t>
      </w:r>
    </w:p>
    <w:p w14:paraId="5C56DEE4" w14:textId="77777777" w:rsidR="0054082B" w:rsidRPr="00286E13" w:rsidRDefault="0054082B" w:rsidP="0054082B">
      <w:pPr>
        <w:jc w:val="center"/>
      </w:pPr>
      <w:r>
        <w:rPr>
          <w:b/>
          <w:bCs/>
        </w:rPr>
        <w:t>Avvocato</w:t>
      </w:r>
    </w:p>
    <w:p w14:paraId="0BB1C38C" w14:textId="77777777" w:rsidR="0054082B" w:rsidRPr="00286E13" w:rsidRDefault="0054082B" w:rsidP="0054082B">
      <w:pPr>
        <w:jc w:val="center"/>
      </w:pPr>
      <w:r>
        <w:rPr>
          <w:b/>
          <w:bCs/>
        </w:rPr>
        <w:t>Patrocinante in Cassazione</w:t>
      </w:r>
    </w:p>
    <w:p w14:paraId="3DA788DB" w14:textId="77777777" w:rsidR="0054082B" w:rsidRPr="00286E13" w:rsidRDefault="0054082B" w:rsidP="0054082B">
      <w:pPr>
        <w:jc w:val="center"/>
      </w:pPr>
      <w:r>
        <w:rPr>
          <w:b/>
          <w:bCs/>
        </w:rPr>
        <w:t>Salerno - Via G. Vicinanza n. 42 – 84123</w:t>
      </w:r>
    </w:p>
    <w:p w14:paraId="5F3A1FD6" w14:textId="77777777" w:rsidR="0054082B" w:rsidRPr="00286E13" w:rsidRDefault="0054082B" w:rsidP="0054082B">
      <w:pPr>
        <w:spacing w:after="200"/>
        <w:jc w:val="center"/>
      </w:pPr>
      <w:r>
        <w:rPr>
          <w:b/>
          <w:bCs/>
        </w:rPr>
        <w:t>tel. 089237255 mobile 335 6329269</w:t>
      </w:r>
    </w:p>
    <w:p w14:paraId="53E42C42" w14:textId="77777777" w:rsidR="0054082B" w:rsidRDefault="0054082B" w:rsidP="0054082B">
      <w:pPr>
        <w:spacing w:after="200"/>
        <w:jc w:val="center"/>
        <w:rPr>
          <w:b/>
          <w:bCs/>
        </w:rPr>
      </w:pPr>
      <w:r>
        <w:rPr>
          <w:b/>
          <w:bCs/>
        </w:rPr>
        <w:t xml:space="preserve">mail: mvoccia@vocciaspa.com pec: </w:t>
      </w:r>
      <w:hyperlink r:id="rId8" w:history="1">
        <w:r>
          <w:rPr>
            <w:rStyle w:val="Collegamentoipertestuale"/>
            <w:b/>
            <w:bCs/>
          </w:rPr>
          <w:t>mvocciaordsa@pec.giuffre.it</w:t>
        </w:r>
      </w:hyperlink>
    </w:p>
    <w:p w14:paraId="7A054E40" w14:textId="77777777" w:rsidR="0054082B" w:rsidRPr="00286E13" w:rsidRDefault="0054082B" w:rsidP="0054082B">
      <w:pPr>
        <w:spacing w:line="360" w:lineRule="auto"/>
      </w:pPr>
    </w:p>
    <w:p w14:paraId="3897D63A" w14:textId="77777777" w:rsidR="0054082B" w:rsidRPr="00286E13" w:rsidRDefault="0054082B" w:rsidP="0054082B">
      <w:pPr>
        <w:spacing w:line="360" w:lineRule="auto"/>
        <w:jc w:val="center"/>
      </w:pPr>
      <w:r>
        <w:rPr>
          <w:b/>
          <w:bCs/>
        </w:rPr>
        <w:t>ON.LE CORTE DI GIUSTIZIA TRIBUTARIA DI PRIMO GRADO DI POTENZA</w:t>
      </w:r>
    </w:p>
    <w:p w14:paraId="48EDF879" w14:textId="77777777" w:rsidR="00B14910" w:rsidRDefault="00B14910" w:rsidP="00FA7217">
      <w:pPr>
        <w:spacing w:line="360" w:lineRule="auto"/>
        <w:ind w:firstLine="567"/>
        <w:jc w:val="center"/>
        <w:rPr>
          <w:b/>
          <w:bCs/>
        </w:rPr>
      </w:pPr>
    </w:p>
    <w:p w14:paraId="0CC32693" w14:textId="77777777" w:rsidR="00B14910" w:rsidRDefault="00B14910" w:rsidP="00B14910">
      <w:pPr>
        <w:spacing w:line="360" w:lineRule="auto"/>
        <w:jc w:val="center"/>
        <w:rPr>
          <w:b/>
          <w:bCs/>
        </w:rPr>
      </w:pPr>
      <w:r w:rsidRPr="00FA7217">
        <w:rPr>
          <w:b/>
          <w:bCs/>
        </w:rPr>
        <w:t>Memoria di costituzione e controdeduzioni</w:t>
      </w:r>
    </w:p>
    <w:p w14:paraId="39EE5A37" w14:textId="77777777" w:rsidR="00FA7217" w:rsidRDefault="00FA7217" w:rsidP="00FA7217">
      <w:pPr>
        <w:spacing w:line="360" w:lineRule="auto"/>
        <w:ind w:firstLine="567"/>
        <w:jc w:val="center"/>
      </w:pPr>
    </w:p>
    <w:p w14:paraId="0807CBC5" w14:textId="6956C60F" w:rsidR="00316FB2" w:rsidRPr="00056E89" w:rsidRDefault="00F4102F" w:rsidP="00316FB2">
      <w:pPr>
        <w:snapToGrid w:val="0"/>
        <w:spacing w:line="360" w:lineRule="auto"/>
        <w:ind w:firstLine="708"/>
        <w:jc w:val="both"/>
        <w:rPr>
          <w:b/>
        </w:rPr>
      </w:pPr>
      <w:r>
        <w:t xml:space="preserve">Per il </w:t>
      </w:r>
      <w:r>
        <w:rPr>
          <w:b/>
          <w:bCs/>
        </w:rPr>
        <w:t>COMUNE DI CASTELSARACENO (PZ)</w:t>
      </w:r>
      <w:r>
        <w:t xml:space="preserve">, C.F. 83000190765, con sede in Piazza Piano della Corte n. 1 – 85031 Castelsaraceno (PZ), </w:t>
      </w:r>
      <w:r w:rsidR="00B14910">
        <w:t xml:space="preserve">in persona del Sindaco pro tempore, </w:t>
      </w:r>
      <w:r>
        <w:t xml:space="preserve">rappresentato e difeso, in esecuzione della Delibera di G.C. n. </w:t>
      </w:r>
      <w:r w:rsidR="00AD5F6F">
        <w:t xml:space="preserve">47 </w:t>
      </w:r>
      <w:r>
        <w:t xml:space="preserve">del </w:t>
      </w:r>
      <w:r w:rsidR="00AD5F6F">
        <w:t>14/07/2026</w:t>
      </w:r>
      <w:r>
        <w:t>, e</w:t>
      </w:r>
      <w:r w:rsidR="00B14910">
        <w:t>d</w:t>
      </w:r>
      <w:r>
        <w:t xml:space="preserve"> in virtù di mandato in calce al presente atto e su foglio separato, dall’</w:t>
      </w:r>
      <w:r>
        <w:rPr>
          <w:b/>
          <w:bCs/>
        </w:rPr>
        <w:t>Avv. Maria Voccia De Felice</w:t>
      </w:r>
      <w:r>
        <w:t xml:space="preserve">, </w:t>
      </w:r>
      <w:r w:rsidR="00B14910">
        <w:t xml:space="preserve"> </w:t>
      </w:r>
      <w:r>
        <w:t xml:space="preserve">presso il cui studio elettivamente domicilia in Salerno alla Via G. Vicinanza n. 42, </w:t>
      </w:r>
      <w:r>
        <w:rPr>
          <w:u w:val="single"/>
        </w:rPr>
        <w:t xml:space="preserve">il suddetto procuratore dichiara di voler ricevere le notifiche di legge a mezzo pec all’indirizzo: </w:t>
      </w:r>
      <w:r>
        <w:rPr>
          <w:b/>
        </w:rPr>
        <w:t>mvocciaordsa@pec.giuffre.it;</w:t>
      </w:r>
    </w:p>
    <w:p w14:paraId="2E210B9A" w14:textId="77777777" w:rsidR="00075369" w:rsidRDefault="00310958" w:rsidP="00316FB2">
      <w:pPr>
        <w:spacing w:line="360" w:lineRule="auto"/>
        <w:jc w:val="right"/>
      </w:pPr>
      <w:r>
        <w:rPr>
          <w:b/>
          <w:bCs/>
        </w:rPr>
        <w:t>– RESISTENTE –</w:t>
      </w:r>
    </w:p>
    <w:p w14:paraId="44C6CDEA" w14:textId="77777777" w:rsidR="00075369" w:rsidRPr="00BF6D20" w:rsidRDefault="00310958" w:rsidP="00BF6D20">
      <w:pPr>
        <w:spacing w:after="60" w:line="360" w:lineRule="auto"/>
        <w:rPr>
          <w:b/>
          <w:bCs/>
        </w:rPr>
      </w:pPr>
      <w:r>
        <w:rPr>
          <w:b/>
          <w:bCs/>
        </w:rPr>
        <w:t>contro</w:t>
      </w:r>
    </w:p>
    <w:p w14:paraId="19D661FA" w14:textId="77777777" w:rsidR="00075369" w:rsidRDefault="00F4102F" w:rsidP="00864A21">
      <w:pPr>
        <w:spacing w:line="360" w:lineRule="auto"/>
        <w:jc w:val="both"/>
      </w:pPr>
      <w:r>
        <w:rPr>
          <w:b/>
          <w:bCs/>
        </w:rPr>
        <w:tab/>
        <w:t>FASTWEB S.p.A.</w:t>
      </w:r>
      <w:r>
        <w:t xml:space="preserve"> (C.F. e P.IVA 12878470157), </w:t>
      </w:r>
      <w:r w:rsidRPr="005231B1">
        <w:rPr>
          <w:b/>
          <w:bCs/>
        </w:rPr>
        <w:t>Società a socio unico e soggetta all’attività di direzione e coordinamento di Swisscom A.G.</w:t>
      </w:r>
      <w:r w:rsidRPr="005231B1">
        <w:t xml:space="preserve">, </w:t>
      </w:r>
      <w:r>
        <w:t xml:space="preserve">con sede legale in Piazza Adriano Olivetti n. 1, 20139 – Milano (MI), in qualità di </w:t>
      </w:r>
      <w:r w:rsidRPr="005231B1">
        <w:rPr>
          <w:b/>
          <w:bCs/>
        </w:rPr>
        <w:t>incorporante di VODAFONE ITALIA S.p.A.</w:t>
      </w:r>
      <w:r>
        <w:t xml:space="preserve"> (giusta fusione per incorporazione con efficacia dal 1° gennaio 2026), per il tramite della società procuratrice Lindam s.r.l., con sede in Roma, via Trionfale n. 6551, C.F. e P.IVA 12468191007, in persona del legale rappresentante pro tempore Dott. Adriano De Angeli, rappresentata e difesa dall’Avv. Claudio Alosi, C.F. LSACLD72B19G273U, PEC claudioalosi@pecavvpa.it, e dall’Avv. Giuseppina Cassata, C.F. CSSGPP73R53G273U, PEC giuseppinacassata@pecavvpa.it, con domicilio eletto presso il loro studio in Palermo, via Enrico Albanese n. 7.</w:t>
      </w:r>
    </w:p>
    <w:p w14:paraId="507970BD" w14:textId="77777777" w:rsidR="00075369" w:rsidRDefault="00310958" w:rsidP="00BF6D20">
      <w:pPr>
        <w:spacing w:before="60" w:after="80" w:line="360" w:lineRule="auto"/>
        <w:jc w:val="right"/>
      </w:pPr>
      <w:r>
        <w:rPr>
          <w:b/>
          <w:bCs/>
        </w:rPr>
        <w:t>– RICORRENTE –</w:t>
      </w:r>
    </w:p>
    <w:p w14:paraId="5DE6CFFC" w14:textId="77777777" w:rsidR="00075369" w:rsidRDefault="00310958" w:rsidP="00864A21">
      <w:pPr>
        <w:spacing w:before="120" w:after="120" w:line="360" w:lineRule="auto"/>
        <w:jc w:val="center"/>
      </w:pPr>
      <w:r>
        <w:t>* * *</w:t>
      </w:r>
    </w:p>
    <w:p w14:paraId="7AC5E1C4" w14:textId="7765969B" w:rsidR="00075369" w:rsidRDefault="00B14910" w:rsidP="0054082B">
      <w:pPr>
        <w:spacing w:after="80" w:line="360" w:lineRule="auto"/>
      </w:pPr>
      <w:r>
        <w:rPr>
          <w:b/>
          <w:bCs/>
        </w:rPr>
        <w:t>FATTO</w:t>
      </w:r>
    </w:p>
    <w:p w14:paraId="147319A3" w14:textId="77777777" w:rsidR="00075369" w:rsidRDefault="00310958" w:rsidP="00864A21">
      <w:pPr>
        <w:spacing w:line="360" w:lineRule="auto"/>
        <w:ind w:firstLine="567"/>
        <w:jc w:val="both"/>
      </w:pPr>
      <w:r>
        <w:t xml:space="preserve">Il Comune di Castelsaraceno (PZ), con Delibera del Consiglio Comunale n. 14 del 30.04.2021, ha approvato il Regolamento per l’applicazione del </w:t>
      </w:r>
      <w:r>
        <w:rPr>
          <w:b/>
          <w:bCs/>
        </w:rPr>
        <w:t>Canone Patrimoniale di Concessione, Autorizzazione o Esposizione Pubblicitaria</w:t>
      </w:r>
      <w:r>
        <w:t xml:space="preserve"> (di </w:t>
      </w:r>
      <w:r>
        <w:lastRenderedPageBreak/>
        <w:t xml:space="preserve">seguito anche solo CUP), ai sensi dell’art. 1, commi da 816 a 836, della Legge n. 160/2019 </w:t>
      </w:r>
      <w:r>
        <w:rPr>
          <w:b/>
          <w:bCs/>
        </w:rPr>
        <w:t>(cfr. doc. 1)</w:t>
      </w:r>
      <w:r>
        <w:t>.</w:t>
      </w:r>
    </w:p>
    <w:p w14:paraId="1EAB383E" w14:textId="77777777" w:rsidR="00075369" w:rsidRDefault="00310958" w:rsidP="00864A21">
      <w:pPr>
        <w:spacing w:line="360" w:lineRule="auto"/>
        <w:ind w:firstLine="567"/>
        <w:jc w:val="both"/>
      </w:pPr>
      <w:r>
        <w:t xml:space="preserve">Su incarico del Comune di Castelsaraceno – giusto affidamento del servizio di supporto di cui alla Determinazione R.G. n. 413 del 24.11.2025 dell’Area Amministrativa </w:t>
      </w:r>
      <w:r>
        <w:rPr>
          <w:b/>
          <w:bCs/>
        </w:rPr>
        <w:t>(doc. 2)</w:t>
      </w:r>
      <w: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29995494" w14:textId="35048BB2" w:rsidR="00694907" w:rsidRDefault="00310958">
      <w:pPr>
        <w:spacing w:line="360" w:lineRule="auto"/>
        <w:ind w:firstLine="567"/>
        <w:jc w:val="both"/>
      </w:pPr>
      <w:r>
        <w:t>Quindi, con nota dell’</w:t>
      </w:r>
      <w:r>
        <w:rPr>
          <w:b/>
          <w:bCs/>
        </w:rPr>
        <w:t>8 gennaio 2026</w:t>
      </w:r>
      <w:r>
        <w:t xml:space="preserve"> </w:t>
      </w:r>
      <w:r>
        <w:rPr>
          <w:b/>
          <w:bCs/>
        </w:rPr>
        <w:t>(doc. 3)</w:t>
      </w:r>
      <w:r>
        <w:t xml:space="preserve">, la società Archivia Solution S.p.A. ha trasmesso </w:t>
      </w:r>
      <w:r>
        <w:rPr>
          <w:b/>
          <w:bCs/>
        </w:rPr>
        <w:t>a VODAFONE ITALIA S.p.A.</w:t>
      </w:r>
      <w:r>
        <w:t xml:space="preserve"> – a mezzo PEC – una richiesta di dichiarazione delle utenze attive nel Comune di Castelsaraceno e dei versamenti effettuati a titolo di CUP per gli anni dal 2021 al 2024, indicando le tariffe unitarie di riferimento per ciascuna annualità ed evidenziando che, dai primi controlli eseguiti sulla piattaforma PagoPA e sugli altri canali di pagamento attivi, la società non risultava aver versato il Canone per alcuna delle annualità in verifica, </w:t>
      </w:r>
      <w:r>
        <w:t>invitando la stessa a trasmettere la dichiarazione entro quindici giorni, onde scongiurare il ricorso alla procedura di stima presuntiva prevista dalla legge. La predetta richiesta, con le relative ricevute di accettazione e consegna, risulta regolarmente notificata a mezzo PEC.</w:t>
      </w:r>
    </w:p>
    <w:p w14:paraId="7A4E7220" w14:textId="77777777" w:rsidR="00694907" w:rsidRDefault="00310958">
      <w:pPr>
        <w:spacing w:line="360" w:lineRule="auto"/>
        <w:ind w:firstLine="567"/>
        <w:jc w:val="both"/>
      </w:pPr>
      <w:r>
        <w:t xml:space="preserve">Nonostante il regolare ricevimento della predetta richiesta, </w:t>
      </w:r>
      <w:r w:rsidRPr="00EC53DE">
        <w:rPr>
          <w:b/>
          <w:bCs/>
          <w:u w:val="single"/>
        </w:rPr>
        <w:t>la società non forniva alcun riscontro, né provvedeva alla dichiarazione delle utenze attive nel territorio comunale</w:t>
      </w:r>
      <w:r>
        <w:t>, né tantomeno al versamento di quanto dovuto per le annualità in verifica.</w:t>
      </w:r>
    </w:p>
    <w:p w14:paraId="2E7D36F4" w14:textId="61E07A5B" w:rsidR="00694907" w:rsidRDefault="00310958">
      <w:pPr>
        <w:spacing w:line="360" w:lineRule="auto"/>
        <w:ind w:firstLine="567"/>
        <w:jc w:val="both"/>
      </w:pPr>
      <w:r>
        <w:t xml:space="preserve">Con efficacia dal 1° gennaio 2026 è peraltro intervenuta la fusione per incorporazione di VODAFONE ITALIA S.p.A. in FASTWEB S.p.A., </w:t>
      </w:r>
      <w:r w:rsidR="00EC53DE">
        <w:t xml:space="preserve">qiest’ultima è </w:t>
      </w:r>
      <w:r>
        <w:t>subentrata in tutti i rapporti giuridici, attivi e passivi, facenti capo alla società incorporata.</w:t>
      </w:r>
    </w:p>
    <w:p w14:paraId="14B1F5C0" w14:textId="77777777" w:rsidR="00694907" w:rsidRDefault="00310958">
      <w:pPr>
        <w:spacing w:line="360" w:lineRule="auto"/>
        <w:ind w:firstLine="567"/>
        <w:jc w:val="both"/>
      </w:pPr>
      <w:r>
        <w:t>Attesa la mancata collaborazione della società, il Comune di Castelsaraceno emetteva l’</w:t>
      </w:r>
      <w:r>
        <w:rPr>
          <w:b/>
          <w:bCs/>
        </w:rPr>
        <w:t>Avviso di Accertamento Esecutivo n. 4 del 24.03.2026</w:t>
      </w:r>
      <w:r>
        <w:t xml:space="preserve"> </w:t>
      </w:r>
      <w:r>
        <w:rPr>
          <w:b/>
          <w:bCs/>
        </w:rPr>
        <w:t>(doc. 4)</w:t>
      </w:r>
      <w:r>
        <w:t xml:space="preserve">, notificato in data 30.03.2026, avente ad oggetto l’omesso versamento del </w:t>
      </w:r>
      <w:r>
        <w:rPr>
          <w:b/>
          <w:bCs/>
        </w:rPr>
        <w:t>CUP</w:t>
      </w:r>
      <w:r>
        <w:t xml:space="preserve"> – ai sensi dell’art. 1, comma 831, L. 160/2019 – per le annualità 2021, 2022, 2023 e 2024, nei confronti di FASTWEB S.p.A., quale incorporante di VODAFONE ITALIA S.p.A., per un importo complessivo di euro 4.828,00.</w:t>
      </w:r>
    </w:p>
    <w:p w14:paraId="0A2D88B1" w14:textId="75A1802A" w:rsidR="00694907" w:rsidRDefault="00EC53DE">
      <w:pPr>
        <w:spacing w:line="360" w:lineRule="auto"/>
        <w:ind w:firstLine="567"/>
        <w:jc w:val="both"/>
      </w:pPr>
      <w:r>
        <w:t>Il Canone è stato determinato in via induttiva</w:t>
      </w:r>
      <w:r w:rsidRPr="005D7CE1">
        <w:t xml:space="preserve"> </w:t>
      </w:r>
      <w:r>
        <w:t xml:space="preserve">stante l’omessa dichiarazione delle utenze attive, </w:t>
      </w:r>
      <w:r>
        <w:rPr>
          <w:b/>
          <w:bCs/>
          <w:u w:val="single"/>
        </w:rPr>
        <w:t>ma</w:t>
      </w:r>
      <w:r w:rsidRPr="005F0EC3">
        <w:rPr>
          <w:b/>
          <w:bCs/>
          <w:u w:val="single"/>
        </w:rPr>
        <w:t xml:space="preserve"> è risultato dovuto solo nella misura minima di legge (quota fissa) aggiornata secondo l’indice ISTAT</w:t>
      </w:r>
      <w:r>
        <w:t xml:space="preserve">, sulla base della popolazione residente </w:t>
      </w:r>
      <w:r w:rsidR="00310958">
        <w:lastRenderedPageBreak/>
        <w:t xml:space="preserve">nel Comune e dei dati nazionali forniti dall’Osservatorio sulle Comunicazioni pubblicato trimestralmente da AGCOM, </w:t>
      </w:r>
      <w:r>
        <w:t xml:space="preserve">avendo </w:t>
      </w:r>
      <w:r w:rsidR="00310958">
        <w:t>riscontrato la presenza di utenze attive della società nel territorio comunale</w:t>
      </w:r>
      <w:r w:rsidR="00310958">
        <w:t>.</w:t>
      </w:r>
    </w:p>
    <w:p w14:paraId="0FE19BC9" w14:textId="77777777" w:rsidR="00694907" w:rsidRDefault="00310958">
      <w:pPr>
        <w:spacing w:line="360" w:lineRule="auto"/>
        <w:ind w:firstLine="567"/>
        <w:jc w:val="both"/>
      </w:pPr>
      <w:r>
        <w:t>Avverso tale avviso di accertamento FASTWEB S.p.A. ha proposto ricorso dinanzi a codesta On.le Corte, deducendo: 1) l’erronea indicazione del Giudice competente, la natura tributaria del CUP e la giurisdizione del Giudice Tributario; 2) la violazione dell’art. 6-bis della L. n. 212/2000 (Statuto del contribuente), per mancata comunicazione dello schema di atto e mancato contraddittorio preventivo; 3) l’insussistenza del presupposto impositivo in capo a FASTWEB (ed alla incorporata Vodafone), per inesistenza</w:t>
      </w:r>
      <w:r>
        <w:t xml:space="preserve"> di occupazione del suolo pubblico, anche in via mediata, e travisamento dei concetti di “occupazione mediata” e di “utilizzo materiale” delle infrastrutture; 4) la violazione e falsa applicazione dell’art. 1, comma 831, della L. n. 160/2019 e dell’art. 5, comma 14-quinquies, del D.L. n. 146/2021, nonché del Regolamento comunale CUP, con erronea individuazione del soggetto passivo ed esclusione della soggettività passiva di FASTWEB nei casi di separazione tra titolare dell’infrastruttura e società di vendit</w:t>
      </w:r>
      <w:r>
        <w:t>a; 5) l’illegittimità della nozione comunale di “occupazione in via mediata” estesa anche a meri collegamenti tecnologici/logici (accesso virtuale); 6) l’illegittimità del calcolo induttivo basato su dati generali (popolazione residente e AGCOM) e il difetto assoluto di motivazione sul procedimento di calcolo; 7) l’illegittimità delle sanzioni e il difetto di motivazione ex art. 7 della L. n. 212/2000, con violazione dei principi di proporzionalità e buona fede.</w:t>
      </w:r>
    </w:p>
    <w:p w14:paraId="5D222B4F" w14:textId="77777777" w:rsidR="00075369" w:rsidRDefault="00310958" w:rsidP="00864A21">
      <w:pPr>
        <w:spacing w:before="120" w:after="120" w:line="360" w:lineRule="auto"/>
        <w:jc w:val="center"/>
      </w:pPr>
      <w:r>
        <w:t>* * *</w:t>
      </w:r>
    </w:p>
    <w:p w14:paraId="02E465DF" w14:textId="67238425" w:rsidR="00075369" w:rsidRDefault="00310958" w:rsidP="00864A21">
      <w:pPr>
        <w:spacing w:line="360" w:lineRule="auto"/>
        <w:ind w:firstLine="567"/>
        <w:jc w:val="both"/>
      </w:pPr>
      <w:r>
        <w:t>Con il presente atto il Comune di Castelsaraceno</w:t>
      </w:r>
      <w:r w:rsidR="00EC53DE">
        <w:t>, come sopra rappresentato e difeso,</w:t>
      </w:r>
      <w:r>
        <w:t xml:space="preserve"> si costituisce in giudizio, contestando le domande, le eccezioni e le deduzioni avversarie, delle quali chiede il rigetto per i seguenti</w:t>
      </w:r>
    </w:p>
    <w:p w14:paraId="0F24CC45" w14:textId="77777777" w:rsidR="00075369" w:rsidRDefault="00310958" w:rsidP="00864A21">
      <w:pPr>
        <w:spacing w:before="120" w:after="80" w:line="360" w:lineRule="auto"/>
        <w:jc w:val="center"/>
      </w:pPr>
      <w:r>
        <w:rPr>
          <w:b/>
          <w:bCs/>
        </w:rPr>
        <w:t>MOTIVI</w:t>
      </w:r>
    </w:p>
    <w:p w14:paraId="11BD25A6" w14:textId="414DF948" w:rsidR="00694907" w:rsidRDefault="00310958" w:rsidP="00EC53DE">
      <w:pPr>
        <w:spacing w:before="240" w:after="120" w:line="360" w:lineRule="auto"/>
        <w:ind w:firstLine="567"/>
        <w:jc w:val="both"/>
      </w:pPr>
      <w:r>
        <w:rPr>
          <w:b/>
          <w:bCs/>
        </w:rPr>
        <w:t xml:space="preserve">I) Sul primo motivo: </w:t>
      </w:r>
      <w:r w:rsidR="00617661">
        <w:rPr>
          <w:b/>
          <w:bCs/>
        </w:rPr>
        <w:t xml:space="preserve">Pretesa </w:t>
      </w:r>
      <w:r>
        <w:rPr>
          <w:b/>
          <w:bCs/>
        </w:rPr>
        <w:t>Erronea indicazione del Giudice competente, natura tributaria del CUP, Giurisdizione del Giudice Tributario”.</w:t>
      </w:r>
    </w:p>
    <w:p w14:paraId="2262EB2C" w14:textId="59D86CFB" w:rsidR="00EC53DE" w:rsidRDefault="00EC53DE">
      <w:pPr>
        <w:spacing w:line="360" w:lineRule="auto"/>
        <w:ind w:firstLine="567"/>
        <w:jc w:val="both"/>
      </w:pPr>
      <w:r>
        <w:t>Il motivo no</w:t>
      </w:r>
      <w:r w:rsidR="00C72154">
        <w:t>n</w:t>
      </w:r>
      <w:r>
        <w:t xml:space="preserve"> merita seguito.</w:t>
      </w:r>
    </w:p>
    <w:p w14:paraId="32A23CE2" w14:textId="7D771DE1" w:rsidR="00C72154" w:rsidRDefault="00EC53DE">
      <w:pPr>
        <w:spacing w:line="360" w:lineRule="auto"/>
        <w:ind w:firstLine="567"/>
        <w:jc w:val="both"/>
      </w:pPr>
      <w:r>
        <w:t>Ed infatti, l</w:t>
      </w:r>
      <w:r w:rsidR="00310958">
        <w:t>a natura tributaria del Canone Unico Patrimoniale</w:t>
      </w:r>
      <w:r>
        <w:t xml:space="preserve"> è stata</w:t>
      </w:r>
      <w:r w:rsidR="00310958">
        <w:t xml:space="preserve"> definitivamente affermata dalle Sezioni Unite della Corte di Cassazione con la sentenza n. 12225 del 1° maggio 2026, </w:t>
      </w:r>
      <w:r w:rsidR="00C72154">
        <w:t xml:space="preserve">quindi successivamente alla nitifica dell’accertamento per cui è causa </w:t>
      </w:r>
      <w:r w:rsidR="00C72154" w:rsidRPr="00C5788A">
        <w:rPr>
          <w:b/>
          <w:bCs/>
        </w:rPr>
        <w:t xml:space="preserve">emesso il 24.03.2026 e notificato il 30.03.2026, </w:t>
      </w:r>
      <w:r w:rsidR="00C72154" w:rsidRPr="00C5788A">
        <w:rPr>
          <w:b/>
          <w:bCs/>
        </w:rPr>
        <w:lastRenderedPageBreak/>
        <w:t>dunque prima della pubblicazione della citata sentenza delle Sezioni Unite (1° maggio 2026)</w:t>
      </w:r>
      <w:r w:rsidR="00C72154">
        <w:t>.</w:t>
      </w:r>
    </w:p>
    <w:p w14:paraId="205A0CBA" w14:textId="36BF1527" w:rsidR="00694907" w:rsidRPr="00C72154" w:rsidRDefault="00C72154">
      <w:pPr>
        <w:spacing w:line="360" w:lineRule="auto"/>
        <w:ind w:firstLine="567"/>
        <w:jc w:val="both"/>
        <w:rPr>
          <w:b/>
          <w:bCs/>
          <w:u w:val="single"/>
        </w:rPr>
      </w:pPr>
      <w:r w:rsidRPr="00C72154">
        <w:rPr>
          <w:b/>
          <w:bCs/>
          <w:u w:val="single"/>
        </w:rPr>
        <w:t xml:space="preserve">D’altra parte, alcun pregiudizio ha subito la ricorrente, avendo </w:t>
      </w:r>
      <w:r w:rsidR="00310958" w:rsidRPr="00C72154">
        <w:rPr>
          <w:b/>
          <w:bCs/>
          <w:u w:val="single"/>
        </w:rPr>
        <w:t>tempestivamente e ritualmente incardinato il presente giudizio.</w:t>
      </w:r>
    </w:p>
    <w:p w14:paraId="5469CE50" w14:textId="401948E1" w:rsidR="00694907" w:rsidRDefault="00C72154">
      <w:pPr>
        <w:spacing w:line="360" w:lineRule="auto"/>
        <w:ind w:firstLine="567"/>
        <w:jc w:val="both"/>
      </w:pPr>
      <w:r>
        <w:t xml:space="preserve">Si ricorda, infatti, che </w:t>
      </w:r>
      <w:r w:rsidR="00310958">
        <w:t xml:space="preserve">l’indicazione dei mezzi di tutela contenuta nell’atto impositivo assolve una funzione meramente informativa: la sua eventuale inesattezza non attiene ai presupposti di fatto e alle ragioni giuridiche della pretesa, che l’art. 7 della L. n. 212/2000 impone di esplicitare e che, nella specie, risultano compiutamente indicati nell’avviso, </w:t>
      </w:r>
      <w:r>
        <w:t xml:space="preserve">quindi tale pretesa irregolarità </w:t>
      </w:r>
      <w:r w:rsidR="00310958">
        <w:t xml:space="preserve">non </w:t>
      </w:r>
      <w:r>
        <w:t>è</w:t>
      </w:r>
      <w:r w:rsidR="00310958">
        <w:t xml:space="preserve"> idonea, di per sé, a determinare l’invalidità dell’atto.</w:t>
      </w:r>
    </w:p>
    <w:p w14:paraId="6E7CF651" w14:textId="4BF199F7" w:rsidR="00694907" w:rsidRDefault="00310958" w:rsidP="00C72154">
      <w:pPr>
        <w:spacing w:before="240" w:after="120" w:line="360" w:lineRule="auto"/>
        <w:ind w:firstLine="567"/>
        <w:jc w:val="both"/>
      </w:pPr>
      <w:r>
        <w:rPr>
          <w:b/>
          <w:bCs/>
        </w:rPr>
        <w:t xml:space="preserve">II) Sul secondo motivo: </w:t>
      </w:r>
      <w:r w:rsidR="00617661">
        <w:rPr>
          <w:b/>
          <w:bCs/>
        </w:rPr>
        <w:t>Pretsa i</w:t>
      </w:r>
      <w:r>
        <w:rPr>
          <w:b/>
          <w:bCs/>
        </w:rPr>
        <w:t>llegittimità dell’avviso di accertamento impugnato per violazione dell’art. 6-bis dello Statuto dei diritti del contribuente – mancato contraddittorio preventivo”. Infondatezza.</w:t>
      </w:r>
    </w:p>
    <w:p w14:paraId="37904D8D" w14:textId="1426E549" w:rsidR="00075369" w:rsidRDefault="00310958" w:rsidP="00864A21">
      <w:pPr>
        <w:spacing w:line="360" w:lineRule="auto"/>
        <w:ind w:firstLine="567"/>
        <w:jc w:val="both"/>
      </w:pPr>
      <w:r>
        <w:t>Va preliminarmente osservato che</w:t>
      </w:r>
      <w:r w:rsidR="00617661">
        <w:t xml:space="preserve">, come innanzi detto, </w:t>
      </w:r>
      <w:r>
        <w:t xml:space="preserve">la sentenza delle Sezioni Unite della Corte di Cassazione n. 12225 del 1° maggio 2026, che ha definitivamente sancito la </w:t>
      </w:r>
      <w:r>
        <w:rPr>
          <w:b/>
          <w:bCs/>
        </w:rPr>
        <w:t>natura tributaria del CUP</w:t>
      </w:r>
      <w:r>
        <w:t xml:space="preserve"> – con la conseguente applicabilità del contraddittorio preventivo di cui all’art. 6-bis L. n. 212/2000, come novellato dal D.Lgs. n. 219/2023 – </w:t>
      </w:r>
      <w:r w:rsidRPr="00617661">
        <w:rPr>
          <w:b/>
          <w:bCs/>
          <w:u w:val="single"/>
        </w:rPr>
        <w:t xml:space="preserve">è </w:t>
      </w:r>
      <w:r w:rsidRPr="00617661">
        <w:rPr>
          <w:b/>
          <w:bCs/>
          <w:u w:val="single"/>
        </w:rPr>
        <w:t>successiva</w:t>
      </w:r>
      <w:r w:rsidRPr="00617661">
        <w:rPr>
          <w:b/>
          <w:bCs/>
          <w:u w:val="single"/>
        </w:rPr>
        <w:t xml:space="preserve"> sia all’avvio del procedimento precontenzioso (gennaio 2026) sia all’emissione dell’avviso di accertamento n. 4 (24 marzo 2026) e alla sua notifica (30 marzo 2026):</w:t>
      </w:r>
      <w:r>
        <w:t xml:space="preserve"> al momento in cui il Comune ha operato, la natura tributaria del CUP era ancora oggetto di acceso dibattito giurisprudenziale e dottrinale</w:t>
      </w:r>
      <w:r>
        <w:t xml:space="preserve"> e l’obbligo del contraddittorio preventivo non era pacificamente ritenuto applicabile alle entrate di natura patrimoniale.</w:t>
      </w:r>
    </w:p>
    <w:p w14:paraId="058B934C" w14:textId="77777777" w:rsidR="00617661" w:rsidRDefault="00310958">
      <w:pPr>
        <w:spacing w:line="360" w:lineRule="auto"/>
        <w:ind w:firstLine="567"/>
        <w:jc w:val="both"/>
      </w:pPr>
      <w:r>
        <w:t xml:space="preserve">Ciò nondimeno, </w:t>
      </w:r>
      <w:r>
        <w:t xml:space="preserve">a prescindere dalla qualificazione giuridica dell’entrata vigente all’epoca dei fatti, </w:t>
      </w:r>
      <w:r w:rsidRPr="00617661">
        <w:rPr>
          <w:b/>
          <w:bCs/>
          <w:u w:val="single"/>
        </w:rPr>
        <w:t xml:space="preserve">il Comune di Castelsaraceno ha comunque garantito al contribuente una </w:t>
      </w:r>
      <w:r w:rsidRPr="00617661">
        <w:rPr>
          <w:b/>
          <w:bCs/>
          <w:u w:val="single"/>
        </w:rPr>
        <w:t>tutela procedimentale del tutto equivalente</w:t>
      </w:r>
      <w:r w:rsidRPr="00617661">
        <w:rPr>
          <w:b/>
          <w:bCs/>
          <w:u w:val="single"/>
        </w:rPr>
        <w:t xml:space="preserve"> a quella imposta dall’art. 6-bis L. n. 212/2000</w:t>
      </w:r>
      <w:r>
        <w:t>,</w:t>
      </w:r>
      <w:r>
        <w:t xml:space="preserve"> anzi sovrapponibile nella sostanza allo schema d’atto ivi previsto. </w:t>
      </w:r>
    </w:p>
    <w:p w14:paraId="6933BE49" w14:textId="77777777" w:rsidR="00617661" w:rsidRDefault="00617661">
      <w:pPr>
        <w:spacing w:line="360" w:lineRule="auto"/>
        <w:ind w:firstLine="567"/>
        <w:jc w:val="both"/>
      </w:pPr>
      <w:r>
        <w:t>Ed infatti, c</w:t>
      </w:r>
      <w:r w:rsidR="00310958">
        <w:t>on la nota dell’8 gennaio 2026 (doc. 3), Archivia Solution S.p.A. – per conto del Comune, giusto l’affidamento del servizio di supporto sopra richiamato (doc. 2) – ha trasmesso alla società, a mezzo PEC, una comunicazione con la quale segnalava l’esito dei controlli eseguiti sulla piattaforma PagoPA e sugli altri canali di pagamento attivi, dai quali non risultava alcun versamento del Canone per le annualità dal 2021 al 2024; richiedeva la dichiarazione delle utenze attive e dei versamenti eseguiti; indicav</w:t>
      </w:r>
      <w:r w:rsidR="00310958">
        <w:t xml:space="preserve">a le tariffe unitarie di riferimento per ciascuna annualità; assegnava </w:t>
      </w:r>
      <w:r w:rsidR="00310958">
        <w:lastRenderedPageBreak/>
        <w:t xml:space="preserve">un termine di quindici giorni per il riscontro, con espresso avvertimento circa il possibile ricorso, in difetto, alla procedura di stima presuntiva prevista dalla legge. </w:t>
      </w:r>
    </w:p>
    <w:p w14:paraId="35FBFCFB" w14:textId="5B731684" w:rsidR="00694907" w:rsidRPr="00617661" w:rsidRDefault="00310958">
      <w:pPr>
        <w:spacing w:line="360" w:lineRule="auto"/>
        <w:ind w:firstLine="567"/>
        <w:jc w:val="both"/>
        <w:rPr>
          <w:b/>
          <w:bCs/>
          <w:u w:val="single"/>
        </w:rPr>
      </w:pPr>
      <w:r w:rsidRPr="00617661">
        <w:rPr>
          <w:b/>
          <w:bCs/>
          <w:u w:val="single"/>
        </w:rPr>
        <w:t>Tale comunicazione ha posto il contribuente nelle condizioni di conoscere integralmente la pretesa e di interloquire con l’ente prima dell’adozione dell’atto definitivo: esattamente ciò che l’art. 6-bis L. n. 212/2000 mira a garantire.</w:t>
      </w:r>
    </w:p>
    <w:p w14:paraId="4EAAF0D3" w14:textId="77777777" w:rsidR="00617661" w:rsidRDefault="00310958">
      <w:pPr>
        <w:spacing w:line="360" w:lineRule="auto"/>
        <w:ind w:firstLine="567"/>
        <w:jc w:val="both"/>
      </w:pPr>
      <w:r>
        <w:t xml:space="preserve">Risulta così documentalmente smentita anche l’affermazione avversaria secondo cui il richiamo, contenuto nell’avviso, alla PEC trasmessa alla società </w:t>
      </w:r>
      <w:r>
        <w:t xml:space="preserve">sarebbe generico e non documentato: la richiesta dell’8 gennaio 2026, con le relative ricevute di accettazione e consegna, </w:t>
      </w:r>
      <w:r w:rsidR="00617661">
        <w:t>si produce</w:t>
      </w:r>
      <w:r>
        <w:t xml:space="preserve"> in giudizio (doc. 3).</w:t>
      </w:r>
    </w:p>
    <w:p w14:paraId="1F24EC19" w14:textId="4E73326A" w:rsidR="00694907" w:rsidRPr="00F81A80" w:rsidRDefault="00310958">
      <w:pPr>
        <w:spacing w:line="360" w:lineRule="auto"/>
        <w:ind w:firstLine="567"/>
        <w:jc w:val="both"/>
        <w:rPr>
          <w:b/>
          <w:bCs/>
          <w:u w:val="single"/>
        </w:rPr>
      </w:pPr>
      <w:r>
        <w:t xml:space="preserve">A fronte di tale comunicazione, regolarmente ricevuta, la società non </w:t>
      </w:r>
      <w:r w:rsidR="00617661">
        <w:t xml:space="preserve">ha </w:t>
      </w:r>
      <w:r>
        <w:t>forni</w:t>
      </w:r>
      <w:r w:rsidR="00617661">
        <w:t>to</w:t>
      </w:r>
      <w:r>
        <w:t xml:space="preserve"> alcun riscontro, né </w:t>
      </w:r>
      <w:r w:rsidR="00617661">
        <w:t xml:space="preserve">ha </w:t>
      </w:r>
      <w:r>
        <w:t>trasme</w:t>
      </w:r>
      <w:r w:rsidR="00617661">
        <w:t>sso</w:t>
      </w:r>
      <w:r>
        <w:t xml:space="preserve"> la dichiarazione delle utenze attive, né </w:t>
      </w:r>
      <w:r w:rsidR="00F81A80">
        <w:t xml:space="preserve">ha </w:t>
      </w:r>
      <w:r>
        <w:t>esegui</w:t>
      </w:r>
      <w:r w:rsidR="00F81A80">
        <w:t>to</w:t>
      </w:r>
      <w:r>
        <w:t xml:space="preserve"> alcun versamento, riservando ogni contestazione alla sola sede contenziosa: di guisa che </w:t>
      </w:r>
      <w:r w:rsidRPr="00F81A80">
        <w:rPr>
          <w:b/>
          <w:bCs/>
          <w:u w:val="single"/>
        </w:rPr>
        <w:t>non può ora lamentare in giudizio la violazione di una garanzia procedimentale che, nella sostanza, le è stata pienamente assicurata e che essa stessa ha scelto di non esercitare.</w:t>
      </w:r>
    </w:p>
    <w:p w14:paraId="6682366C" w14:textId="77777777" w:rsidR="00E5697E" w:rsidRPr="00F81A80" w:rsidRDefault="00310958" w:rsidP="00864A21">
      <w:pPr>
        <w:spacing w:line="360" w:lineRule="auto"/>
        <w:ind w:firstLine="567"/>
        <w:jc w:val="both"/>
        <w:rPr>
          <w:b/>
          <w:bCs/>
          <w:u w:val="single"/>
        </w:rPr>
      </w:pPr>
      <w:r>
        <w:t xml:space="preserve">In ogni caso, l’art. 6-bis, comma 3, L. n. 212/2000 subordina l’annullabilità dell’atto alla </w:t>
      </w:r>
      <w:r w:rsidRPr="00F81A80">
        <w:rPr>
          <w:b/>
          <w:bCs/>
          <w:u w:val="single"/>
        </w:rPr>
        <w:t xml:space="preserve">dimostrazione, da parte del contribuente, delle ragioni che avrebbe potuto far valere se il contraddittorio fosse stato regolarmente attivato. </w:t>
      </w:r>
    </w:p>
    <w:p w14:paraId="2C6EC80B" w14:textId="60F91CAC" w:rsidR="00E5697E" w:rsidRDefault="00310958" w:rsidP="00864A21">
      <w:pPr>
        <w:spacing w:line="360" w:lineRule="auto"/>
        <w:ind w:firstLine="567"/>
        <w:jc w:val="both"/>
      </w:pPr>
      <w:r>
        <w:t>La Ricorrente non ha allegato quali concrete ragioni, ove il contraddittorio fosse stato formalmente attivato nelle forme di cui all’art. 6-bis, avrebbe potuto rappresentare all’Ufficio, idonee a mutare l’esito del procedimento: le difese articolate in ricorso ripropongono, infatti, contestazioni in punto di diritto sulla soggettività passiva</w:t>
      </w:r>
      <w:r>
        <w:t xml:space="preserve">, comunque, </w:t>
      </w:r>
      <w:r>
        <w:t xml:space="preserve">infondate nel merito, come di seguito dimostrato. </w:t>
      </w:r>
    </w:p>
    <w:p w14:paraId="29E16740" w14:textId="77777777" w:rsidR="00F81A80" w:rsidRDefault="005578D5" w:rsidP="005578D5">
      <w:pPr>
        <w:spacing w:line="360" w:lineRule="auto"/>
        <w:ind w:firstLine="567"/>
        <w:jc w:val="both"/>
      </w:pPr>
      <w:r>
        <w:t xml:space="preserve">Né giova alla ricorrente il richiamo, svolto nell’ambito del medesimo motivo, alle pronunce del Tribunale di Padova n. 1/2024 e della </w:t>
      </w:r>
      <w:r>
        <w:rPr>
          <w:b/>
          <w:bCs/>
        </w:rPr>
        <w:t>Corte d’Appello di Venezia n. 2093/2025</w:t>
      </w:r>
      <w:r>
        <w:t xml:space="preserve">, che avrebbero valorizzato la centralità del contraddittorio nei conteggi induttivi fondati su dati di terzi. </w:t>
      </w:r>
    </w:p>
    <w:p w14:paraId="5B9F9C9F" w14:textId="2CD3FC45" w:rsidR="005578D5" w:rsidRDefault="005578D5" w:rsidP="005578D5">
      <w:pPr>
        <w:spacing w:line="360" w:lineRule="auto"/>
        <w:ind w:firstLine="567"/>
        <w:jc w:val="both"/>
      </w:pPr>
      <w:r>
        <w:t xml:space="preserve">Si tratta, in primo luogo, di decisioni rese in fattispecie di determinazione induttiva del numero delle utenze, non sovrapponibili al caso di specie, nel quale il Comune si è limitato ad </w:t>
      </w:r>
      <w:r w:rsidRPr="00F81A80">
        <w:rPr>
          <w:b/>
          <w:bCs/>
          <w:u w:val="single"/>
        </w:rPr>
        <w:t>applicare la misura minima del Canone stabilita direttamente dalla legge, senza alcuna ricostruzione quantitativa da sottoporre a confronto preventivo;</w:t>
      </w:r>
      <w:r>
        <w:t xml:space="preserve"> in secondo luogo, </w:t>
      </w:r>
      <w:r w:rsidR="00F81A80">
        <w:t xml:space="preserve">dette </w:t>
      </w:r>
      <w:r>
        <w:t xml:space="preserve">pronunce </w:t>
      </w:r>
      <w:r w:rsidR="00F81A80">
        <w:t xml:space="preserve">sono </w:t>
      </w:r>
      <w:r>
        <w:t xml:space="preserve">espressione dell’orientamento minoritario sulla soggettività passiva degli operatori di telecomunicazioni, </w:t>
      </w:r>
      <w:r w:rsidRPr="00F81A80">
        <w:rPr>
          <w:b/>
          <w:bCs/>
          <w:u w:val="single"/>
        </w:rPr>
        <w:t>anteriori alla sentenza della Corte di Cassazione, Sez. III, n. 11479/2026</w:t>
      </w:r>
      <w:r>
        <w:t xml:space="preserve"> e superate dalla giurisprudenza maggioritaria, come si dirà ai motivi IV e V; in terzo luogo – e soprattutto – nel caso concreto il confronto preventivo è stato effettivamente offerto </w:t>
      </w:r>
      <w:r>
        <w:lastRenderedPageBreak/>
        <w:t>alla società con la richiesta dell’8 gennaio 2026 (doc. 3), ed è stata la società stessa a scegliere di non avvalersene, non fornendo alcun riscontro.</w:t>
      </w:r>
    </w:p>
    <w:p w14:paraId="15485735" w14:textId="77777777" w:rsidR="005578D5" w:rsidRDefault="005578D5" w:rsidP="005578D5">
      <w:pPr>
        <w:spacing w:line="360" w:lineRule="auto"/>
        <w:ind w:firstLine="567"/>
        <w:jc w:val="both"/>
      </w:pPr>
      <w:r>
        <w:t>L’eccezione è dunque infondata anche sotto tale ulteriore profilo.</w:t>
      </w:r>
    </w:p>
    <w:p w14:paraId="7941C1AE" w14:textId="6BA30C9F" w:rsidR="00694907" w:rsidRDefault="00310958" w:rsidP="00F81A80">
      <w:pPr>
        <w:spacing w:before="240" w:after="120" w:line="360" w:lineRule="auto"/>
        <w:ind w:firstLine="567"/>
        <w:jc w:val="both"/>
      </w:pPr>
      <w:r>
        <w:rPr>
          <w:b/>
          <w:bCs/>
        </w:rPr>
        <w:t xml:space="preserve">III) Sul terzo motivo: </w:t>
      </w:r>
      <w:r w:rsidR="00F81A80">
        <w:rPr>
          <w:b/>
          <w:bCs/>
        </w:rPr>
        <w:t>Pretesa i</w:t>
      </w:r>
      <w:r>
        <w:rPr>
          <w:b/>
          <w:bCs/>
        </w:rPr>
        <w:t>nsussistenza del presupposto impositivo in capo a FASTWEB (ed a Vodafone incorporata); inesistenza di occupazione del suolo pubblico, anche in via mediata”. Infondatezza.</w:t>
      </w:r>
    </w:p>
    <w:p w14:paraId="6AB03030" w14:textId="77777777" w:rsidR="00075369" w:rsidRPr="005231B1" w:rsidRDefault="00310958" w:rsidP="00864A21">
      <w:pPr>
        <w:spacing w:line="360" w:lineRule="auto"/>
        <w:ind w:firstLine="567"/>
        <w:jc w:val="both"/>
        <w:rPr>
          <w:b/>
          <w:bCs/>
        </w:rPr>
      </w:pPr>
      <w:r>
        <w:t xml:space="preserve">Con riferimento alle doglianze in epigrafe riportate, va in primo luogo riferito che di recente la </w:t>
      </w:r>
      <w:r>
        <w:rPr>
          <w:b/>
          <w:bCs/>
        </w:rPr>
        <w:t>CORTE SUPREMA DI CASSAZIONE, Sezione Terza Civile, sentenza n. 11479 del 28 aprile 2026</w:t>
      </w:r>
      <w:r>
        <w:t xml:space="preserve"> </w:t>
      </w:r>
      <w:r>
        <w:rPr>
          <w:b/>
          <w:bCs/>
        </w:rPr>
        <w:t>(doc. 5)</w:t>
      </w:r>
      <w:r>
        <w:t xml:space="preserve"> ha chiarito – per la prima volta a livello di legittimità – le questioni giuridiche che costituiscono il nucleo del presente contenzioso, enunciando il seguente principio di diritto: </w:t>
      </w:r>
      <w:r w:rsidRPr="005231B1">
        <w:rPr>
          <w:b/>
          <w:bCs/>
          <w:i/>
          <w:iCs/>
        </w:rPr>
        <w:t>“il gestore di servizi telefonici il quale si avvalga dell’accesso ‘virtuale’ ad una rete di proprietà altrui (ad es., mediante tecnologia VULA) è obbligato al pagamento del CUP”</w:t>
      </w:r>
      <w:r w:rsidRPr="005231B1">
        <w:rPr>
          <w:b/>
          <w:bCs/>
        </w:rPr>
        <w:t xml:space="preserve"> (Cass. Civ., Sez. III, n. 11479/2026).</w:t>
      </w:r>
    </w:p>
    <w:p w14:paraId="7FB4DD93" w14:textId="77777777" w:rsidR="005231B1" w:rsidRDefault="00310958" w:rsidP="00864A21">
      <w:pPr>
        <w:spacing w:line="360" w:lineRule="auto"/>
        <w:ind w:firstLine="567"/>
        <w:jc w:val="both"/>
      </w:pPr>
      <w:r>
        <w:t xml:space="preserve">Ed infatti, la Corte ha statuito che la </w:t>
      </w:r>
      <w:r>
        <w:rPr>
          <w:b/>
          <w:bCs/>
        </w:rPr>
        <w:t>distinzione tra uso materiale e uso virtuale</w:t>
      </w:r>
      <w:r>
        <w:t xml:space="preserve"> dell’infrastruttura di rete, su cui si fonda la tesi della Ricorrente, </w:t>
      </w:r>
      <w:r>
        <w:rPr>
          <w:b/>
          <w:bCs/>
        </w:rPr>
        <w:t>è erronea in diritto</w:t>
      </w:r>
      <w:r>
        <w:t xml:space="preserve">: </w:t>
      </w:r>
      <w:r w:rsidRPr="005231B1">
        <w:rPr>
          <w:b/>
          <w:bCs/>
        </w:rPr>
        <w:t>i segnali delle linee telefoniche si propagano per legge fisica sempre attraverso un supporto materiale, sicché l’accesso VULA è virtuale unicamente nella modalità tecnica di accesso, non nell’utilizzo della rete, che rimane in ogni caso materiale e costituisce pertanto occupazione mediata ai sensi dell’art. 1, comma 831, L. 160/2019.</w:t>
      </w:r>
      <w:r>
        <w:t xml:space="preserve"> </w:t>
      </w:r>
    </w:p>
    <w:p w14:paraId="04358492" w14:textId="3AFC64D4" w:rsidR="00075369" w:rsidRPr="005231B1" w:rsidRDefault="00310958" w:rsidP="00864A21">
      <w:pPr>
        <w:spacing w:line="360" w:lineRule="auto"/>
        <w:ind w:firstLine="567"/>
        <w:jc w:val="both"/>
        <w:rPr>
          <w:b/>
          <w:bCs/>
        </w:rPr>
      </w:pPr>
      <w:r>
        <w:t xml:space="preserve">La Suprema Corte ha altresì definitivamente chiarito che </w:t>
      </w:r>
      <w:r w:rsidRPr="005231B1">
        <w:rPr>
          <w:b/>
          <w:bCs/>
        </w:rPr>
        <w:t>l’art. 5, comma 14-quinquies, D.L. 146/2021 non è applicabile al settore delle telecomunicazioni: l’esenzione ivi prevista opera esclusivamente a favore di chi vende beni ai sensi dell’art. 1470 c.c. e non a favore di chi, come l’operatore telefonico, eroga un servizio. Trattandosi di norma eccezionale, essa è di stretta interpretazione e non è suscettibile di applicazione estensiva al settore TLC.</w:t>
      </w:r>
    </w:p>
    <w:p w14:paraId="418384F5" w14:textId="77777777" w:rsidR="00F81A80" w:rsidRDefault="00310958">
      <w:pPr>
        <w:spacing w:line="360" w:lineRule="auto"/>
        <w:ind w:firstLine="567"/>
        <w:jc w:val="both"/>
      </w:pPr>
      <w:r>
        <w:t xml:space="preserve">Alla luce di tale principio, il presupposto impositivo risulta pienamente integrato nel caso di specie sulla base delle </w:t>
      </w:r>
      <w:r>
        <w:rPr>
          <w:b/>
          <w:bCs/>
        </w:rPr>
        <w:t>stesse allegazioni della ricorrente</w:t>
      </w:r>
      <w:r>
        <w:t xml:space="preserve">. </w:t>
      </w:r>
    </w:p>
    <w:p w14:paraId="142B946E" w14:textId="69281391" w:rsidR="00694907" w:rsidRDefault="00310958">
      <w:pPr>
        <w:spacing w:line="360" w:lineRule="auto"/>
        <w:ind w:firstLine="567"/>
        <w:jc w:val="both"/>
      </w:pPr>
      <w:r>
        <w:t xml:space="preserve">FASTWEB S.p.A. ammette espressamente, nel proprio ricorso, di fornire il servizio di rete fissa nel territorio comunale avvalendosi, in forza di accordi wholesale, delle infrastrutture dell’operatore concessionario (TIM/FiberCop o Open Fiber), mediante tecnologie quali VULA e Bitstream NGA. È dunque pacifico – perché affermato dalla stessa ricorrente – che il servizio reso alla clientela del Comune di Castelsaraceno transita attraverso i cavi e le condutture posati nel suolo e nel </w:t>
      </w:r>
      <w:r>
        <w:lastRenderedPageBreak/>
        <w:t xml:space="preserve">sottosuolo pubblico dal concessionario: il che integra esattamente l’occupazione in via mediata prevista dall’art. 1, comma 831, </w:t>
      </w:r>
      <w:r>
        <w:t>della L. n. 160/2019, senza che occorrano la posa di cavi propri, l’installazione di apparati o una modificazione fisica della realtà esterna.</w:t>
      </w:r>
    </w:p>
    <w:p w14:paraId="66EA0D0F" w14:textId="77777777" w:rsidR="00694907" w:rsidRPr="00F81A80" w:rsidRDefault="00310958">
      <w:pPr>
        <w:spacing w:line="360" w:lineRule="auto"/>
        <w:ind w:firstLine="567"/>
        <w:jc w:val="both"/>
        <w:rPr>
          <w:u w:val="single"/>
        </w:rPr>
      </w:pPr>
      <w:r>
        <w:t xml:space="preserve">Né coglie nel segno il richiamo alla giurisprudenza formatasi sul concetto di “occupazione” quale relazione materiale con il suolo: </w:t>
      </w:r>
      <w:r w:rsidRPr="00F81A80">
        <w:rPr>
          <w:u w:val="single"/>
        </w:rPr>
        <w:t>quella nozione, elaborata con riguardo ad altre fattispecie, è superata – per le occupazioni con cavi e condutture destinate alla fornitura di servizi di pubblica utilità – dalla riscrittura del comma 831 ad opera della L. n. 178/2020, che ha espressamente esteso la soggettività passiva ai soggetti che occupano il suolo pubblico “anche in via mediata”, come definitivamente chiarito dalla richiamata pronuncia di legittimità e come meglio si dirà al motivo che segue.</w:t>
      </w:r>
    </w:p>
    <w:p w14:paraId="3C03F521" w14:textId="73993ECD" w:rsidR="00694907" w:rsidRPr="00F81A80" w:rsidRDefault="00310958">
      <w:pPr>
        <w:spacing w:line="360" w:lineRule="auto"/>
        <w:ind w:firstLine="567"/>
        <w:jc w:val="both"/>
        <w:rPr>
          <w:u w:val="single"/>
        </w:rPr>
      </w:pPr>
      <w:r>
        <w:t xml:space="preserve">Quanto, infine, alla pretesa carenza probatoria, l’esistenza nel territorio comunale della rete di accesso del concessionario e l’erogazione, per il suo tramite, dei servizi di telefonia fissa e internet da parte della ricorrente costituiscono circostanze non contestate, anzi espressamente allegate nello stesso ricorso; il numero delle utenze servite è, invece, </w:t>
      </w:r>
      <w:r w:rsidR="00F81A80">
        <w:t xml:space="preserve">un </w:t>
      </w:r>
      <w:r>
        <w:t xml:space="preserve">dato nella esclusiva disponibilità dell’operatore, che </w:t>
      </w:r>
      <w:r w:rsidRPr="00F81A80">
        <w:rPr>
          <w:u w:val="single"/>
        </w:rPr>
        <w:t>era onerato di dichiararlo e che, non avendovi provveduto nonostante la specifica richiesta ricevuta (doc. 3), non può ora giovarsi della propria inerzia per lamentare il ricorso dell’Ente a criteri presuntivi, come meglio si dirà al motivo VI.</w:t>
      </w:r>
    </w:p>
    <w:p w14:paraId="7EDFD66A" w14:textId="77777777" w:rsidR="00694907" w:rsidRDefault="00310958">
      <w:pPr>
        <w:spacing w:line="360" w:lineRule="auto"/>
        <w:ind w:firstLine="567"/>
        <w:jc w:val="both"/>
      </w:pPr>
      <w:r>
        <w:t>Il motivo va pertanto rigettato.</w:t>
      </w:r>
    </w:p>
    <w:p w14:paraId="6C31A222" w14:textId="77777777" w:rsidR="00694907" w:rsidRDefault="00310958" w:rsidP="00F81A80">
      <w:pPr>
        <w:spacing w:before="240" w:after="120" w:line="360" w:lineRule="auto"/>
        <w:ind w:firstLine="567"/>
        <w:jc w:val="both"/>
      </w:pPr>
      <w:r>
        <w:rPr>
          <w:b/>
          <w:bCs/>
        </w:rPr>
        <w:t>IV) Sul quarto motivo: “Violazione e falsa applicazione dell’art. 1, comma 831, della L. n. 160/2019 e dell’art. 5, comma 14-quinquies, del D.L. n. 146/2021, nonché del Regolamento comunale CUP; erronea individuazione del soggetto passivo; difetto di legittimazione passiva di FASTWEB S.p.A.”. Infondatezza.</w:t>
      </w:r>
    </w:p>
    <w:p w14:paraId="4725D555" w14:textId="77777777" w:rsidR="00694907" w:rsidRDefault="00310958">
      <w:pPr>
        <w:spacing w:line="360" w:lineRule="auto"/>
        <w:ind w:firstLine="567"/>
        <w:jc w:val="both"/>
      </w:pPr>
      <w:r>
        <w:t>Il motivo, strettamente connesso al precedente, è del pari infondato.</w:t>
      </w:r>
    </w:p>
    <w:p w14:paraId="781F37BA" w14:textId="0FC47C13" w:rsidR="00F81A80" w:rsidRDefault="00F81A80" w:rsidP="00F81A80">
      <w:pPr>
        <w:spacing w:line="360" w:lineRule="auto"/>
        <w:ind w:firstLine="567"/>
        <w:jc w:val="both"/>
      </w:pPr>
      <w:r>
        <w:rPr>
          <w:b/>
          <w:bCs/>
        </w:rPr>
        <w:t>P</w:t>
      </w:r>
      <w:r>
        <w:rPr>
          <w:b/>
          <w:bCs/>
        </w:rPr>
        <w:t>er scrupolo difensivo si ripercorrono i fatti e la normativa di riferimento.</w:t>
      </w:r>
    </w:p>
    <w:p w14:paraId="756262E0" w14:textId="77777777" w:rsidR="00075369" w:rsidRDefault="00310958" w:rsidP="00864A21">
      <w:pPr>
        <w:spacing w:line="360" w:lineRule="auto"/>
        <w:ind w:firstLine="567"/>
        <w:jc w:val="both"/>
      </w:pPr>
      <w:r>
        <w:t xml:space="preserve">Nella narrativa avversaria, sostanzialmente, Fastweb S.p.A. richiama una normativa oltre che non più attuale, anche recisamente disattesa dallo stesso Legislatore oltre che afferente a diverse fattispecie normativamente regolamentate. </w:t>
      </w:r>
      <w:r>
        <w:tab/>
        <w:t xml:space="preserve">Pertanto, per meglio inquadrare la fattispecie, si impone un breve </w:t>
      </w:r>
      <w:r>
        <w:rPr>
          <w:i/>
          <w:iCs/>
        </w:rPr>
        <w:t>excursus</w:t>
      </w:r>
      <w:r>
        <w:t xml:space="preserve"> normativo in tema di legittimazione passiva, al fine di individuare il/i soggetto/i passivamente tenuti al pagamento del canone patrimoniale unico, anche nell’ipotesi </w:t>
      </w:r>
      <w:r>
        <w:lastRenderedPageBreak/>
        <w:t>di uso in via mediata, in condivisione, delle infrastrutture concessionate ad un unico Operatore.</w:t>
      </w:r>
    </w:p>
    <w:p w14:paraId="5A78232F"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4DEAACFF"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3EFB943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E ciò ha fatto fornendo un'interpretazione che ora possiamo definire definitiva dell'art. 1 comma 831 della predetta Legge.</w:t>
      </w:r>
    </w:p>
    <w:p w14:paraId="547108AC" w14:textId="77777777" w:rsidR="007E79BC" w:rsidRDefault="00310958" w:rsidP="00864A21">
      <w:pPr>
        <w:spacing w:line="360" w:lineRule="auto"/>
        <w:ind w:firstLine="567"/>
        <w:jc w:val="both"/>
      </w:pPr>
      <w:r>
        <w:t>Nella sua versione originaria, l’art. 1, comma 831, della Legge 160/2019 prevedeva che le società fornitrici di servizi pubblici e titolari di concessioni per l’occupazione del sottosuolo pubblico, attraverso cavi e condutture, dovessero versare il relativo canone in base al numero delle utenze ivi transitanti, sommando ad esse quelle delle altre aziende che, di fatto, usufruivano delle medesime infrastrutture.</w:t>
      </w:r>
    </w:p>
    <w:p w14:paraId="0F668568" w14:textId="77777777" w:rsidR="007E79BC" w:rsidRDefault="007E79BC" w:rsidP="00864A21">
      <w:pPr>
        <w:spacing w:line="360" w:lineRule="auto"/>
        <w:ind w:firstLine="567"/>
        <w:jc w:val="both"/>
        <w:rPr>
          <w:rFonts w:eastAsia="Times New Roman"/>
          <w:kern w:val="1"/>
          <w:lang w:eastAsia="ar-SA"/>
        </w:rPr>
      </w:pPr>
      <w:r>
        <w:rPr>
          <w:rFonts w:eastAsia="Times New Roman"/>
          <w:kern w:val="1"/>
          <w:lang w:eastAsia="ar-SA"/>
        </w:rPr>
        <w:t xml:space="preserve">Il titolare della concessione comunale avrebbe, poi, esercitato rivalsa sulle aziende che utilizzavano la stessa rete, per quanto complessivamente ed obbligatoriamente da esso anticipato al locale Comune anche in loro vece e favore.   </w:t>
      </w:r>
    </w:p>
    <w:p w14:paraId="6B188EDE"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Nella vigenza di tale normativa o, meglio, prassi applicativa (</w:t>
      </w:r>
      <w:r>
        <w:rPr>
          <w:rFonts w:eastAsia="Times New Roman"/>
          <w:b/>
          <w:bCs/>
          <w:kern w:val="1"/>
          <w:lang w:eastAsia="ar-SA"/>
        </w:rPr>
        <w:t>poiché tale</w:t>
      </w:r>
      <w:r>
        <w:rPr>
          <w:rFonts w:eastAsia="Times New Roman"/>
          <w:kern w:val="1"/>
          <w:lang w:eastAsia="ar-SA"/>
        </w:rPr>
        <w:t xml:space="preserve"> </w:t>
      </w:r>
      <w:r>
        <w:rPr>
          <w:rFonts w:eastAsia="Times New Roman"/>
          <w:b/>
          <w:bCs/>
          <w:kern w:val="1"/>
          <w:lang w:eastAsia="ar-SA"/>
        </w:rPr>
        <w:t>indirizzo normativo mai è entrato in vigore)</w:t>
      </w:r>
      <w:r>
        <w:rPr>
          <w:rFonts w:eastAsia="Times New Roman"/>
          <w:kern w:val="1"/>
          <w:lang w:eastAsia="ar-SA"/>
        </w:rPr>
        <w:t xml:space="preserve"> il soggetto chiamato a corrispondere il canone sarebbe stato esclusivamente Tim/Telecom s.p.a., quale unico soggetto concessionato all'uso del sottosuolo pubblico salvo, come anticipato, il suo diritto alla rivalsa / regresso nei confronti degli altri utilizzatori tra cui, </w:t>
      </w:r>
      <w:r>
        <w:rPr>
          <w:rFonts w:eastAsia="Times New Roman"/>
        </w:rPr>
        <w:t xml:space="preserve">evidentemente, anche </w:t>
      </w:r>
      <w:r>
        <w:rPr>
          <w:rFonts w:eastAsia="Times New Roman"/>
          <w:b/>
          <w:bCs/>
        </w:rPr>
        <w:t>FASTWEB S.p.A., che pacificamente utilizza, mediante le reti altrui, collegamenti</w:t>
      </w:r>
      <w:r>
        <w:rPr>
          <w:rFonts w:eastAsia="Times New Roman"/>
        </w:rPr>
        <w:t xml:space="preserve"> VULA (Virtual Unbundled Local Access), NGA (Next Generation Access) e SLU (Sub Loop Unbundling); per chiarezza espositiva si evidenzia che con tali acronimi si indicano le modalità che gli operatori di rete hanno a disposizione per accedere alla rete dell’operatore concessionato Tim/Telecom s.p.a./Open Fiber, ex monopolista delle infrastrutture nazionali</w:t>
      </w:r>
      <w:r>
        <w:rPr>
          <w:rFonts w:eastAsia="Times New Roman"/>
          <w:kern w:val="1"/>
          <w:lang w:eastAsia="ar-SA"/>
        </w:rPr>
        <w:t>.</w:t>
      </w:r>
    </w:p>
    <w:p w14:paraId="282DBB4F"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t xml:space="preserve">Tuttavia, </w:t>
      </w:r>
      <w:r>
        <w:rPr>
          <w:rFonts w:eastAsia="Times New Roman"/>
          <w:kern w:val="1"/>
          <w:lang w:eastAsia="ar-SA"/>
        </w:rPr>
        <w:t xml:space="preserve">poi, il Legislatore con il </w:t>
      </w:r>
      <w:r>
        <w:rPr>
          <w:rFonts w:eastAsia="Times New Roman"/>
          <w:b/>
          <w:bCs/>
          <w:kern w:val="1"/>
          <w:u w:val="single"/>
          <w:lang w:eastAsia="ar-SA"/>
        </w:rPr>
        <w:t>comma 848 della Legge 178/2020</w:t>
      </w:r>
      <w:r>
        <w:rPr>
          <w:rFonts w:eastAsia="Times New Roman"/>
          <w:kern w:val="1"/>
          <w:lang w:eastAsia="ar-SA"/>
        </w:rPr>
        <w:t xml:space="preserve"> ha apportato radicali modifiche, stravolgendola, alla disciplina riscrivendo il comma 831 ed introducendo il concetto della c.d. </w:t>
      </w:r>
      <w:r>
        <w:rPr>
          <w:rFonts w:eastAsia="Times New Roman"/>
          <w:b/>
          <w:bCs/>
          <w:kern w:val="1"/>
          <w:u w:val="single"/>
          <w:lang w:eastAsia="ar-SA"/>
        </w:rPr>
        <w:t>soggettività passiva in via mediata</w:t>
      </w:r>
      <w:r>
        <w:rPr>
          <w:rFonts w:eastAsia="Times New Roman"/>
          <w:kern w:val="1"/>
          <w:lang w:eastAsia="ar-SA"/>
        </w:rPr>
        <w:t xml:space="preserve"> quale presupposto per l'applicazione della norma di cui, di seguito, riportiamo la sintesi.</w:t>
      </w:r>
    </w:p>
    <w:p w14:paraId="7D77854F" w14:textId="77777777" w:rsidR="007E79BC" w:rsidRDefault="00310958" w:rsidP="00864A21">
      <w:pPr>
        <w:spacing w:line="360" w:lineRule="auto"/>
        <w:ind w:firstLine="567"/>
        <w:jc w:val="both"/>
      </w:pPr>
      <w:r>
        <w:lastRenderedPageBreak/>
        <w:t>Ad oggi, quindi, il criterio informatore della fattispecie risulta il seguente: “</w:t>
      </w:r>
      <w:r>
        <w:rPr>
          <w:i/>
          <w:iCs/>
        </w:rPr>
        <w:t xml:space="preserve">il canone è dovuto dal soggetto titolare dell’atto di concessione dell’occupazione del suolo pubblico e dai soggetti che occupano il suolo pubblico </w:t>
      </w:r>
      <w:r>
        <w:rPr>
          <w:i/>
          <w:iCs/>
          <w:u w:val="single"/>
        </w:rPr>
        <w:t>anche in via mediata</w:t>
      </w:r>
      <w:r>
        <w:rPr>
          <w:i/>
          <w:iCs/>
        </w:rPr>
        <w:t xml:space="preserve"> attraverso l’utilizzo materiale delle infrastrutture del soggetto titolare della concessione </w:t>
      </w:r>
      <w:r>
        <w:rPr>
          <w:i/>
          <w:iCs/>
          <w:u w:val="single"/>
        </w:rPr>
        <w:t>sulla base del numero delle rispettive utenze</w:t>
      </w:r>
      <w:r>
        <w:rPr>
          <w:i/>
          <w:iCs/>
        </w:rPr>
        <w:t xml:space="preserve"> moltiplicate per la seguente tariffa forfettaria … omissis …</w:t>
      </w:r>
      <w:r>
        <w:t xml:space="preserve">”. </w:t>
      </w:r>
    </w:p>
    <w:p w14:paraId="6D423011" w14:textId="77777777" w:rsidR="007E79BC" w:rsidRPr="00E65BA3" w:rsidRDefault="007E79BC" w:rsidP="007E79BC">
      <w:pPr>
        <w:spacing w:line="360" w:lineRule="auto"/>
        <w:ind w:firstLine="708"/>
        <w:contextualSpacing/>
        <w:jc w:val="both"/>
        <w:rPr>
          <w:rFonts w:eastAsia="Times New Roman"/>
        </w:rPr>
      </w:pPr>
      <w:r>
        <w:rPr>
          <w:rFonts w:eastAsia="Times New Roman"/>
          <w:kern w:val="1"/>
          <w:lang w:eastAsia="ar-SA"/>
        </w:rPr>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Pr>
          <w:rFonts w:eastAsia="Times New Roman"/>
          <w:i/>
          <w:iCs/>
          <w:kern w:val="1"/>
          <w:lang w:eastAsia="ar-SA"/>
        </w:rPr>
        <w:t xml:space="preserve"> </w:t>
      </w:r>
      <w:r>
        <w:rPr>
          <w:rFonts w:eastAsia="Times New Roman"/>
          <w:kern w:val="1"/>
          <w:lang w:eastAsia="ar-SA"/>
        </w:rPr>
        <w:t>stessa Tim/Telecom s.p.a.</w:t>
      </w:r>
      <w:r>
        <w:rPr>
          <w:rFonts w:eastAsia="Times New Roman"/>
          <w:i/>
          <w:iCs/>
          <w:kern w:val="1"/>
          <w:lang w:eastAsia="ar-SA"/>
        </w:rPr>
        <w:t xml:space="preserve"> </w:t>
      </w:r>
      <w:r>
        <w:rPr>
          <w:rFonts w:eastAsia="Times New Roman"/>
          <w:kern w:val="1"/>
          <w:lang w:eastAsia="ar-SA"/>
        </w:rPr>
        <w:t xml:space="preserve">al fine di erogare il servizio al proprio Cliente finale, rappresentato dalle singole abitazioni private e/o aziende del territorio nazionale. </w:t>
      </w:r>
      <w:r>
        <w:rPr>
          <w:rFonts w:eastAsia="Times New Roman"/>
        </w:rPr>
        <w:t xml:space="preserve">È questo, in piena evidenza, il caso di </w:t>
      </w:r>
      <w:r>
        <w:rPr>
          <w:rFonts w:eastAsia="Times New Roman"/>
          <w:b/>
          <w:bCs/>
        </w:rPr>
        <w:t>FASTWEB S.p.A.</w:t>
      </w:r>
      <w:r>
        <w:rPr>
          <w:rFonts w:eastAsia="Times New Roman"/>
        </w:rPr>
        <w:t>, per gli anni 2021-2024.</w:t>
      </w:r>
    </w:p>
    <w:p w14:paraId="1F3AEC7F"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Si noti che: il principio cristallizzato nella nuova formulazione ed interpretazione dell'art. 1 comma 831 è stato mutuato da una risalente Circolare interpretativa del Mef pubblicata nell'anno 2009 (che si produce – </w:t>
      </w:r>
      <w:r>
        <w:rPr>
          <w:rFonts w:eastAsia="Times New Roman"/>
          <w:b/>
          <w:bCs/>
          <w:kern w:val="1"/>
          <w:lang w:eastAsia="ar-SA"/>
        </w:rPr>
        <w:t>doc. 6</w:t>
      </w:r>
      <w:r>
        <w:rPr>
          <w:rFonts w:eastAsia="Times New Roman"/>
          <w:kern w:val="1"/>
          <w:lang w:eastAsia="ar-SA"/>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328F826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468A811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 </w:t>
      </w:r>
    </w:p>
    <w:p w14:paraId="4A86F066" w14:textId="77777777" w:rsidR="0049336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 con speculare decremento delle entrate comunali, posto che il concessionario versa ora solo la quota di propria spettanza e non più l’intero del dovuto. </w:t>
      </w:r>
    </w:p>
    <w:p w14:paraId="35C156DE" w14:textId="77777777" w:rsidR="007E79BC" w:rsidRPr="00D20535" w:rsidRDefault="007349B6"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lastRenderedPageBreak/>
        <w:t>Da qui l’incontestabile individuazione, da parte del Comune di Castelsaraceno, in FASTWEB S.p.A. di uno dei soggetti passivamente tenuti al versamento del canone, per la parte legata ad occupazioni in via mediata tramite le infrastrutture di altri soggetti.</w:t>
      </w:r>
    </w:p>
    <w:p w14:paraId="552E460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Pr>
          <w:rFonts w:eastAsia="Times New Roman"/>
          <w:kern w:val="1"/>
          <w:lang w:eastAsia="ar-SA"/>
        </w:rPr>
        <w:t xml:space="preserve">Invero, la norma richiamata da </w:t>
      </w:r>
      <w:r>
        <w:rPr>
          <w:rFonts w:eastAsia="Times New Roman"/>
          <w:bCs/>
          <w:kern w:val="1"/>
          <w:lang w:eastAsia="ar-SA"/>
        </w:rPr>
        <w:t>FASTWEB S.p.A</w:t>
      </w:r>
      <w:r>
        <w:rPr>
          <w:rFonts w:eastAsia="Times New Roman"/>
          <w:kern w:val="1"/>
          <w:lang w:eastAsia="ar-SA"/>
        </w:rPr>
        <w:t xml:space="preserve">., secondo la quale la casistica della condivisione delle reti, come sopra esposta, ricadrebbe nell'ambito applicativo dell'interpretazione autentica del comma 831, successivamente introdotta dal Legislatore, riguarda altra e diversa fattispecie, </w:t>
      </w:r>
      <w:r>
        <w:rPr>
          <w:rFonts w:eastAsia="Times New Roman"/>
          <w:kern w:val="1"/>
          <w:u w:val="single"/>
          <w:lang w:eastAsia="ar-SA"/>
        </w:rPr>
        <w:t>ben distinta di quella oggi portata all'attenzione del Giudice.</w:t>
      </w:r>
    </w:p>
    <w:p w14:paraId="6B409FE1"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Essa, infatti, è applicabile esclusivamente al caso in cui vi sia una </w:t>
      </w:r>
      <w:r>
        <w:rPr>
          <w:rFonts w:eastAsia="Times New Roman"/>
          <w:kern w:val="1"/>
          <w:u w:val="single"/>
          <w:lang w:eastAsia="ar-SA"/>
        </w:rPr>
        <w:t>netta separazione tra il soggetto proprietario delle infrastrutture ed il soggetto titolare del contratto di somministrazione del bene distribuito</w:t>
      </w:r>
      <w:r>
        <w:rPr>
          <w:rFonts w:eastAsia="Times New Roman"/>
          <w:kern w:val="1"/>
          <w:lang w:eastAsia="ar-SA"/>
        </w:rPr>
        <w:t xml:space="preserve"> attraverso le medesime infrastrutture.</w:t>
      </w:r>
    </w:p>
    <w:p w14:paraId="29425CD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Per meglio rappresentare come la disciplina novellata, dietro la quale </w:t>
      </w:r>
      <w:r>
        <w:rPr>
          <w:rFonts w:eastAsia="Times New Roman"/>
          <w:bCs/>
          <w:kern w:val="1"/>
          <w:lang w:eastAsia="ar-SA"/>
        </w:rPr>
        <w:t xml:space="preserve">FASTWEB S.p.A. </w:t>
      </w:r>
      <w:r>
        <w:rPr>
          <w:rFonts w:eastAsia="Times New Roman"/>
          <w:kern w:val="1"/>
          <w:lang w:eastAsia="ar-SA"/>
        </w:rPr>
        <w:t xml:space="preserve">vorrebbe trincerarsi, sia applicabile a diversa casistica richiamiamo la normativa di cui all'art. 21 del D.lgs 23 Maggio 2000 n. 164 concernente le disposizioni di attuazione della direttiva  n. 98/30/CE inerente la </w:t>
      </w:r>
      <w:r>
        <w:rPr>
          <w:rFonts w:eastAsia="Times New Roman"/>
          <w:kern w:val="1"/>
          <w:u w:val="single"/>
          <w:lang w:eastAsia="ar-SA"/>
        </w:rPr>
        <w:t>distribuzione del gas</w:t>
      </w:r>
      <w:r>
        <w:rPr>
          <w:rFonts w:eastAsia="Times New Roman"/>
          <w:kern w:val="1"/>
          <w:lang w:eastAsia="ar-SA"/>
        </w:rPr>
        <w:t xml:space="preserve"> naturale e la normativa di cui all'art. 1 del D.lgs 18 Giugno 2007 n. 73 convertita in legge n. 125 del 3 Agosto 2007, con la quale sono state disposte “misure urgenti per l'attuazione di disposizioni comunitarie </w:t>
      </w:r>
      <w:r>
        <w:rPr>
          <w:rFonts w:eastAsia="Times New Roman"/>
          <w:kern w:val="1"/>
          <w:u w:val="single"/>
          <w:lang w:eastAsia="ar-SA"/>
        </w:rPr>
        <w:t>in materia di</w:t>
      </w:r>
      <w:r>
        <w:rPr>
          <w:rFonts w:eastAsia="Times New Roman"/>
          <w:kern w:val="1"/>
          <w:lang w:eastAsia="ar-SA"/>
        </w:rPr>
        <w:t xml:space="preserve"> </w:t>
      </w:r>
      <w:r>
        <w:rPr>
          <w:rFonts w:eastAsia="Times New Roman"/>
          <w:kern w:val="1"/>
          <w:u w:val="single"/>
          <w:lang w:eastAsia="ar-SA"/>
        </w:rPr>
        <w:t>liberalizzazione dei mercati dell'energia</w:t>
      </w:r>
      <w:r>
        <w:rPr>
          <w:rFonts w:eastAsia="Times New Roman"/>
          <w:kern w:val="1"/>
          <w:lang w:eastAsia="ar-SA"/>
        </w:rPr>
        <w:t xml:space="preserve">”.     </w:t>
      </w:r>
    </w:p>
    <w:p w14:paraId="71EFB54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In tali tipi di distribuzione si assiste ad un </w:t>
      </w:r>
      <w:r>
        <w:rPr>
          <w:rFonts w:eastAsia="Times New Roman"/>
          <w:kern w:val="1"/>
          <w:u w:val="single"/>
          <w:lang w:eastAsia="ar-SA"/>
        </w:rPr>
        <w:t>netta separazione tra l'attività di</w:t>
      </w:r>
      <w:r>
        <w:rPr>
          <w:rFonts w:eastAsia="Times New Roman"/>
          <w:kern w:val="1"/>
          <w:lang w:eastAsia="ar-SA"/>
        </w:rPr>
        <w:t xml:space="preserve">  </w:t>
      </w:r>
      <w:r>
        <w:rPr>
          <w:rFonts w:eastAsia="Times New Roman"/>
          <w:kern w:val="1"/>
          <w:u w:val="single"/>
          <w:lang w:eastAsia="ar-SA"/>
        </w:rPr>
        <w:t>distribuzione e quella di vendita</w:t>
      </w:r>
      <w:r>
        <w:rPr>
          <w:rFonts w:eastAsia="Times New Roman"/>
          <w:kern w:val="1"/>
          <w:lang w:eastAsia="ar-SA"/>
        </w:rPr>
        <w:t xml:space="preserve"> che si concreta nel fatto che il </w:t>
      </w:r>
      <w:r>
        <w:rPr>
          <w:rFonts w:eastAsia="Times New Roman"/>
          <w:kern w:val="1"/>
          <w:u w:val="single"/>
          <w:lang w:eastAsia="ar-SA"/>
        </w:rPr>
        <w:t>gas</w:t>
      </w:r>
      <w:r>
        <w:rPr>
          <w:rFonts w:eastAsia="Times New Roman"/>
          <w:kern w:val="1"/>
          <w:lang w:eastAsia="ar-SA"/>
        </w:rPr>
        <w:t xml:space="preserve"> o l'</w:t>
      </w:r>
      <w:r>
        <w:rPr>
          <w:rFonts w:eastAsia="Times New Roman"/>
          <w:kern w:val="1"/>
          <w:u w:val="single"/>
          <w:lang w:eastAsia="ar-SA"/>
        </w:rPr>
        <w:t>energia elettrica vengono distribuiti in rete da una determinata società</w:t>
      </w:r>
      <w:r>
        <w:rPr>
          <w:rFonts w:eastAsia="Times New Roman"/>
          <w:kern w:val="1"/>
          <w:lang w:eastAsia="ar-SA"/>
        </w:rPr>
        <w:t xml:space="preserve"> (per esempio Enel Distribuzione s.p.a.) ed </w:t>
      </w:r>
      <w:r>
        <w:rPr>
          <w:rFonts w:eastAsia="Times New Roman"/>
          <w:kern w:val="1"/>
          <w:u w:val="single"/>
          <w:lang w:eastAsia="ar-SA"/>
        </w:rPr>
        <w:t>una volta che sono “transitate” nell'infrastruttura concessionata di proprietà esclusiva di un soggetto, vengono commercializzate da altre società</w:t>
      </w:r>
      <w:r>
        <w:rPr>
          <w:rFonts w:eastAsia="Times New Roman"/>
          <w:kern w:val="1"/>
          <w:lang w:eastAsia="ar-SA"/>
        </w:rPr>
        <w:t xml:space="preserve"> (come nel caso in esame da Enel Energia s.p.a. e/o altre società deputate alla sola vendita) per poi raggiungere l'utente finale.</w:t>
      </w:r>
    </w:p>
    <w:p w14:paraId="140A98EC"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Pr>
          <w:rFonts w:eastAsia="Times New Roman"/>
          <w:kern w:val="1"/>
          <w:lang w:eastAsia="ar-SA"/>
        </w:rPr>
        <w:t xml:space="preserve">Ma ciò non accade nel caso e </w:t>
      </w:r>
      <w:r>
        <w:rPr>
          <w:rFonts w:eastAsia="Times New Roman"/>
          <w:kern w:val="1"/>
          <w:u w:val="single"/>
          <w:lang w:eastAsia="ar-SA"/>
        </w:rPr>
        <w:t>nel settore delle telecomunicazioni</w:t>
      </w:r>
      <w:r>
        <w:rPr>
          <w:rFonts w:eastAsia="Times New Roman"/>
          <w:kern w:val="1"/>
          <w:lang w:eastAsia="ar-SA"/>
        </w:rPr>
        <w:t xml:space="preserve"> laddove </w:t>
      </w:r>
      <w:r>
        <w:rPr>
          <w:rFonts w:eastAsia="Times New Roman"/>
          <w:kern w:val="1"/>
          <w:u w:val="single"/>
          <w:lang w:eastAsia="ar-SA"/>
        </w:rPr>
        <w:t>il</w:t>
      </w:r>
      <w:r>
        <w:rPr>
          <w:rFonts w:eastAsia="Times New Roman"/>
          <w:kern w:val="1"/>
          <w:lang w:eastAsia="ar-SA"/>
        </w:rPr>
        <w:t xml:space="preserve"> </w:t>
      </w:r>
      <w:r>
        <w:rPr>
          <w:rFonts w:eastAsia="Times New Roman"/>
          <w:kern w:val="1"/>
          <w:u w:val="single"/>
          <w:lang w:eastAsia="ar-SA"/>
        </w:rPr>
        <w:t xml:space="preserve">Legislatore </w:t>
      </w:r>
      <w:r>
        <w:rPr>
          <w:rFonts w:eastAsia="Times New Roman"/>
          <w:b/>
          <w:bCs/>
          <w:kern w:val="1"/>
          <w:u w:val="single"/>
          <w:lang w:eastAsia="ar-SA"/>
        </w:rPr>
        <w:t>non impone una separazione</w:t>
      </w:r>
      <w:r>
        <w:rPr>
          <w:rFonts w:eastAsia="Times New Roman"/>
          <w:kern w:val="1"/>
          <w:lang w:eastAsia="ar-SA"/>
        </w:rPr>
        <w:t xml:space="preserve"> tra soggetto fornitore e soggetto che poi effettivamente vende il prodotto (come nel richiamato caso di gas od energia elettrica), </w:t>
      </w:r>
      <w:r>
        <w:rPr>
          <w:rFonts w:eastAsia="Times New Roman"/>
          <w:kern w:val="1"/>
          <w:u w:val="single"/>
          <w:lang w:eastAsia="ar-SA"/>
        </w:rPr>
        <w:t>ma anzi impone e normativamente incentiva la condivisione delle</w:t>
      </w:r>
      <w:r>
        <w:rPr>
          <w:rFonts w:eastAsia="Times New Roman"/>
          <w:kern w:val="1"/>
          <w:lang w:eastAsia="ar-SA"/>
        </w:rPr>
        <w:t xml:space="preserve"> </w:t>
      </w:r>
      <w:r>
        <w:rPr>
          <w:rFonts w:eastAsia="Times New Roman"/>
          <w:kern w:val="1"/>
          <w:u w:val="single"/>
          <w:lang w:eastAsia="ar-SA"/>
        </w:rPr>
        <w:t>reti/infrastrutture</w:t>
      </w:r>
      <w:r>
        <w:rPr>
          <w:rFonts w:eastAsia="Times New Roman"/>
          <w:kern w:val="1"/>
          <w:lang w:eastAsia="ar-SA"/>
        </w:rPr>
        <w:t xml:space="preserve"> e ciò anche in attuazione di precise direttive comunitarie.</w:t>
      </w:r>
    </w:p>
    <w:p w14:paraId="759962AF"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u w:val="single"/>
          <w:lang w:eastAsia="ar-SA"/>
        </w:rPr>
        <w:t>Questa è la ragione</w:t>
      </w:r>
      <w:r>
        <w:rPr>
          <w:rFonts w:eastAsia="Times New Roman"/>
          <w:kern w:val="1"/>
          <w:lang w:eastAsia="ar-SA"/>
        </w:rPr>
        <w:t xml:space="preserve"> per la quale il Legislatore ha appositamente previsto, per questa sola ipotesi di condivisione delle infrastrutture, il concetto applicativo di </w:t>
      </w:r>
      <w:r>
        <w:rPr>
          <w:rFonts w:eastAsia="Times New Roman"/>
          <w:kern w:val="1"/>
          <w:u w:val="single"/>
          <w:lang w:eastAsia="ar-SA"/>
        </w:rPr>
        <w:t>soggettività passiva mediata</w:t>
      </w:r>
      <w:r>
        <w:rPr>
          <w:rFonts w:eastAsia="Times New Roman"/>
          <w:kern w:val="1"/>
          <w:lang w:eastAsia="ar-SA"/>
        </w:rPr>
        <w:t>.</w:t>
      </w:r>
    </w:p>
    <w:p w14:paraId="186BC25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lastRenderedPageBreak/>
        <w:t xml:space="preserve">Con la conseguenza che la normativa di cui all'art. </w:t>
      </w:r>
      <w:r>
        <w:rPr>
          <w:rFonts w:eastAsia="Times New Roman"/>
          <w:kern w:val="1"/>
          <w:u w:val="single"/>
          <w:lang w:eastAsia="ar-SA"/>
        </w:rPr>
        <w:t xml:space="preserve">5 comma 14 </w:t>
      </w:r>
      <w:r>
        <w:rPr>
          <w:rFonts w:eastAsia="Times New Roman"/>
          <w:i/>
          <w:iCs/>
          <w:kern w:val="1"/>
          <w:u w:val="single"/>
          <w:lang w:eastAsia="ar-SA"/>
        </w:rPr>
        <w:t>quinquies</w:t>
      </w:r>
      <w:r>
        <w:rPr>
          <w:rFonts w:eastAsia="Times New Roman"/>
          <w:kern w:val="1"/>
          <w:lang w:eastAsia="ar-SA"/>
        </w:rPr>
        <w:t xml:space="preserve"> </w:t>
      </w:r>
      <w:r>
        <w:rPr>
          <w:rFonts w:eastAsia="Times New Roman"/>
          <w:kern w:val="1"/>
          <w:u w:val="single"/>
          <w:lang w:eastAsia="ar-SA"/>
        </w:rPr>
        <w:t>del D.L. 146/2021,</w:t>
      </w:r>
      <w:r>
        <w:rPr>
          <w:rFonts w:eastAsia="Times New Roman"/>
          <w:kern w:val="1"/>
          <w:lang w:eastAsia="ar-SA"/>
        </w:rPr>
        <w:t xml:space="preserve"> richiamata da </w:t>
      </w:r>
      <w:r>
        <w:rPr>
          <w:rFonts w:eastAsia="Times New Roman"/>
          <w:bCs/>
          <w:kern w:val="1"/>
          <w:lang w:eastAsia="ar-SA"/>
        </w:rPr>
        <w:t>FASTWEB S.p.A.</w:t>
      </w:r>
      <w:r>
        <w:rPr>
          <w:rFonts w:eastAsia="Times New Roman"/>
          <w:kern w:val="1"/>
          <w:lang w:eastAsia="ar-SA"/>
        </w:rPr>
        <w:t xml:space="preserve">, </w:t>
      </w:r>
      <w:r>
        <w:rPr>
          <w:rFonts w:eastAsia="Times New Roman"/>
          <w:kern w:val="1"/>
          <w:u w:val="single"/>
          <w:lang w:eastAsia="ar-SA"/>
        </w:rPr>
        <w:t>è applicabile e/o riferibile esclusivamente ai casi in cui si deve attuare, per legge, una fisica separazione tra il soggetto titolare dell'infrastruttura ed il soggetto titolare del contratto di vendita del bene che, poi, distribuirà al cliente finale</w:t>
      </w:r>
      <w:r>
        <w:rPr>
          <w:rFonts w:eastAsia="Times New Roman"/>
          <w:kern w:val="1"/>
          <w:lang w:eastAsia="ar-SA"/>
        </w:rPr>
        <w:t>.</w:t>
      </w:r>
    </w:p>
    <w:p w14:paraId="790A8918"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Inoltre, con la novella dell'anno 2021 il Legislatore nuovamente intervenendo nella disciplina di cui al comma 831 ha stabilito che: “</w:t>
      </w:r>
      <w:r>
        <w:rPr>
          <w:rFonts w:eastAsia="Times New Roman"/>
          <w:i/>
          <w:iCs/>
          <w:kern w:val="1"/>
          <w:lang w:eastAsia="ar-SA"/>
        </w:rPr>
        <w:t xml:space="preserve">il comma 831 dell'articolo 1 della Legge 27 dicembre 2019 n. 160 si interpreta nel senso che: a) per le occupazioni permanenti di suolo pubblico effettuate nei settori </w:t>
      </w:r>
      <w:r>
        <w:rPr>
          <w:rFonts w:eastAsia="Times New Roman"/>
          <w:b/>
          <w:bCs/>
          <w:i/>
          <w:iCs/>
          <w:kern w:val="1"/>
          <w:u w:val="single"/>
          <w:lang w:eastAsia="ar-SA"/>
        </w:rPr>
        <w:t>in cui è prevista una separazione</w:t>
      </w:r>
      <w:r>
        <w:rPr>
          <w:rFonts w:eastAsia="Times New Roman"/>
          <w:i/>
          <w:iCs/>
          <w:kern w:val="1"/>
          <w:lang w:eastAsia="ar-SA"/>
        </w:rPr>
        <w:t xml:space="preserve">, in ragione di assetti normativi regolamentari o contrattuali </w:t>
      </w:r>
      <w:r>
        <w:rPr>
          <w:rFonts w:eastAsia="Times New Roman"/>
          <w:b/>
          <w:bCs/>
          <w:i/>
          <w:iCs/>
          <w:kern w:val="1"/>
          <w:u w:val="single"/>
          <w:lang w:eastAsia="ar-SA"/>
        </w:rPr>
        <w:t>tra i soggetti titolari delle infrastrutture ed i soggetti titolari del contratto di vendita del bene distribuito alla clien</w:t>
      </w:r>
      <w:r>
        <w:rPr>
          <w:rFonts w:eastAsia="Times New Roman"/>
          <w:i/>
          <w:iCs/>
          <w:kern w:val="1"/>
          <w:u w:val="single"/>
          <w:lang w:eastAsia="ar-SA"/>
        </w:rPr>
        <w:t>tela</w:t>
      </w:r>
      <w:r>
        <w:rPr>
          <w:rFonts w:eastAsia="Times New Roman"/>
          <w:i/>
          <w:iCs/>
          <w:kern w:val="1"/>
          <w:lang w:eastAsia="ar-SA"/>
        </w:rPr>
        <w:t xml:space="preserve"> finale, </w:t>
      </w:r>
      <w:r>
        <w:rPr>
          <w:rFonts w:eastAsia="Times New Roman"/>
          <w:b/>
          <w:bCs/>
          <w:i/>
          <w:iCs/>
          <w:kern w:val="1"/>
          <w:u w:val="single"/>
          <w:lang w:eastAsia="ar-SA"/>
        </w:rPr>
        <w:t>non configurandosi alcuna occupazione in via mediata</w:t>
      </w:r>
      <w:r>
        <w:rPr>
          <w:rFonts w:eastAsia="Times New Roman"/>
          <w:i/>
          <w:iCs/>
          <w:kern w:val="1"/>
          <w:lang w:eastAsia="ar-SA"/>
        </w:rPr>
        <w:t xml:space="preserve"> ed alcun utilizzo materiale delle infrastrutture da parte della società di vendita, </w:t>
      </w:r>
      <w:r>
        <w:rPr>
          <w:rFonts w:eastAsia="Times New Roman"/>
          <w:b/>
          <w:bCs/>
          <w:i/>
          <w:iCs/>
          <w:kern w:val="1"/>
          <w:u w:val="single"/>
          <w:lang w:eastAsia="ar-SA"/>
        </w:rPr>
        <w:t>il canone è dovuto esclusivamente dal soggetto titolare</w:t>
      </w:r>
      <w:r>
        <w:rPr>
          <w:rFonts w:eastAsia="Times New Roman"/>
          <w:b/>
          <w:bCs/>
          <w:i/>
          <w:iCs/>
          <w:kern w:val="1"/>
          <w:lang w:eastAsia="ar-SA"/>
        </w:rPr>
        <w:t xml:space="preserve"> </w:t>
      </w:r>
      <w:r>
        <w:rPr>
          <w:rFonts w:eastAsia="Times New Roman"/>
          <w:b/>
          <w:bCs/>
          <w:i/>
          <w:iCs/>
          <w:kern w:val="1"/>
          <w:u w:val="single"/>
          <w:lang w:eastAsia="ar-SA"/>
        </w:rPr>
        <w:t>dell'atto concessione</w:t>
      </w:r>
      <w:r>
        <w:rPr>
          <w:rFonts w:eastAsia="Times New Roman"/>
          <w:i/>
          <w:iCs/>
          <w:kern w:val="1"/>
          <w:lang w:eastAsia="ar-SA"/>
        </w:rPr>
        <w:t xml:space="preserve"> delle infrastrutture, in base alle utenze delle predette società di vendita”.</w:t>
      </w:r>
    </w:p>
    <w:p w14:paraId="243A5E9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b/>
          <w:bCs/>
          <w:kern w:val="1"/>
          <w:lang w:eastAsia="ar-SA"/>
        </w:rPr>
        <w:t>MA</w:t>
      </w:r>
      <w:r>
        <w:rPr>
          <w:rFonts w:eastAsia="Times New Roman"/>
          <w:kern w:val="1"/>
          <w:lang w:eastAsia="ar-SA"/>
        </w:rPr>
        <w:t xml:space="preserve"> questa è norma, come anticipato, </w:t>
      </w:r>
      <w:r>
        <w:rPr>
          <w:rFonts w:eastAsia="Times New Roman"/>
          <w:kern w:val="1"/>
          <w:u w:val="single"/>
          <w:lang w:eastAsia="ar-SA"/>
        </w:rPr>
        <w:t>valevole solo per i mercati di</w:t>
      </w:r>
      <w:r>
        <w:rPr>
          <w:rFonts w:eastAsia="Times New Roman"/>
          <w:kern w:val="1"/>
          <w:lang w:eastAsia="ar-SA"/>
        </w:rPr>
        <w:t xml:space="preserve"> vendita/commercializzazione del </w:t>
      </w:r>
      <w:r>
        <w:rPr>
          <w:rFonts w:eastAsia="Times New Roman"/>
          <w:kern w:val="1"/>
          <w:u w:val="single"/>
          <w:lang w:eastAsia="ar-SA"/>
        </w:rPr>
        <w:t xml:space="preserve">gas e dell'energia elettrica e </w:t>
      </w:r>
      <w:r>
        <w:rPr>
          <w:rFonts w:eastAsia="Times New Roman"/>
          <w:b/>
          <w:bCs/>
          <w:kern w:val="1"/>
          <w:u w:val="single"/>
          <w:lang w:eastAsia="ar-SA"/>
        </w:rPr>
        <w:t>non già per il settore della telefonia</w:t>
      </w:r>
      <w:r>
        <w:rPr>
          <w:rFonts w:eastAsia="Times New Roman"/>
          <w:kern w:val="1"/>
          <w:lang w:eastAsia="ar-SA"/>
        </w:rPr>
        <w:t xml:space="preserve"> e trasmissione dati </w:t>
      </w:r>
      <w:r>
        <w:rPr>
          <w:rFonts w:eastAsia="Times New Roman"/>
          <w:kern w:val="1"/>
          <w:u w:val="single"/>
          <w:lang w:eastAsia="ar-SA"/>
        </w:rPr>
        <w:t>nel quale</w:t>
      </w:r>
      <w:r>
        <w:rPr>
          <w:rFonts w:eastAsia="Times New Roman"/>
          <w:kern w:val="1"/>
          <w:lang w:eastAsia="ar-SA"/>
        </w:rPr>
        <w:t xml:space="preserve">, non solo per espressa volontà normativa nazionale ma anche per volontà comunitaria, </w:t>
      </w:r>
      <w:r>
        <w:rPr>
          <w:rFonts w:eastAsia="Times New Roman"/>
          <w:kern w:val="1"/>
          <w:u w:val="single"/>
          <w:lang w:eastAsia="ar-SA"/>
        </w:rPr>
        <w:t>deve esistere</w:t>
      </w:r>
      <w:r>
        <w:rPr>
          <w:rFonts w:eastAsia="Times New Roman"/>
          <w:kern w:val="1"/>
          <w:lang w:eastAsia="ar-SA"/>
        </w:rPr>
        <w:t xml:space="preserve">, come in effetti esiste, </w:t>
      </w:r>
      <w:r>
        <w:rPr>
          <w:rFonts w:eastAsia="Times New Roman"/>
          <w:b/>
          <w:bCs/>
          <w:kern w:val="1"/>
          <w:u w:val="single"/>
          <w:lang w:eastAsia="ar-SA"/>
        </w:rPr>
        <w:t>condivisione</w:t>
      </w:r>
      <w:r>
        <w:rPr>
          <w:rFonts w:eastAsia="Times New Roman"/>
          <w:kern w:val="1"/>
          <w:u w:val="single"/>
          <w:lang w:eastAsia="ar-SA"/>
        </w:rPr>
        <w:t xml:space="preserve"> delle infrastrutture e delle reti</w:t>
      </w:r>
      <w:r>
        <w:rPr>
          <w:rFonts w:eastAsia="Times New Roman"/>
          <w:kern w:val="1"/>
          <w:lang w:eastAsia="ar-SA"/>
        </w:rPr>
        <w:t>.</w:t>
      </w:r>
    </w:p>
    <w:p w14:paraId="6E4BD73D"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Del resto, è la stessa FASTWEB S.p.A. nella narrativa del proprio atto a descrivere le modalità operative di condivisione delle infrastrutture e la modalità tecnica di collegamento denominata BITSTREAM NGA, </w:t>
      </w:r>
      <w:r>
        <w:rPr>
          <w:rFonts w:eastAsia="Times New Roman"/>
          <w:b/>
          <w:bCs/>
          <w:kern w:val="1"/>
          <w:lang w:eastAsia="ar-SA"/>
        </w:rPr>
        <w:t>che prevede che l'operatore sia presente non sul territorio comunale, né nella centrale TIM prossima alle abitazioni da servire, bensì esclusivamente in un Punto di Interconnessione (PDI) collocato a monte, a livello di area o macroarea</w:t>
      </w:r>
      <w:r>
        <w:rPr>
          <w:rFonts w:eastAsia="Times New Roman"/>
          <w:kern w:val="1"/>
          <w:lang w:eastAsia="ar-SA"/>
        </w:rP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6E8D402F"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La natura stessa dell'infrastruttura vuole, quindi, una compresenza di più operatori che agiscono sulla/nella rete Tim/Telecom s.p.a. che utilizza, anch'essa, la rete insieme ai suoi competitors; </w:t>
      </w:r>
      <w:r>
        <w:rPr>
          <w:rFonts w:eastAsia="Times New Roman"/>
          <w:kern w:val="1"/>
          <w:u w:val="single"/>
          <w:lang w:eastAsia="ar-SA"/>
        </w:rPr>
        <w:t xml:space="preserve">ciò differentemente da quanto accade nel caso delle società proprietarie della rete di distribuzione del gas o dell'energia elettrica che non </w:t>
      </w:r>
      <w:r>
        <w:rPr>
          <w:rFonts w:eastAsia="Times New Roman"/>
          <w:kern w:val="1"/>
          <w:u w:val="single"/>
          <w:lang w:eastAsia="ar-SA"/>
        </w:rPr>
        <w:lastRenderedPageBreak/>
        <w:t>possono, per legge, direttamente vendere il prodotto agli utenti finali,</w:t>
      </w:r>
      <w:r>
        <w:rPr>
          <w:rFonts w:eastAsia="Times New Roman"/>
          <w:kern w:val="1"/>
          <w:lang w:eastAsia="ar-SA"/>
        </w:rPr>
        <w:t xml:space="preserve"> dovendosi invece rivolgere ad altre società che effettuano (solo loro) la vendita, per commercializzare il prodotto veicolato nelle proprie infrastrutture (gas /energia elettrica). </w:t>
      </w:r>
    </w:p>
    <w:p w14:paraId="3BE44309" w14:textId="77777777" w:rsidR="007E79BC" w:rsidRPr="00D20535" w:rsidRDefault="007E79BC" w:rsidP="007E79BC">
      <w:pPr>
        <w:spacing w:line="360" w:lineRule="auto"/>
        <w:ind w:firstLine="709"/>
        <w:rPr>
          <w:rFonts w:eastAsia="Calibri"/>
        </w:rPr>
      </w:pPr>
      <w:r>
        <w:rPr>
          <w:rFonts w:eastAsia="Calibri"/>
        </w:rPr>
        <w:t>Di seguito uno schema riassuntivo sulla differenza di utilizzo della rete tra le società di TLC e le società che commercializzano Gas ed Energia.</w:t>
      </w:r>
    </w:p>
    <w:p w14:paraId="12617285" w14:textId="77777777" w:rsidR="007E79BC" w:rsidRDefault="007E79BC" w:rsidP="002B1367">
      <w:pPr>
        <w:spacing w:line="360" w:lineRule="auto"/>
        <w:rPr>
          <w:rFonts w:eastAsia="Times New Roman"/>
          <w:b/>
          <w:bCs/>
          <w:i/>
          <w:iCs/>
          <w:kern w:val="1"/>
          <w:u w:val="single"/>
          <w:lang w:eastAsia="ar-SA"/>
        </w:rPr>
      </w:pPr>
      <w:r>
        <w:rPr>
          <w:rFonts w:eastAsia="Times New Roman"/>
          <w:noProof/>
        </w:rPr>
        <w:drawing>
          <wp:inline distT="0" distB="0" distL="0" distR="0" wp14:anchorId="610F063D" wp14:editId="0CC75145">
            <wp:extent cx="5731510" cy="4857927"/>
            <wp:effectExtent l="0" t="0" r="0" b="635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9"/>
                    <a:stretch>
                      <a:fillRect/>
                    </a:stretch>
                  </pic:blipFill>
                  <pic:spPr>
                    <a:xfrm>
                      <a:off x="0" y="0"/>
                      <a:ext cx="5731510" cy="4857927"/>
                    </a:xfrm>
                    <a:prstGeom prst="rect">
                      <a:avLst/>
                    </a:prstGeom>
                  </pic:spPr>
                </pic:pic>
              </a:graphicData>
            </a:graphic>
          </wp:inline>
        </w:drawing>
      </w:r>
    </w:p>
    <w:p w14:paraId="3F731F93" w14:textId="77777777" w:rsidR="007E79BC" w:rsidRDefault="007E79BC" w:rsidP="007E79BC">
      <w:pPr>
        <w:spacing w:line="360" w:lineRule="auto"/>
        <w:ind w:firstLine="567"/>
        <w:jc w:val="both"/>
        <w:rPr>
          <w:rFonts w:eastAsia="Times New Roman"/>
          <w:b/>
          <w:bCs/>
          <w:i/>
          <w:iCs/>
          <w:kern w:val="1"/>
          <w:u w:val="single"/>
          <w:lang w:eastAsia="ar-SA"/>
        </w:rPr>
      </w:pPr>
    </w:p>
    <w:p w14:paraId="3E8F1A47" w14:textId="77777777" w:rsidR="007E79BC" w:rsidRPr="00D20535" w:rsidRDefault="007E79BC" w:rsidP="007E79BC">
      <w:pPr>
        <w:spacing w:line="360" w:lineRule="auto"/>
        <w:ind w:firstLine="709"/>
        <w:jc w:val="both"/>
        <w:rPr>
          <w:rFonts w:eastAsia="Calibri"/>
        </w:rPr>
      </w:pPr>
      <w:r>
        <w:rPr>
          <w:rFonts w:eastAsia="Calibri"/>
        </w:rPr>
        <w:t>Quindi, quale settore, se non quello delle telecomunicazioni, dovrebbe vedere applicata la soggettività passiva in via mediata prevista dal legislatore?</w:t>
      </w:r>
    </w:p>
    <w:p w14:paraId="12EFE166" w14:textId="77777777" w:rsidR="00075369" w:rsidRPr="007E79BC" w:rsidRDefault="00310958" w:rsidP="009F4718">
      <w:pPr>
        <w:spacing w:line="360" w:lineRule="auto"/>
        <w:ind w:firstLine="567"/>
        <w:jc w:val="both"/>
        <w:rPr>
          <w:u w:val="single"/>
        </w:rPr>
      </w:pPr>
      <w:r>
        <w:t xml:space="preserve">Oltre alla recentissima pronuncia della Corte di legittimità innanzi richiamata, conferma quanto fin qui rilevato anche la recente giurisprudenza di merito in materia di telecomunicazioni; fra tante si richiamano, per le puntuali motivazioni addotte, le sentenze del </w:t>
      </w:r>
      <w:r>
        <w:rPr>
          <w:b/>
          <w:bCs/>
          <w:u w:val="single"/>
        </w:rPr>
        <w:t>Tribunale di Bergamo n. 1523 del 25.11.2025, proprio contro FASTWEB S.p.A., e n. 289 del 21.03.2026 contro Vodafone, nonché del Tribunale di Treviso n. 240/2025 e del Tribunale di Piacenza n. 207 del 06.05.2025</w:t>
      </w:r>
      <w:r>
        <w:rPr>
          <w:u w:val="single"/>
        </w:rPr>
        <w:t>, ed infatti:</w:t>
      </w:r>
    </w:p>
    <w:p w14:paraId="17A6C419" w14:textId="77777777" w:rsidR="00075369" w:rsidRDefault="00310958" w:rsidP="00864A21">
      <w:pPr>
        <w:spacing w:line="360" w:lineRule="auto"/>
        <w:ind w:firstLine="567"/>
        <w:jc w:val="both"/>
      </w:pPr>
      <w:r>
        <w:t>Il Giudice di Bergamo ha così precisato:</w:t>
      </w:r>
    </w:p>
    <w:p w14:paraId="73BDB5D7" w14:textId="77777777" w:rsidR="00075369" w:rsidRDefault="00310958" w:rsidP="00864A21">
      <w:pPr>
        <w:spacing w:before="40" w:after="40" w:line="360" w:lineRule="auto"/>
        <w:ind w:left="567" w:right="283"/>
        <w:jc w:val="both"/>
      </w:pPr>
      <w:r>
        <w:rPr>
          <w:i/>
          <w:iCs/>
        </w:rPr>
        <w:t xml:space="preserve">“La norma nel testo attualmente vigente dispone: il canone è dovuto dal soggetto titolare dell’atto di concessione dell’occupazione del suolo pubblico </w:t>
      </w:r>
      <w:r>
        <w:rPr>
          <w:i/>
          <w:iCs/>
        </w:rPr>
        <w:lastRenderedPageBreak/>
        <w:t xml:space="preserve">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w:t>
      </w:r>
      <w:r>
        <w:rPr>
          <w:i/>
          <w:iCs/>
        </w:rPr>
        <w:t>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w:t>
      </w:r>
      <w:r>
        <w:rPr>
          <w:i/>
          <w:iCs/>
        </w:rPr>
        <w:t xml:space="preserve">lla rete infrastrutturale di Tim/Telecom spa si ritiene che essa rientri fra i soggetti obbligati contemplati dalla norma e soggetto tenuto al pagamento”. Tribunale di Bergamo n. 1523 del 25.11.2025 </w:t>
      </w:r>
      <w:r>
        <w:rPr>
          <w:b/>
          <w:bCs/>
          <w:i/>
          <w:iCs/>
        </w:rPr>
        <w:t>(doc. 7).</w:t>
      </w:r>
    </w:p>
    <w:p w14:paraId="4FF5F33D" w14:textId="77777777" w:rsidR="00075369" w:rsidRDefault="00310958" w:rsidP="00864A21">
      <w:pPr>
        <w:spacing w:line="360" w:lineRule="auto"/>
        <w:ind w:firstLine="567"/>
        <w:jc w:val="both"/>
      </w:pPr>
      <w:r>
        <w:t xml:space="preserve">Sempre il </w:t>
      </w:r>
      <w:r>
        <w:rPr>
          <w:b/>
          <w:bCs/>
        </w:rPr>
        <w:t>Tribunale di Bergamo, con la sentenza 289/2026,</w:t>
      </w:r>
      <w:r>
        <w:t xml:space="preserve"> ha ribadito:</w:t>
      </w:r>
    </w:p>
    <w:p w14:paraId="298147D9" w14:textId="77777777" w:rsidR="00112740" w:rsidRDefault="00310958" w:rsidP="00864A21">
      <w:pPr>
        <w:spacing w:before="40" w:after="40" w:line="360" w:lineRule="auto"/>
        <w:ind w:left="567" w:right="283"/>
        <w:jc w:val="both"/>
        <w:rPr>
          <w:i/>
          <w:iCs/>
        </w:rPr>
      </w:pPr>
      <w:r>
        <w:rPr>
          <w:i/>
          <w:iCs/>
        </w:rPr>
        <w:t xml:space="preserve">“le attuali normative fanno riferimento ad un nuovo concetto basato sull’occupazione in via mediata, dove sussistono una pluralità di soggetti passivi, costituiti dal soggetto titolare e dai soggetti che occupano ed utilizzano l’area. </w:t>
      </w:r>
    </w:p>
    <w:p w14:paraId="5FAE1DC1" w14:textId="77777777" w:rsidR="00112740" w:rsidRDefault="00310958" w:rsidP="00864A21">
      <w:pPr>
        <w:spacing w:before="40" w:after="40" w:line="360" w:lineRule="auto"/>
        <w:ind w:left="567" w:right="283"/>
        <w:jc w:val="both"/>
        <w:rPr>
          <w:i/>
          <w:iCs/>
        </w:rPr>
      </w:pPr>
      <w:r>
        <w:rPr>
          <w:i/>
          <w:iCs/>
        </w:rPr>
        <w:t xml:space="preserve">Più precisamente, risulta aggiornata e superata la precedente normativa, che considerava il solo concessionario quale unico soggetto passivo, rendendo adeguata la normativa ad un mercato liberalizzato, dove vi sono più operatori che utilizzano la stessa infrastruttura per la fornitura del proprio servizio di telefonia. </w:t>
      </w:r>
    </w:p>
    <w:p w14:paraId="35B871B8" w14:textId="77777777" w:rsidR="00112740" w:rsidRDefault="00310958" w:rsidP="00864A21">
      <w:pPr>
        <w:spacing w:before="40" w:after="40" w:line="360" w:lineRule="auto"/>
        <w:ind w:left="567" w:right="283"/>
        <w:jc w:val="both"/>
        <w:rPr>
          <w:i/>
          <w:iCs/>
        </w:rPr>
      </w:pPr>
      <w:r>
        <w:rPr>
          <w:i/>
          <w:iCs/>
        </w:rPr>
        <w:t xml:space="preserve">Inoltre, diversamente da quanto affermato da parte attrice, gli accordi wholesale sono pienamente riferibili alla fattispecie connessa all’‘utilizzo materiale’. </w:t>
      </w:r>
    </w:p>
    <w:p w14:paraId="7FEF7C4D" w14:textId="77777777" w:rsidR="00112740" w:rsidRPr="009F4718" w:rsidRDefault="00112740" w:rsidP="009F4718">
      <w:pPr>
        <w:spacing w:before="40" w:after="40" w:line="360" w:lineRule="auto"/>
        <w:ind w:left="567" w:right="283"/>
        <w:jc w:val="both"/>
        <w:rPr>
          <w:i/>
          <w:iCs/>
        </w:rPr>
      </w:pPr>
      <w:r>
        <w:rPr>
          <w:i/>
          <w:iCs/>
        </w:rPr>
        <w:t xml:space="preserve">Infatti gli accordi wholesale VULA (Virtual Unbundled Local Access) sono accordi commerciali tra operatori di telecomunicazioni che permettono </w:t>
      </w:r>
      <w:r>
        <w:rPr>
          <w:i/>
          <w:iCs/>
        </w:rPr>
        <w:lastRenderedPageBreak/>
        <w:t xml:space="preserve">l’accesso alle reti di accesso locali (reti di fibra ottica o di rame) di un operatore </w:t>
      </w:r>
      <w:r>
        <w:rPr>
          <w:i/>
          <w:iCs/>
        </w:rPr>
        <w:tab/>
        <w:t xml:space="preserve">dominante a un altro operatore, a condizioni eque e non discriminatorie. </w:t>
      </w:r>
    </w:p>
    <w:p w14:paraId="21809BB9" w14:textId="77777777" w:rsidR="00112740" w:rsidRPr="009F4718" w:rsidRDefault="00112740" w:rsidP="009F4718">
      <w:pPr>
        <w:spacing w:before="40" w:after="40" w:line="360" w:lineRule="auto"/>
        <w:ind w:left="567" w:right="283"/>
        <w:jc w:val="both"/>
        <w:rPr>
          <w:i/>
          <w:iCs/>
        </w:rPr>
      </w:pPr>
      <w:r>
        <w:rPr>
          <w:i/>
          <w:iCs/>
        </w:rPr>
        <w:t xml:space="preserve">In pratica, un operatore che non ha una rete di accesso propria può utilizzare la rete di un altro operatore per offrire servizi di accesso a internet e voce ai propri clienti . </w:t>
      </w:r>
    </w:p>
    <w:p w14:paraId="5DE2C486" w14:textId="77777777" w:rsidR="00BE2202" w:rsidRDefault="00310958" w:rsidP="00864A21">
      <w:pPr>
        <w:spacing w:before="40" w:after="40" w:line="360" w:lineRule="auto"/>
        <w:ind w:left="567" w:right="283"/>
        <w:jc w:val="both"/>
        <w:rPr>
          <w:i/>
          <w:iCs/>
        </w:rPr>
      </w:pPr>
      <w:r>
        <w:rPr>
          <w:i/>
          <w:iCs/>
        </w:rPr>
        <w:t xml:space="preserve">Anche se l’accesso è definito ‘virtuale’ in ambito tecnico-commerciale, lo stesso comporta un flusso fisico di dati che transita comunque mediante cavi e condutture esistenti sul suolo pubblico comunale. </w:t>
      </w:r>
    </w:p>
    <w:p w14:paraId="5F9A2AFC" w14:textId="77777777" w:rsidR="00075369" w:rsidRDefault="00310958" w:rsidP="00864A21">
      <w:pPr>
        <w:spacing w:before="40" w:after="40" w:line="360" w:lineRule="auto"/>
        <w:ind w:left="567" w:right="283"/>
        <w:jc w:val="both"/>
      </w:pPr>
      <w:r>
        <w:rPr>
          <w:i/>
          <w:iCs/>
        </w:rPr>
        <w:t xml:space="preserve">In base alle numerose sentenze di merito sull’argomento, il criterio legato alla materialità dell’uso dell’infrastruttura di altro operatore risulta comprendere anche quello legato alla modalità di accesso virtuale, legata all’evoluzione ed al progresso tecnologico nell’ambito della telefonia”. Tribunale di Bergamo n. 289 del 21.03.2026 </w:t>
      </w:r>
      <w:r>
        <w:rPr>
          <w:b/>
          <w:bCs/>
          <w:i/>
          <w:iCs/>
        </w:rPr>
        <w:t>(doc. 8).</w:t>
      </w:r>
    </w:p>
    <w:p w14:paraId="386FEB60" w14:textId="77777777" w:rsidR="00075369" w:rsidRDefault="00310958" w:rsidP="00864A21">
      <w:pPr>
        <w:spacing w:line="360" w:lineRule="auto"/>
        <w:ind w:firstLine="567"/>
        <w:jc w:val="both"/>
      </w:pPr>
      <w:r>
        <w:t xml:space="preserve">Anche il Tribunale di Napoli si è di recente pronunciato chiarendo il concetto di </w:t>
      </w:r>
      <w:r>
        <w:rPr>
          <w:i/>
          <w:iCs/>
        </w:rPr>
        <w:t>“utilizzo materiale”</w:t>
      </w:r>
      <w:r>
        <w:t xml:space="preserve"> (</w:t>
      </w:r>
      <w:r>
        <w:rPr>
          <w:b/>
          <w:bCs/>
        </w:rPr>
        <w:t>Tribunale di Napoli n. 5948 del 13.04.2026 – doc. 9</w:t>
      </w:r>
      <w:r>
        <w:t>):</w:t>
      </w:r>
    </w:p>
    <w:p w14:paraId="38A595F2" w14:textId="77777777" w:rsidR="00075369" w:rsidRDefault="00310958" w:rsidP="00864A21">
      <w:pPr>
        <w:spacing w:before="40" w:after="40" w:line="360" w:lineRule="auto"/>
        <w:ind w:left="567" w:right="283"/>
        <w:jc w:val="both"/>
      </w:pPr>
      <w:r>
        <w:rPr>
          <w:i/>
          <w:iCs/>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w:t>
      </w:r>
      <w:r>
        <w:rPr>
          <w:rFonts w:eastAsia="Times New Roman"/>
          <w:i/>
          <w:iCs/>
        </w:rPr>
        <w:t xml:space="preserve">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w:t>
      </w:r>
      <w:r>
        <w:rPr>
          <w:i/>
          <w:iCs/>
        </w:rPr>
        <w:t>Diversamente, la previsione normativa finirebbe per essere priva di effettiva portata applicativa nel settore in cui l’utilizzo della rete altrui è tecnicamente fisiologico”.</w:t>
      </w:r>
    </w:p>
    <w:p w14:paraId="4376371C" w14:textId="77777777" w:rsidR="00BE2202" w:rsidRPr="00801F75" w:rsidRDefault="00BE2202" w:rsidP="00BE2202">
      <w:pPr>
        <w:spacing w:line="360" w:lineRule="auto"/>
        <w:ind w:firstLine="709"/>
        <w:contextualSpacing/>
        <w:jc w:val="both"/>
      </w:pPr>
      <w:r>
        <w:t xml:space="preserve">Ed ancora, i giudici del </w:t>
      </w:r>
      <w:r>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292D10FA" w14:textId="77777777" w:rsidR="00BE2202" w:rsidRPr="00801F75" w:rsidRDefault="00BE2202" w:rsidP="00BE2202">
      <w:pPr>
        <w:spacing w:line="360" w:lineRule="auto"/>
        <w:ind w:firstLine="708"/>
        <w:contextualSpacing/>
        <w:jc w:val="both"/>
      </w:pPr>
      <w:r>
        <w:t>Si legge nella sentenza:</w:t>
      </w:r>
    </w:p>
    <w:p w14:paraId="40F11E90" w14:textId="77777777" w:rsidR="00075369" w:rsidRPr="00BE2202" w:rsidRDefault="00310958" w:rsidP="00864A21">
      <w:pPr>
        <w:spacing w:before="40" w:after="40" w:line="360" w:lineRule="auto"/>
        <w:ind w:left="567" w:right="283"/>
        <w:jc w:val="both"/>
        <w:rPr>
          <w:b/>
          <w:bCs/>
        </w:rPr>
      </w:pPr>
      <w:r>
        <w:rPr>
          <w:i/>
          <w:iCs/>
        </w:rPr>
        <w:t xml:space="preserve">“Si ritiene, soprattutto alla luce della modifica del testo normativo ad opera della legge n. 178/2020, che il legislatore abbia inteso imporre il pagamento </w:t>
      </w:r>
      <w:r>
        <w:rPr>
          <w:i/>
          <w:iCs/>
        </w:rPr>
        <w:lastRenderedPageBreak/>
        <w:t>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come sinonimo di utilizzo che non necessariamente rimanda ad una modificazione della realtà esterna … E poiché è incontestato che l’operatore, attrav</w:t>
      </w:r>
      <w:r>
        <w:rPr>
          <w:i/>
          <w:iCs/>
        </w:rPr>
        <w:t xml:space="preserve">erso le varie forme di tecnologia descritte in atti, si avvale della rete infrastrutturale di TIM, si ritiene che esso rientri fra i soggetti obbligati contemplati dalla norma”. Tribunale di Treviso n. 240/2025 del 20.02.2025, resa in appello </w:t>
      </w:r>
      <w:r>
        <w:rPr>
          <w:b/>
          <w:bCs/>
          <w:i/>
          <w:iCs/>
        </w:rPr>
        <w:t>(doc. 10).</w:t>
      </w:r>
    </w:p>
    <w:p w14:paraId="7D2E48AF" w14:textId="77777777" w:rsidR="00075369" w:rsidRDefault="00310958" w:rsidP="00864A21">
      <w:pPr>
        <w:spacing w:line="360" w:lineRule="auto"/>
        <w:ind w:firstLine="567"/>
        <w:jc w:val="both"/>
      </w:pPr>
      <w:r>
        <w:t xml:space="preserve">Il </w:t>
      </w:r>
      <w:r>
        <w:rPr>
          <w:b/>
          <w:bCs/>
        </w:rPr>
        <w:t>Tribunale di PIACENZA</w:t>
      </w:r>
      <w:r>
        <w:t xml:space="preserve">, rigettando l’opposizione di Vodafone, ha posto l’accento sul concetto di occupazione mediata e sulla </w:t>
      </w:r>
      <w:r>
        <w:rPr>
          <w:i/>
          <w:iCs/>
        </w:rPr>
        <w:t>ratio</w:t>
      </w:r>
      <w:r>
        <w:t xml:space="preserve"> della norma di interpretazione autentica, leggendosi in sentenza:</w:t>
      </w:r>
    </w:p>
    <w:p w14:paraId="73A761A0" w14:textId="77777777" w:rsidR="00075369" w:rsidRDefault="00EC0A7E" w:rsidP="00EC0A7E">
      <w:pPr>
        <w:spacing w:line="360" w:lineRule="auto"/>
        <w:ind w:firstLine="567"/>
        <w:jc w:val="both"/>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w:t>
      </w:r>
      <w:r>
        <w:rPr>
          <w:i/>
          <w:iCs/>
        </w:rPr>
        <w:lastRenderedPageBreak/>
        <w:t xml:space="preserve">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Pr>
          <w:b/>
          <w:bCs/>
          <w:i/>
          <w:iCs/>
        </w:rPr>
        <w:t>Tribunale di Piacenza n. 207 del 06.05.2025</w:t>
      </w:r>
      <w:r>
        <w:rPr>
          <w:i/>
          <w:iCs/>
        </w:rPr>
        <w:t xml:space="preserve"> </w:t>
      </w:r>
      <w:r>
        <w:rPr>
          <w:b/>
          <w:bCs/>
          <w:i/>
          <w:iCs/>
        </w:rPr>
        <w:t>(doc. 11).</w:t>
      </w:r>
    </w:p>
    <w:p w14:paraId="7759214C" w14:textId="77777777" w:rsidR="009C31BA" w:rsidRPr="0019494B" w:rsidRDefault="00310958" w:rsidP="009C31BA">
      <w:pPr>
        <w:spacing w:line="360" w:lineRule="auto"/>
        <w:ind w:firstLine="360"/>
        <w:contextualSpacing/>
        <w:jc w:val="both"/>
        <w:rPr>
          <w:b/>
          <w:bCs/>
          <w:i/>
          <w:iCs/>
        </w:rPr>
      </w:pPr>
      <w:r>
        <w:t xml:space="preserve">Con successiva pronuncia, il </w:t>
      </w:r>
      <w:r>
        <w:rPr>
          <w:b/>
          <w:bCs/>
        </w:rPr>
        <w:t>Tribunale di Piacenza – in funzione di giudice di secondo grado (sent. n. 350 del 16.07.2025, R.G. 1562/2024) (doc. 12)</w:t>
      </w:r>
      <w:r>
        <w:t xml:space="preserve"> –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w:t>
      </w:r>
      <w:r>
        <w:rPr>
          <w:b/>
          <w:bCs/>
          <w:i/>
          <w:iCs/>
        </w:rPr>
        <w:t>olo concessionario dell’infrastruttura.</w:t>
      </w:r>
    </w:p>
    <w:p w14:paraId="315F4949" w14:textId="77777777" w:rsidR="009C31BA" w:rsidRPr="0019494B" w:rsidRDefault="009C31BA" w:rsidP="009C31BA">
      <w:pPr>
        <w:numPr>
          <w:ilvl w:val="0"/>
          <w:numId w:val="2"/>
        </w:numPr>
        <w:spacing w:line="360" w:lineRule="auto"/>
        <w:contextualSpacing/>
        <w:jc w:val="both"/>
        <w:rPr>
          <w:b/>
          <w:bCs/>
          <w:i/>
          <w:iCs/>
        </w:rPr>
      </w:pPr>
      <w:r>
        <w:rPr>
          <w:b/>
          <w:bCs/>
          <w:i/>
          <w:iCs/>
        </w:rPr>
        <w:lastRenderedPageBreak/>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2F8B45EB" w14:textId="77777777" w:rsidR="009C31BA" w:rsidRPr="0019494B" w:rsidRDefault="009C31BA" w:rsidP="009C31BA">
      <w:pPr>
        <w:numPr>
          <w:ilvl w:val="0"/>
          <w:numId w:val="2"/>
        </w:numPr>
        <w:spacing w:line="360" w:lineRule="auto"/>
        <w:contextualSpacing/>
        <w:jc w:val="both"/>
        <w:rPr>
          <w:i/>
          <w:iCs/>
        </w:rPr>
      </w:pPr>
      <w:r>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D061E64" w14:textId="77777777" w:rsidR="009C31BA" w:rsidRPr="0019494B" w:rsidRDefault="009C31BA" w:rsidP="009C31BA">
      <w:pPr>
        <w:numPr>
          <w:ilvl w:val="0"/>
          <w:numId w:val="2"/>
        </w:numPr>
        <w:spacing w:line="360" w:lineRule="auto"/>
        <w:contextualSpacing/>
        <w:jc w:val="both"/>
        <w:rPr>
          <w:i/>
          <w:iCs/>
        </w:rPr>
      </w:pPr>
      <w:r>
        <w:rPr>
          <w:i/>
          <w:iCs/>
        </w:rPr>
        <w:t xml:space="preserve">Peraltro nel criterio di materialità dell’uso dell’infrastruttura altrui deve intendersi incluso anche quello con modalità virtuale considerata l’evoluzione tecnologica nel campo della telefonia.” </w:t>
      </w:r>
    </w:p>
    <w:p w14:paraId="3EC8A9E3" w14:textId="77777777" w:rsidR="00075369" w:rsidRDefault="00310958" w:rsidP="00864A21">
      <w:pPr>
        <w:spacing w:line="360" w:lineRule="auto"/>
        <w:ind w:firstLine="567"/>
        <w:jc w:val="both"/>
      </w:pPr>
      <w:r>
        <w:t xml:space="preserve">Ancora, il </w:t>
      </w:r>
      <w:r>
        <w:rPr>
          <w:b/>
          <w:bCs/>
        </w:rPr>
        <w:t>Tribunale di IVREA – in funzione di giudice di secondo grado (sent. 29.09.2025, n. 1255) (doc. 13)</w:t>
      </w:r>
      <w:r>
        <w:t xml:space="preserve"> – ha rigettato l’appello di un primario operatore telefonico,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t>”.</w:t>
      </w:r>
    </w:p>
    <w:p w14:paraId="332A2ED9" w14:textId="77777777" w:rsidR="009C31BA" w:rsidRPr="00801F75" w:rsidRDefault="00310958" w:rsidP="009C31BA">
      <w:pPr>
        <w:spacing w:line="360" w:lineRule="auto"/>
        <w:ind w:firstLine="709"/>
        <w:contextualSpacing/>
        <w:jc w:val="both"/>
      </w:pPr>
      <w:r>
        <w:t xml:space="preserve">Infine, il </w:t>
      </w:r>
      <w:r>
        <w:rPr>
          <w:b/>
          <w:bCs/>
        </w:rPr>
        <w:t>Tribunale di BOLZANO (sent. 08.04.2024, n. 431) (doc. 14)</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Pr>
          <w:i/>
          <w:iCs/>
        </w:rPr>
        <w:t xml:space="preserve">sono soggetti passivi del canone tutti gli operatori che utilizzano, anche in via </w:t>
      </w:r>
      <w:r>
        <w:rPr>
          <w:i/>
          <w:iCs/>
        </w:rPr>
        <w:lastRenderedPageBreak/>
        <w:t>mediata, la rete del concessionario</w:t>
      </w:r>
      <w:r>
        <w:t>” e che “</w:t>
      </w:r>
      <w:r>
        <w:rPr>
          <w:i/>
          <w:iCs/>
        </w:rPr>
        <w:t>l’uso materiale dell’infrastruttura non richiede l’installazione fisica di cavi e include anche l’utilizzo virtuale, coerentemente con l’evoluzione tecnologica</w:t>
      </w:r>
      <w:r>
        <w:t>”.</w:t>
      </w:r>
    </w:p>
    <w:p w14:paraId="74541C50" w14:textId="77777777" w:rsidR="007B0B53" w:rsidRPr="00D20535" w:rsidRDefault="00310958" w:rsidP="007B0B53">
      <w:pPr>
        <w:spacing w:line="360" w:lineRule="auto"/>
        <w:ind w:firstLine="709"/>
        <w:jc w:val="both"/>
        <w:rPr>
          <w:rFonts w:eastAsia="Times New Roman"/>
          <w:i/>
          <w:iCs/>
          <w:kern w:val="1"/>
          <w:lang w:eastAsia="ar-SA"/>
        </w:rPr>
      </w:pPr>
      <w:r>
        <w:t xml:space="preserve">Si menziona, anche, la recente sentenza resa dal </w:t>
      </w:r>
      <w:r>
        <w:rPr>
          <w:b/>
          <w:bCs/>
        </w:rPr>
        <w:t>Tribunale di Bolzano n. 908/2025 del 15.10.2025</w:t>
      </w:r>
      <w:r>
        <w:t xml:space="preserve">, che si produce </w:t>
      </w:r>
      <w:r>
        <w:rPr>
          <w:b/>
          <w:bCs/>
        </w:rPr>
        <w:t>(doc. 15)</w:t>
      </w:r>
      <w:r>
        <w:t xml:space="preserve">, che ha precisato: </w:t>
      </w:r>
      <w:r>
        <w:rPr>
          <w:rFonts w:eastAsia="Times New Roman"/>
          <w:i/>
          <w:iCs/>
          <w:kern w:val="1"/>
          <w:lang w:eastAsia="ar-SA"/>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59CF0EF7" w14:textId="77777777" w:rsidR="007B0B53" w:rsidRPr="00D20535" w:rsidRDefault="007B0B53" w:rsidP="007B0B53">
      <w:pPr>
        <w:spacing w:line="360" w:lineRule="auto"/>
        <w:ind w:firstLine="709"/>
        <w:jc w:val="both"/>
        <w:rPr>
          <w:rFonts w:eastAsia="Times New Roman"/>
          <w:kern w:val="1"/>
          <w:lang w:eastAsia="ar-SA"/>
        </w:rPr>
      </w:pPr>
      <w:r>
        <w:rPr>
          <w:rFonts w:eastAsia="Times New Roman"/>
          <w:i/>
          <w:iCs/>
          <w:kern w:val="1"/>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Pr>
          <w:rFonts w:eastAsia="Times New Roman"/>
          <w:kern w:val="1"/>
          <w:lang w:eastAsia="ar-SA"/>
        </w:rPr>
        <w:t>."</w:t>
      </w:r>
    </w:p>
    <w:p w14:paraId="777DF4C4" w14:textId="77777777" w:rsidR="00075369" w:rsidRDefault="00310958" w:rsidP="00864A21">
      <w:pPr>
        <w:spacing w:line="360" w:lineRule="auto"/>
        <w:ind w:firstLine="567"/>
        <w:jc w:val="both"/>
      </w:pPr>
      <w:r>
        <w:t>Tale orientamento risulta peraltro confermato da una nutrita e costante giurisprudenza di merito, tra cui:</w:t>
      </w:r>
    </w:p>
    <w:p w14:paraId="3623F7A5" w14:textId="77777777" w:rsidR="007B0B53" w:rsidRPr="00D20535" w:rsidRDefault="007B0B53" w:rsidP="007B0B53">
      <w:pPr>
        <w:spacing w:line="360" w:lineRule="auto"/>
        <w:ind w:firstLine="709"/>
        <w:jc w:val="both"/>
        <w:rPr>
          <w:rFonts w:eastAsia="Times New Roman"/>
          <w:kern w:val="1"/>
          <w:lang w:eastAsia="ar-SA"/>
        </w:rPr>
      </w:pPr>
      <w:r>
        <w:rPr>
          <w:rFonts w:eastAsia="Times New Roman"/>
          <w:kern w:val="1"/>
          <w:lang w:eastAsia="ar-SA"/>
        </w:rPr>
        <w:t>- Tribunale di Bolzano Sentenza N. 431/2024</w:t>
      </w:r>
    </w:p>
    <w:p w14:paraId="1CE032C2" w14:textId="77777777" w:rsidR="007B0B53" w:rsidRPr="00D20535" w:rsidRDefault="007B0B53" w:rsidP="007B0B53">
      <w:pPr>
        <w:spacing w:line="360" w:lineRule="auto"/>
        <w:ind w:firstLine="709"/>
        <w:jc w:val="both"/>
        <w:rPr>
          <w:rFonts w:eastAsia="Times New Roman"/>
          <w:kern w:val="1"/>
          <w:lang w:eastAsia="ar-SA"/>
        </w:rPr>
      </w:pPr>
      <w:bookmarkStart w:id="0" w:name="m_4538845636176179816_m_-648566957053672"/>
      <w:r>
        <w:rPr>
          <w:rFonts w:eastAsia="Times New Roman"/>
          <w:kern w:val="1"/>
          <w:lang w:eastAsia="ar-SA"/>
        </w:rPr>
        <w:t>- Tribunale di Bolzano Sentenza N. 649/2024</w:t>
      </w:r>
      <w:bookmarkEnd w:id="0"/>
    </w:p>
    <w:p w14:paraId="600810B2" w14:textId="77777777" w:rsidR="007B0B53" w:rsidRPr="00D20535" w:rsidRDefault="007B0B53" w:rsidP="007B0B53">
      <w:pPr>
        <w:spacing w:line="360" w:lineRule="auto"/>
        <w:ind w:firstLine="709"/>
        <w:jc w:val="both"/>
        <w:rPr>
          <w:rFonts w:eastAsia="Times New Roman"/>
          <w:kern w:val="1"/>
          <w:lang w:eastAsia="ar-SA"/>
        </w:rPr>
      </w:pPr>
      <w:r>
        <w:rPr>
          <w:rFonts w:eastAsia="Times New Roman"/>
          <w:kern w:val="1"/>
          <w:lang w:eastAsia="ar-SA"/>
        </w:rPr>
        <w:t>- Tribunale di Padova Sentenza N. 1341/2024</w:t>
      </w:r>
    </w:p>
    <w:p w14:paraId="30755CC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1409/2023</w:t>
      </w:r>
    </w:p>
    <w:p w14:paraId="2175D9AD"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1410/2023</w:t>
      </w:r>
    </w:p>
    <w:p w14:paraId="412C73F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1407/2023</w:t>
      </w:r>
    </w:p>
    <w:p w14:paraId="616A052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1411/2023</w:t>
      </w:r>
    </w:p>
    <w:p w14:paraId="3B54800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1414/2023</w:t>
      </w:r>
    </w:p>
    <w:p w14:paraId="33BFBA9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167/2024</w:t>
      </w:r>
    </w:p>
    <w:p w14:paraId="5D6557D1"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168/2024</w:t>
      </w:r>
    </w:p>
    <w:p w14:paraId="13E6D288"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294/2024</w:t>
      </w:r>
    </w:p>
    <w:p w14:paraId="19276A9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5618/2023</w:t>
      </w:r>
    </w:p>
    <w:p w14:paraId="1830419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5744/2023</w:t>
      </w:r>
    </w:p>
    <w:p w14:paraId="0E516D4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5434/2023</w:t>
      </w:r>
    </w:p>
    <w:p w14:paraId="64D985A5"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1511/2023</w:t>
      </w:r>
    </w:p>
    <w:p w14:paraId="07E8F0C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1550/2023</w:t>
      </w:r>
    </w:p>
    <w:p w14:paraId="0E6989A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454/2024</w:t>
      </w:r>
    </w:p>
    <w:p w14:paraId="01D2046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6795/2024</w:t>
      </w:r>
    </w:p>
    <w:p w14:paraId="710013F2"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1058/2024</w:t>
      </w:r>
    </w:p>
    <w:p w14:paraId="2B0A290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5385/2023</w:t>
      </w:r>
    </w:p>
    <w:p w14:paraId="3FD48A32"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lastRenderedPageBreak/>
        <w:t>- Giudice di Pace di Padova RG 4099/2023</w:t>
      </w:r>
    </w:p>
    <w:p w14:paraId="57C670C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665/2023</w:t>
      </w:r>
    </w:p>
    <w:p w14:paraId="72E1B9F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666/2023</w:t>
      </w:r>
    </w:p>
    <w:p w14:paraId="58A7341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5588/2023</w:t>
      </w:r>
    </w:p>
    <w:p w14:paraId="2186DCAE"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5949/2023</w:t>
      </w:r>
    </w:p>
    <w:p w14:paraId="4DCCD621"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219/2024</w:t>
      </w:r>
    </w:p>
    <w:p w14:paraId="463F7E7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Viterbo RG 1716/2023</w:t>
      </w:r>
    </w:p>
    <w:p w14:paraId="0CE26F5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Ancona Sentenza N. 80/2024</w:t>
      </w:r>
    </w:p>
    <w:p w14:paraId="65D668F2"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Monza RG 6910/2023</w:t>
      </w:r>
    </w:p>
    <w:p w14:paraId="6D84EDE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Portoferraio Sentenza N. 17/2024</w:t>
      </w:r>
    </w:p>
    <w:p w14:paraId="1FA840B1"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Parma RG 3192/2023</w:t>
      </w:r>
    </w:p>
    <w:p w14:paraId="14C68492"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Novara Sentenza N. 4824/2023</w:t>
      </w:r>
    </w:p>
    <w:p w14:paraId="1ED88658"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Lanciano RG 639/2023</w:t>
      </w:r>
    </w:p>
    <w:p w14:paraId="73A6A55F"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Ivrea RG 2842/2023</w:t>
      </w:r>
    </w:p>
    <w:p w14:paraId="5B2331AF"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Sondrio Sentenza N. 117/2024</w:t>
      </w:r>
    </w:p>
    <w:p w14:paraId="7035F04C"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Belluno RG 1263/2023</w:t>
      </w:r>
    </w:p>
    <w:p w14:paraId="605078C3" w14:textId="77777777" w:rsidR="00075369" w:rsidRDefault="00310958" w:rsidP="00864A21">
      <w:pPr>
        <w:spacing w:line="360" w:lineRule="auto"/>
        <w:ind w:firstLine="567"/>
        <w:jc w:val="both"/>
      </w:pPr>
      <w:r>
        <w:t xml:space="preserve">Il quadro giurisprudenziale sopra richiamato, formatosi anche specificamente nei confronti di FASTWEB S.p.A. e </w:t>
      </w:r>
      <w:r>
        <w:rPr>
          <w:b/>
          <w:bCs/>
        </w:rPr>
        <w:t>definitivamente confermato dalla Suprema Corte di Cassazione con la citata sentenza n. 11479/2026</w:t>
      </w:r>
      <w:r>
        <w:t>, depone univocamente nel senso della piena soggettività passiva mediata degli operatori di telecomunicazioni che si avvalgono delle infrastrutture altrui.</w:t>
      </w:r>
    </w:p>
    <w:p w14:paraId="0A35B2ED" w14:textId="77777777" w:rsidR="00694907" w:rsidRDefault="00310958">
      <w:pPr>
        <w:spacing w:line="360" w:lineRule="auto"/>
        <w:ind w:firstLine="567"/>
        <w:jc w:val="both"/>
      </w:pPr>
      <w:r>
        <w:rPr>
          <w:u w:val="single"/>
        </w:rPr>
        <w:t xml:space="preserve">Da quanto precede discende, altresì, l’infondatezza delle censure rivolte al Regolamento comunale approvato con Delibera del Consiglio Comunale n. 14 del 30.04.2021: la previsione regolamentare, nell’individuare i soggetti passivi del canone, si limita a recepire il disposto dell’art. 1, comma 831, L. n. 160/2019, nella lettura fatta propria dalla giurisprudenza di legittimità e di merito sopra richiamata, sicché nessun contrasto è ravvisabile con la norma di interpretazione autentica, inapplicabile – come </w:t>
      </w:r>
      <w:r>
        <w:rPr>
          <w:u w:val="single"/>
        </w:rPr>
        <w:t>detto – al settore delle telecomunicazioni.</w:t>
      </w:r>
    </w:p>
    <w:p w14:paraId="491DD8A8" w14:textId="4659A451" w:rsidR="00694907" w:rsidRDefault="00310958" w:rsidP="002B1367">
      <w:pPr>
        <w:spacing w:before="240" w:after="120" w:line="360" w:lineRule="auto"/>
        <w:ind w:firstLine="567"/>
        <w:jc w:val="both"/>
      </w:pPr>
      <w:r>
        <w:rPr>
          <w:b/>
          <w:bCs/>
        </w:rPr>
        <w:t xml:space="preserve">V) Sul quinto motivo: </w:t>
      </w:r>
      <w:r w:rsidR="002B1367">
        <w:rPr>
          <w:b/>
          <w:bCs/>
        </w:rPr>
        <w:t>Pretesa i</w:t>
      </w:r>
      <w:r>
        <w:rPr>
          <w:b/>
          <w:bCs/>
        </w:rPr>
        <w:t>llegittimità della nozione comunale di occupazione in via mediata</w:t>
      </w:r>
      <w:r w:rsidR="00A00692">
        <w:rPr>
          <w:b/>
          <w:bCs/>
        </w:rPr>
        <w:t xml:space="preserve"> </w:t>
      </w:r>
      <w:r>
        <w:rPr>
          <w:b/>
          <w:bCs/>
        </w:rPr>
        <w:t>estesa anche a meri collegamenti tecnologici/logici (accesso virtuale)</w:t>
      </w:r>
      <w:r>
        <w:rPr>
          <w:b/>
          <w:bCs/>
        </w:rPr>
        <w:t xml:space="preserve">. </w:t>
      </w:r>
    </w:p>
    <w:p w14:paraId="190D8577" w14:textId="26661C5F" w:rsidR="00694907" w:rsidRDefault="00310958">
      <w:pPr>
        <w:spacing w:line="360" w:lineRule="auto"/>
        <w:ind w:firstLine="567"/>
        <w:jc w:val="both"/>
      </w:pPr>
      <w:r>
        <w:t xml:space="preserve">Anche </w:t>
      </w:r>
      <w:r w:rsidR="002B1367">
        <w:t xml:space="preserve">il quinto </w:t>
      </w:r>
      <w:r>
        <w:t>motivo, che ripropone sotto diversa angolazione le medesime questioni già esaminate, è infondato.</w:t>
      </w:r>
    </w:p>
    <w:p w14:paraId="649D58EB" w14:textId="77777777" w:rsidR="002B1367" w:rsidRDefault="00310958">
      <w:pPr>
        <w:spacing w:line="360" w:lineRule="auto"/>
        <w:ind w:firstLine="567"/>
        <w:jc w:val="both"/>
      </w:pPr>
      <w:r>
        <w:t xml:space="preserve">Quanto al richiamo all’art. 54, comma 1, del D.Lgs. n. 259/2003 (Codice delle comunicazioni elettroniche) e all’art. 12, comma 3, del D.Lgs. n. 33/2016, esso si </w:t>
      </w:r>
      <w:r>
        <w:lastRenderedPageBreak/>
        <w:t xml:space="preserve">ritorce contro la ricorrente: la stessa disposizione invocata fa espressamente “salva l’applicazione del canone previsto dall’articolo 1, comma 816, della legge 27 dicembre 2019, n. 160”. </w:t>
      </w:r>
    </w:p>
    <w:p w14:paraId="36C5F74E" w14:textId="365B38C3" w:rsidR="00694907" w:rsidRDefault="00310958">
      <w:pPr>
        <w:spacing w:line="360" w:lineRule="auto"/>
        <w:ind w:firstLine="567"/>
        <w:jc w:val="both"/>
      </w:pPr>
      <w:r>
        <w:t>Il Canone Unico Patrimoniale oggetto del presente giudizio è, dunque, esattamente – ed è l’unico – prelievo che il legislatore consente agli enti locali di applicare agli operatori di comunicazione elettronica: nessun onere “ulteriore” è stato imposto alla ricorrente, alla quale è stato peraltro richiesto il canone nella sola misura minima stabilita direttamente dalla legge.</w:t>
      </w:r>
    </w:p>
    <w:p w14:paraId="63AD3357" w14:textId="77777777" w:rsidR="00694907" w:rsidRDefault="00310958">
      <w:pPr>
        <w:spacing w:line="360" w:lineRule="auto"/>
        <w:ind w:firstLine="567"/>
        <w:jc w:val="both"/>
      </w:pPr>
      <w:r>
        <w:t xml:space="preserve">Quanto alla pretesa illegittimità dell’estensione della nozione di occupazione mediata all’accesso c.d. virtuale, la questione è stata definitivamente risolta – in senso esattamente contrario alla tesi avversaria – dalla citata sentenza della </w:t>
      </w:r>
      <w:r w:rsidRPr="00A00692">
        <w:rPr>
          <w:b/>
          <w:bCs/>
        </w:rPr>
        <w:t>Corte di Cassazione, Sez. III, n. 11479/2026 (doc. 5):</w:t>
      </w:r>
      <w:r>
        <w:t xml:space="preserve"> la distinzione tra uso materiale e uso virtuale dell’infrastruttura è erronea in diritto, poiché i segnali delle linee telefoniche si propagano, per legge fisica, sempre attraverso un supporto materiale; l’accesso VULA è “virtuale” unicamente nella modalità tecnica di accesso, non nell’utilizzo della rete, che rimane in ogni caso materiale e integra, pertanto, occupazione mediata ai sensi dell’art. 1, comma 831, della L. n. 160/2019.</w:t>
      </w:r>
    </w:p>
    <w:p w14:paraId="6E66554C" w14:textId="77777777" w:rsidR="00044516" w:rsidRDefault="00310958">
      <w:pPr>
        <w:spacing w:line="360" w:lineRule="auto"/>
        <w:ind w:firstLine="567"/>
        <w:jc w:val="both"/>
      </w:pPr>
      <w:r>
        <w:t xml:space="preserve">A fronte di tale arresto di legittimità, perdono ogni forza </w:t>
      </w:r>
      <w:r>
        <w:t xml:space="preserve">le pronunce della </w:t>
      </w:r>
      <w:r>
        <w:rPr>
          <w:b/>
          <w:bCs/>
        </w:rPr>
        <w:t>Corte d’Appello di Venezia</w:t>
      </w:r>
      <w:r>
        <w:t xml:space="preserve"> (nn. 2093/2025, 2301/2025 e 276/2026) e le ulteriori decisioni di merito invocate dalla ricorrente: si tratta di </w:t>
      </w:r>
      <w:r w:rsidRPr="002B1367">
        <w:rPr>
          <w:b/>
          <w:bCs/>
          <w:u w:val="single"/>
        </w:rPr>
        <w:t>pronunce tutte anteriori alla sentenza della Suprema Corte,</w:t>
      </w:r>
      <w:r>
        <w:t xml:space="preserve"> espressione di un orientamento minoritario e territorialmente circoscritto, smentito non solo dal giudice della nomofilachia, ma anche dalla copiosa e più recente giurisprudenza di merito richiamata al superiore motivo IV (Tribunali di Bergamo, Treviso, Piacenza – anche quale giudice d’appello –, Ivrea in grado di appello, Bolzano e Napoli), formatasi anche specificamente nei confronti di FASTWEB S.p.A. e degli altri operatori del settore. </w:t>
      </w:r>
    </w:p>
    <w:p w14:paraId="62256344" w14:textId="77777777" w:rsidR="005F08AF" w:rsidRPr="007D22BC" w:rsidRDefault="005F08AF" w:rsidP="005F08AF">
      <w:pPr>
        <w:spacing w:line="360" w:lineRule="auto"/>
        <w:ind w:firstLine="567"/>
        <w:jc w:val="both"/>
        <w:rPr>
          <w:u w:val="single"/>
        </w:rPr>
      </w:pPr>
      <w:r w:rsidRPr="008E7828">
        <w:t xml:space="preserve">Alla luce dell’interpretazione della Corte Suprema della normativa nazionale va anche </w:t>
      </w:r>
      <w:r w:rsidRPr="00357A26">
        <w:rPr>
          <w:b/>
          <w:bCs/>
          <w:u w:val="single"/>
        </w:rPr>
        <w:t xml:space="preserve">disapplicato il regolamento comunale nella parte i cui, secondo la ricostruzione di controparte, si pone in contrasto con la corretta intepretazione della legge fornita in sede di legittimità </w:t>
      </w:r>
      <w:r>
        <w:t xml:space="preserve">dalle </w:t>
      </w:r>
      <w:r w:rsidRPr="00CC6FD0">
        <w:rPr>
          <w:b/>
          <w:bCs/>
        </w:rPr>
        <w:t>Sezioni Unite</w:t>
      </w:r>
      <w:r w:rsidRPr="007D22BC">
        <w:rPr>
          <w:u w:val="single"/>
        </w:rPr>
        <w:t xml:space="preserve"> che </w:t>
      </w:r>
      <w:r w:rsidRPr="00CC6FD0">
        <w:rPr>
          <w:b/>
          <w:bCs/>
          <w:u w:val="single"/>
        </w:rPr>
        <w:t>hanno ben chiarito che</w:t>
      </w:r>
      <w:r w:rsidRPr="007D22BC">
        <w:rPr>
          <w:u w:val="single"/>
        </w:rPr>
        <w:t xml:space="preserve"> “</w:t>
      </w:r>
      <w:r w:rsidRPr="007D22BC">
        <w:rPr>
          <w:i/>
          <w:iCs/>
          <w:u w:val="single"/>
        </w:rPr>
        <w:t xml:space="preserve">….. il rilascio dell'autorizzazione e della concessione - neppure sempre presente per la generalità degli obbligati - non è qualificabile come corrispettivo contrattuale a carico dell'ente locale. Pertanto, anche per l'occupazione di beni pubblici non sussiste un rapporto sinallagmatico tra provvedimento dell'ente e pagamento del canone: la concessione rileva ai soli fini procedimentali in quanto scandisce la tempistica del pagamento delle somme dovute, ma non condiziona l'insorgere dell'obbligo, obbligo </w:t>
      </w:r>
      <w:r w:rsidRPr="007D22BC">
        <w:rPr>
          <w:i/>
          <w:iCs/>
          <w:u w:val="single"/>
        </w:rPr>
        <w:lastRenderedPageBreak/>
        <w:t>che sussiste anche in caso di occupazione abusiva e,comunque, prescinde dal rilascio del titolo.</w:t>
      </w:r>
    </w:p>
    <w:p w14:paraId="4F5E1074" w14:textId="0A11C3D1" w:rsidR="005F08AF" w:rsidRPr="007D22BC" w:rsidRDefault="005F08AF" w:rsidP="005F08AF">
      <w:pPr>
        <w:spacing w:line="360" w:lineRule="auto"/>
        <w:ind w:firstLine="567"/>
        <w:jc w:val="both"/>
        <w:rPr>
          <w:u w:val="single"/>
        </w:rPr>
      </w:pPr>
      <w:r w:rsidRPr="007D22BC">
        <w:rPr>
          <w:u w:val="single"/>
        </w:rPr>
        <w:t>Per poi proseguire</w:t>
      </w:r>
      <w:r w:rsidRPr="007D22BC">
        <w:rPr>
          <w:i/>
          <w:iCs/>
          <w:u w:val="single"/>
        </w:rPr>
        <w:t xml:space="preserve"> “… il Cup viene pagato in ragione dell’utilità che il privato ritrae dall’occupazione e non per il rilascio di un provvedimento concessorio. La disciplina non richiede più il rilascio della concessione ed eleva a soggetti obbligati anche coloro che occupano il bene in via solo mediata (comma 831) sicché il presupposto si realizza non più con il (solo) soggetto titolare del provvedimento di concessione ma anche rispetto a terzi utilizzatori dell’impianto”</w:t>
      </w:r>
      <w:r w:rsidRPr="007D22BC">
        <w:rPr>
          <w:u w:val="single"/>
        </w:rPr>
        <w:t xml:space="preserve"> </w:t>
      </w:r>
      <w:r w:rsidRPr="007D22BC">
        <w:rPr>
          <w:b/>
          <w:bCs/>
          <w:u w:val="single"/>
        </w:rPr>
        <w:t>(cfr. Cassazione Sez. Unite n.12225</w:t>
      </w:r>
      <w:r w:rsidR="00072114">
        <w:rPr>
          <w:b/>
          <w:bCs/>
          <w:u w:val="single"/>
        </w:rPr>
        <w:t xml:space="preserve"> </w:t>
      </w:r>
      <w:r w:rsidRPr="007D22BC">
        <w:rPr>
          <w:b/>
          <w:bCs/>
          <w:u w:val="single"/>
        </w:rPr>
        <w:t>del 01.05.2026</w:t>
      </w:r>
      <w:r>
        <w:rPr>
          <w:b/>
          <w:bCs/>
          <w:u w:val="single"/>
        </w:rPr>
        <w:t xml:space="preserve"> (doc. 1</w:t>
      </w:r>
      <w:r w:rsidR="002450EC">
        <w:rPr>
          <w:b/>
          <w:bCs/>
          <w:u w:val="single"/>
        </w:rPr>
        <w:t>6</w:t>
      </w:r>
      <w:r>
        <w:rPr>
          <w:b/>
          <w:bCs/>
          <w:u w:val="single"/>
        </w:rPr>
        <w:t>)</w:t>
      </w:r>
      <w:r w:rsidRPr="007D22BC">
        <w:rPr>
          <w:u w:val="single"/>
        </w:rPr>
        <w:t xml:space="preserve">. </w:t>
      </w:r>
    </w:p>
    <w:p w14:paraId="7D0EA43A" w14:textId="66E32AA9" w:rsidR="00694907" w:rsidRDefault="00310958">
      <w:pPr>
        <w:spacing w:line="360" w:lineRule="auto"/>
        <w:ind w:firstLine="567"/>
        <w:jc w:val="both"/>
      </w:pPr>
      <w:r>
        <w:t>Il motivo va pertanto rigettato.</w:t>
      </w:r>
    </w:p>
    <w:p w14:paraId="35BF2D39" w14:textId="49D5505D" w:rsidR="00694907" w:rsidRDefault="00310958" w:rsidP="002B1367">
      <w:pPr>
        <w:spacing w:before="240" w:after="120" w:line="360" w:lineRule="auto"/>
        <w:ind w:firstLine="567"/>
        <w:jc w:val="both"/>
      </w:pPr>
      <w:r>
        <w:rPr>
          <w:b/>
          <w:bCs/>
        </w:rPr>
        <w:t xml:space="preserve">VI) Sul sesto motivo: </w:t>
      </w:r>
      <w:r w:rsidR="002B1367">
        <w:rPr>
          <w:b/>
          <w:bCs/>
        </w:rPr>
        <w:t>Pretsa i</w:t>
      </w:r>
      <w:r>
        <w:rPr>
          <w:b/>
          <w:bCs/>
        </w:rPr>
        <w:t>llegittimità del calcolo induttivo basato su dati AGCOM e difetto di motivazione sul procedimento di calcolo</w:t>
      </w:r>
      <w:r>
        <w:rPr>
          <w:b/>
          <w:bCs/>
        </w:rPr>
        <w:t xml:space="preserve">. </w:t>
      </w:r>
    </w:p>
    <w:p w14:paraId="76529685" w14:textId="77777777" w:rsidR="002B1367" w:rsidRDefault="00310958">
      <w:pPr>
        <w:spacing w:line="360" w:lineRule="auto"/>
        <w:ind w:firstLine="567"/>
        <w:jc w:val="both"/>
      </w:pPr>
      <w:r>
        <w:t xml:space="preserve">Anche </w:t>
      </w:r>
      <w:r w:rsidR="002B1367">
        <w:t xml:space="preserve">il sesto </w:t>
      </w:r>
      <w:r>
        <w:t xml:space="preserve">motivo </w:t>
      </w:r>
      <w:r w:rsidR="002B1367">
        <w:t>merita rigetto.</w:t>
      </w:r>
    </w:p>
    <w:p w14:paraId="00F3C137" w14:textId="77777777" w:rsidR="002B1367" w:rsidRDefault="00310958">
      <w:pPr>
        <w:spacing w:line="360" w:lineRule="auto"/>
        <w:ind w:firstLine="567"/>
        <w:jc w:val="both"/>
      </w:pPr>
      <w:r>
        <w:t xml:space="preserve">Va anzitutto rimarcato un dato che priva la censura di gran parte della sua stessa consistenza: </w:t>
      </w:r>
      <w:r w:rsidRPr="002B1367">
        <w:rPr>
          <w:u w:val="single"/>
        </w:rPr>
        <w:t xml:space="preserve">il Comune non ha operato alcuna complessa ricostruzione induttiva del numero delle utenze, ma si è limitato ad applicare la </w:t>
      </w:r>
      <w:r w:rsidRPr="002B1367">
        <w:rPr>
          <w:b/>
          <w:bCs/>
          <w:u w:val="single"/>
        </w:rPr>
        <w:t>misura minima del Canone stabilita direttamente dal legislatore</w:t>
      </w:r>
      <w:r w:rsidRPr="002B1367">
        <w:rPr>
          <w:u w:val="single"/>
        </w:rPr>
        <w:t xml:space="preserve"> – euro 800,00 annui, con il solo adeguamento agli indici ISTAT previsto dalla medesima disposizione – ai sensi dell’art. 1, comma 831, della L. n. 160/2019</w:t>
      </w:r>
      <w:r>
        <w:t xml:space="preserve">. </w:t>
      </w:r>
    </w:p>
    <w:p w14:paraId="0236A99F" w14:textId="29D9C386" w:rsidR="00694907" w:rsidRDefault="002B1367">
      <w:pPr>
        <w:spacing w:line="360" w:lineRule="auto"/>
        <w:ind w:firstLine="567"/>
        <w:jc w:val="both"/>
      </w:pPr>
      <w:r>
        <w:t xml:space="preserve">D’altra parte, </w:t>
      </w:r>
      <w:r w:rsidR="00310958">
        <w:t>le tariffe unitarie di riferimento per ciascuna annualità erano state peraltro già comunicate alla società con la richiesta trasmessa in fase precontenziosa (doc. 3).</w:t>
      </w:r>
    </w:p>
    <w:p w14:paraId="0615D7F0" w14:textId="77777777" w:rsidR="00694907" w:rsidRPr="002B1367" w:rsidRDefault="00310958">
      <w:pPr>
        <w:spacing w:line="360" w:lineRule="auto"/>
        <w:ind w:firstLine="567"/>
        <w:jc w:val="both"/>
        <w:rPr>
          <w:b/>
          <w:bCs/>
          <w:u w:val="single"/>
        </w:rPr>
      </w:pPr>
      <w:r>
        <w:t xml:space="preserve">In tale contesto, i dati della popolazione residente e quelli dell’Osservatorio sulle Comunicazioni pubblicato trimestralmente da AGCOM – fonte pubblica, ufficiale e liberamente accessibile – sono stati utilizzati non già per quantificare il canone, bensì unicamente per riscontrare la presenza di utenze attive della società nel territorio comunale e, quindi, la sua soggettività passiva per la sola quota fissa: </w:t>
      </w:r>
      <w:r w:rsidRPr="002B1367">
        <w:rPr>
          <w:b/>
          <w:bCs/>
          <w:u w:val="single"/>
        </w:rPr>
        <w:t>presenza che la stessa ricorrente, del resto, conferma, là dove ammette di servire la clientela del Comune avvalendosi delle infrastrutture dell’operatore concessionario.</w:t>
      </w:r>
    </w:p>
    <w:p w14:paraId="0F09B4E3" w14:textId="77777777" w:rsidR="00694907" w:rsidRDefault="00310958">
      <w:pPr>
        <w:spacing w:line="360" w:lineRule="auto"/>
        <w:ind w:firstLine="567"/>
        <w:jc w:val="both"/>
      </w:pPr>
      <w:r>
        <w:t>Il ricorso a criteri presuntivi è, in ogni caso, pienamente legittimo a fronte dell’omessa dichiarazione delle utenze attive da parte della società, che non ha fornito alcun riscontro alla richiesta trasmessale in fase precontenziosa (doc. 3) e che neppure in giudizio ha indicato il numero delle utenze servite nel territorio comunale, essendosi limitata a negare in radice la propria soggettività passiva.</w:t>
      </w:r>
    </w:p>
    <w:p w14:paraId="026D1067" w14:textId="77777777" w:rsidR="0054560C" w:rsidRDefault="0054560C" w:rsidP="0054560C">
      <w:pPr>
        <w:spacing w:line="360" w:lineRule="auto"/>
        <w:ind w:firstLine="708"/>
        <w:jc w:val="both"/>
      </w:pPr>
      <w:r>
        <w:lastRenderedPageBreak/>
        <w:t xml:space="preserve">La piena legittimità di tale modalità ricostruttiva è stata di recente affermata dal Tribunale di Napoli con la citata sentenza n. 5948 del 13.04.2026 (doc. 9), resa nei confronti di Wind Tre, secondo cui </w:t>
      </w:r>
      <w:r>
        <w:rPr>
          <w:i/>
          <w:iCs/>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t>.</w:t>
      </w:r>
    </w:p>
    <w:p w14:paraId="1B757B41" w14:textId="77777777" w:rsidR="00A709BB" w:rsidRDefault="00310958">
      <w:pPr>
        <w:spacing w:line="360" w:lineRule="auto"/>
        <w:ind w:firstLine="567"/>
        <w:jc w:val="both"/>
      </w:pPr>
      <w:r>
        <w:t xml:space="preserve">Va, infine, evidenziato un dato dirimente: per le annualità dal 2021 al 2024 la società non ha eseguito alcun versamento, neppure nella misura minima stabilita dalla legge. </w:t>
      </w:r>
    </w:p>
    <w:p w14:paraId="2D1AE427" w14:textId="71350E60" w:rsidR="00694907" w:rsidRDefault="00310958">
      <w:pPr>
        <w:spacing w:line="360" w:lineRule="auto"/>
        <w:ind w:firstLine="567"/>
        <w:jc w:val="both"/>
      </w:pPr>
      <w:r>
        <w:t>L’obbligo di versamento del canone, alla scadenza del 30 aprile di ciascun anno, grava sul soggetto passivo indipendentemente da qualsivoglia sollecitazione dell’Ente, sicché la società ben avrebbe potuto e dovuto attivarsi tempestivamente per il pagamento, permanendo integro il potere-dovere dell’Ente di accertare e riscuotere quanto dovuto, con applicazione delle sanzioni e degli interessi di legge.</w:t>
      </w:r>
    </w:p>
    <w:p w14:paraId="7BAF7E4F" w14:textId="4CC2D6DC" w:rsidR="00694907" w:rsidRDefault="00310958" w:rsidP="00A709BB">
      <w:pPr>
        <w:spacing w:before="240" w:after="120" w:line="360" w:lineRule="auto"/>
        <w:ind w:firstLine="567"/>
        <w:jc w:val="both"/>
      </w:pPr>
      <w:r>
        <w:rPr>
          <w:b/>
          <w:bCs/>
        </w:rPr>
        <w:t xml:space="preserve">VII) Sul settimo motivo: </w:t>
      </w:r>
      <w:r w:rsidR="0095322D">
        <w:rPr>
          <w:b/>
          <w:bCs/>
        </w:rPr>
        <w:t>Pretsa i</w:t>
      </w:r>
      <w:r>
        <w:rPr>
          <w:b/>
          <w:bCs/>
        </w:rPr>
        <w:t>llegittimità delle sanzioni, difetto di motivazione ex art. 7 Legge 212/2000</w:t>
      </w:r>
      <w:r>
        <w:rPr>
          <w:b/>
          <w:bCs/>
        </w:rPr>
        <w:t>.</w:t>
      </w:r>
    </w:p>
    <w:p w14:paraId="0D404F5D" w14:textId="77777777" w:rsidR="0095322D" w:rsidRDefault="00310958">
      <w:pPr>
        <w:spacing w:line="360" w:lineRule="auto"/>
        <w:ind w:firstLine="567"/>
        <w:jc w:val="both"/>
      </w:pPr>
      <w:r>
        <w:t xml:space="preserve">Anche l’ultimo motivo è infondato. </w:t>
      </w:r>
    </w:p>
    <w:p w14:paraId="168D88AC" w14:textId="69B9856B" w:rsidR="00694907" w:rsidRDefault="00310958">
      <w:pPr>
        <w:spacing w:line="360" w:lineRule="auto"/>
        <w:ind w:firstLine="567"/>
        <w:jc w:val="both"/>
      </w:pPr>
      <w:r>
        <w:t xml:space="preserve">L’avviso impugnato individua con precisione la violazione contestata – </w:t>
      </w:r>
      <w:r w:rsidRPr="00A818C5">
        <w:rPr>
          <w:b/>
          <w:bCs/>
        </w:rPr>
        <w:t>l’omesso versamento del Canone dovuto</w:t>
      </w:r>
      <w:r>
        <w:t>, alla scadenza del 30 aprile di ciascun anno, per le annualità dal 2021 al 2024 –, la norma sanzionatoria applicata (art. 44 del Regolamento comunale, adottato in attuazione dell’art. 1, comma 821, lett. h, della L. n. 160/2019 e in ossequio al principio generale di cui all’art. 50 della L. n. 449/1997), la misura della sanzione (30% del canone non versato) e la relativa base di calcolo. Il contribuente è stato quindi posto in condizione di conoscere natura, causa ed entità della sanzione irrogata, come di</w:t>
      </w:r>
      <w:r>
        <w:t>mostrano le stesse puntuali contestazioni svolte nel ricorso: nessun difetto di motivazione è, pertanto, ravvisabile.</w:t>
      </w:r>
    </w:p>
    <w:p w14:paraId="39B3266D" w14:textId="77777777" w:rsidR="0095322D" w:rsidRDefault="00310958">
      <w:pPr>
        <w:spacing w:line="360" w:lineRule="auto"/>
        <w:ind w:firstLine="567"/>
        <w:jc w:val="both"/>
      </w:pPr>
      <w:r>
        <w:t xml:space="preserve">Quanto alla pretesa sussistenza di obiettive condizioni di incertezza normativa, idonee a escludere la punibilità ai sensi dell’art. 10, comma 3, della L. n. 212/2000 e dell’art. 6, comma 2, del D.Lgs. n. 472/1997, l’eccezione non ha pregio. </w:t>
      </w:r>
    </w:p>
    <w:p w14:paraId="3628EF2F" w14:textId="77777777" w:rsidR="0095322D" w:rsidRDefault="00310958">
      <w:pPr>
        <w:spacing w:line="360" w:lineRule="auto"/>
        <w:ind w:firstLine="567"/>
        <w:jc w:val="both"/>
      </w:pPr>
      <w:r>
        <w:t xml:space="preserve">Il dato normativo è univoco: l’art. 1, comma 831, della L. n. 160/2019, nel testo riscritto dalla L. n. 178/2020, individua espressamente tra i soggetti passivi coloro che occupano il suolo pubblico “anche in via mediata”, e la norma di interpretazione autentica di cui all’art. 5, comma 14-quinquies, del D.L. n. 146/2021 è riferibile – per </w:t>
      </w:r>
      <w:r>
        <w:lastRenderedPageBreak/>
        <w:t xml:space="preserve">le ragioni esposte al superiore motivo IV – ai soli settori in cui la separazione tra distribuzione e vendita è imposta dall’ordinamento. </w:t>
      </w:r>
    </w:p>
    <w:p w14:paraId="5CF37AA3" w14:textId="22069B2D" w:rsidR="00694907" w:rsidRDefault="0095322D">
      <w:pPr>
        <w:spacing w:line="360" w:lineRule="auto"/>
        <w:ind w:firstLine="567"/>
        <w:jc w:val="both"/>
      </w:pPr>
      <w:r>
        <w:t>La</w:t>
      </w:r>
      <w:r w:rsidR="00310958">
        <w:t>a scelta della società di astenersi dal dichiarare e dal versare è stata una scelta consapevole, assunta a proprio rischio.</w:t>
      </w:r>
    </w:p>
    <w:p w14:paraId="03B49742" w14:textId="0B3EFF6C" w:rsidR="00694907" w:rsidRDefault="00310958">
      <w:pPr>
        <w:spacing w:line="360" w:lineRule="auto"/>
        <w:ind w:firstLine="567"/>
        <w:jc w:val="both"/>
      </w:pPr>
      <w:r w:rsidRPr="00A818C5">
        <w:rPr>
          <w:b/>
          <w:bCs/>
        </w:rPr>
        <w:t xml:space="preserve">La sanzione, </w:t>
      </w:r>
      <w:r w:rsidR="001A15C6">
        <w:rPr>
          <w:b/>
          <w:bCs/>
        </w:rPr>
        <w:t>pertanto</w:t>
      </w:r>
      <w:r w:rsidRPr="00A818C5">
        <w:rPr>
          <w:b/>
          <w:bCs/>
        </w:rPr>
        <w:t>, è stata applicata nella misura fissa del 30% del canone non versato, prevista in via generale e astratta dal Regolamento comunale per tutti i casi di omesso versamento,</w:t>
      </w:r>
      <w:r>
        <w:t xml:space="preserve"> senza alcun margine di discrezionalità in capo all’Ufficio: nessuna violazione dei principi di proporzionalità e di buona fede è, dunque, configurabile.</w:t>
      </w:r>
    </w:p>
    <w:p w14:paraId="421B82DD" w14:textId="77777777" w:rsidR="00694907" w:rsidRDefault="00310958">
      <w:pPr>
        <w:spacing w:line="360" w:lineRule="auto"/>
        <w:ind w:firstLine="567"/>
        <w:jc w:val="both"/>
      </w:pPr>
      <w:r>
        <w:t>Il motivo va, pertanto, rigettato.</w:t>
      </w:r>
    </w:p>
    <w:p w14:paraId="3478217E" w14:textId="77777777" w:rsidR="00075369" w:rsidRDefault="00297AFD" w:rsidP="00864A21">
      <w:pPr>
        <w:spacing w:line="360" w:lineRule="auto"/>
        <w:ind w:firstLine="567"/>
        <w:jc w:val="both"/>
      </w:pPr>
      <w:r>
        <w:rPr>
          <w:b/>
          <w:bCs/>
        </w:rPr>
        <w:t>Il ricorso è infondato e va rigettato.</w:t>
      </w:r>
    </w:p>
    <w:p w14:paraId="7FA9A401" w14:textId="77777777" w:rsidR="00075369" w:rsidRDefault="00310958" w:rsidP="00864A21">
      <w:pPr>
        <w:spacing w:before="120" w:after="120" w:line="360" w:lineRule="auto"/>
        <w:jc w:val="center"/>
      </w:pPr>
      <w:r>
        <w:t>* * *</w:t>
      </w:r>
    </w:p>
    <w:p w14:paraId="2A05B446" w14:textId="48A894AB" w:rsidR="00075369" w:rsidRDefault="00310958" w:rsidP="00864A21">
      <w:pPr>
        <w:spacing w:line="360" w:lineRule="auto"/>
        <w:ind w:firstLine="567"/>
        <w:jc w:val="both"/>
      </w:pPr>
      <w:r>
        <w:t xml:space="preserve">Per tutto quanto sopra esposto, il Comune di Castelsaraceno, in persona del Sindaco e legale rappresentante pro tempore, come in epigrafe rappresentato e domiciliato, </w:t>
      </w:r>
    </w:p>
    <w:p w14:paraId="37E1A949" w14:textId="77777777" w:rsidR="00075369" w:rsidRDefault="00310958" w:rsidP="00864A21">
      <w:pPr>
        <w:spacing w:before="60" w:after="60" w:line="360" w:lineRule="auto"/>
        <w:jc w:val="center"/>
      </w:pPr>
      <w:r>
        <w:rPr>
          <w:b/>
          <w:bCs/>
        </w:rPr>
        <w:t>conclude</w:t>
      </w:r>
    </w:p>
    <w:p w14:paraId="672836C6" w14:textId="77777777" w:rsidR="00075369" w:rsidRDefault="00310958" w:rsidP="00864A21">
      <w:pPr>
        <w:spacing w:line="360" w:lineRule="auto"/>
        <w:ind w:firstLine="567"/>
        <w:jc w:val="both"/>
      </w:pPr>
      <w:r>
        <w:t>affinché l’Ill.ma Corte di Giustizia Tributaria di Primo Grado di Potenza, disattesa ogni contraria istanza ed eccezione, voglia:</w:t>
      </w:r>
    </w:p>
    <w:p w14:paraId="0CCA414B" w14:textId="77777777" w:rsidR="00075369" w:rsidRDefault="00310958" w:rsidP="00864A21">
      <w:pPr>
        <w:spacing w:line="360" w:lineRule="auto"/>
        <w:ind w:firstLine="567"/>
        <w:jc w:val="both"/>
      </w:pPr>
      <w:r>
        <w:rPr>
          <w:b/>
          <w:bCs/>
        </w:rPr>
        <w:t>rigettare il ricorso proposto</w:t>
      </w:r>
      <w:r>
        <w:t>, confermando la legittimità della pretesa dell’Ente con ogni conseguenziale statuizione di legge.</w:t>
      </w:r>
    </w:p>
    <w:p w14:paraId="5E4D0C78" w14:textId="77777777" w:rsidR="00075369" w:rsidRDefault="00310958" w:rsidP="00864A21">
      <w:pPr>
        <w:spacing w:line="360" w:lineRule="auto"/>
        <w:ind w:firstLine="567"/>
        <w:jc w:val="both"/>
      </w:pPr>
      <w:r>
        <w:t>Con vittoria di spese e competenze di giudizio.</w:t>
      </w:r>
    </w:p>
    <w:p w14:paraId="4CE44656" w14:textId="77777777" w:rsidR="00075369" w:rsidRPr="0095322D" w:rsidRDefault="00310958" w:rsidP="00864A21">
      <w:pPr>
        <w:spacing w:before="60" w:line="360" w:lineRule="auto"/>
        <w:ind w:firstLine="567"/>
        <w:jc w:val="both"/>
        <w:rPr>
          <w:b/>
          <w:bCs/>
        </w:rPr>
      </w:pPr>
      <w:r w:rsidRPr="0095322D">
        <w:rPr>
          <w:b/>
          <w:bCs/>
        </w:rPr>
        <w:t>Si chiede di essere autorizzati alla trattazione della controversia con collegamento da remoto.</w:t>
      </w:r>
    </w:p>
    <w:p w14:paraId="6C6B3CE9" w14:textId="77777777" w:rsidR="00075369" w:rsidRDefault="00310958" w:rsidP="00864A21">
      <w:pPr>
        <w:spacing w:before="40" w:line="360" w:lineRule="auto"/>
        <w:ind w:firstLine="567"/>
        <w:jc w:val="both"/>
      </w:pPr>
      <w:r>
        <w:t>Con ogni riserva.</w:t>
      </w:r>
    </w:p>
    <w:p w14:paraId="690CB785" w14:textId="77777777" w:rsidR="00740A4B" w:rsidRPr="00741779" w:rsidRDefault="00310958" w:rsidP="00741779">
      <w:pPr>
        <w:spacing w:before="120" w:after="120" w:line="360" w:lineRule="auto"/>
        <w:jc w:val="center"/>
      </w:pPr>
      <w:r>
        <w:t>* * *</w:t>
      </w:r>
    </w:p>
    <w:p w14:paraId="27E95357" w14:textId="77777777" w:rsidR="00075369" w:rsidRDefault="00310958" w:rsidP="003B1A28">
      <w:pPr>
        <w:spacing w:before="240" w:after="120" w:line="360" w:lineRule="auto"/>
        <w:jc w:val="center"/>
      </w:pPr>
      <w:r>
        <w:rPr>
          <w:b/>
          <w:bCs/>
        </w:rPr>
        <w:t>Attestazione conformità degli atti depositati</w:t>
      </w:r>
    </w:p>
    <w:p w14:paraId="3D2F0B45" w14:textId="77777777" w:rsidR="00075369" w:rsidRDefault="00310958" w:rsidP="00864A21">
      <w:pPr>
        <w:spacing w:line="360" w:lineRule="auto"/>
        <w:jc w:val="both"/>
      </w:pPr>
      <w:r>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50D027AA" w14:textId="77777777" w:rsidR="00075369" w:rsidRDefault="00310958" w:rsidP="00864A21">
      <w:pPr>
        <w:spacing w:line="360" w:lineRule="auto"/>
        <w:jc w:val="both"/>
      </w:pPr>
      <w:r>
        <w:rPr>
          <w:b/>
          <w:bCs/>
        </w:rPr>
        <w:t xml:space="preserve">Doc. A – </w:t>
      </w:r>
      <w:r>
        <w:t>Ricorso di FASTWEB S.p.A., quale incorporante di VODAFONE ITALIA S.p.A. (atto introduttivo del giudizio)</w:t>
      </w:r>
    </w:p>
    <w:p w14:paraId="5C8E772D" w14:textId="77777777" w:rsidR="00075369" w:rsidRDefault="00310958" w:rsidP="00864A21">
      <w:pPr>
        <w:spacing w:line="360" w:lineRule="auto"/>
        <w:jc w:val="both"/>
      </w:pPr>
      <w:r>
        <w:rPr>
          <w:b/>
          <w:bCs/>
        </w:rPr>
        <w:t xml:space="preserve">Doc. B – </w:t>
      </w:r>
      <w:r>
        <w:t>Delibera di Costituzione in giudizio del Comune di Castelsaraceno</w:t>
      </w:r>
    </w:p>
    <w:p w14:paraId="607EF20E" w14:textId="77777777" w:rsidR="00694907" w:rsidRDefault="00310958">
      <w:pPr>
        <w:spacing w:line="360" w:lineRule="auto"/>
        <w:jc w:val="both"/>
      </w:pPr>
      <w:r>
        <w:lastRenderedPageBreak/>
        <w:t>Doc. 1 – Regolamento CUP (Delibera C.C. n. 14 del 30.04.2021)</w:t>
      </w:r>
    </w:p>
    <w:p w14:paraId="0118F4D5" w14:textId="77777777" w:rsidR="00694907" w:rsidRDefault="00310958">
      <w:pPr>
        <w:spacing w:line="360" w:lineRule="auto"/>
        <w:jc w:val="both"/>
      </w:pPr>
      <w:r>
        <w:t>Doc. 2 – Determinazione di affidamento servizio di supporto ad Archivia Solution S.p.A. R.G. n. 413 del 24.11.2025</w:t>
      </w:r>
    </w:p>
    <w:p w14:paraId="35753884" w14:textId="77777777" w:rsidR="00694907" w:rsidRDefault="00310958">
      <w:pPr>
        <w:spacing w:line="360" w:lineRule="auto"/>
        <w:jc w:val="both"/>
      </w:pPr>
      <w:r>
        <w:t>Doc. 3 – Richiesta di dichiarazione utenze dell’8 gennaio 2026 (Archivia Solution S.p.A.), con ricevute di accettazione e consegna PEC</w:t>
      </w:r>
    </w:p>
    <w:p w14:paraId="6D05EF13" w14:textId="77777777" w:rsidR="00694907" w:rsidRDefault="00310958">
      <w:pPr>
        <w:spacing w:line="360" w:lineRule="auto"/>
        <w:jc w:val="both"/>
      </w:pPr>
      <w:r>
        <w:t>Doc. 4 – Avviso di Accertamento Esecutivo n. 4 del 24.03.2026 (FASTWEB S.p.A. quale incorporante di VODAFONE ITALIA S.p.A.)</w:t>
      </w:r>
    </w:p>
    <w:p w14:paraId="17B1B061" w14:textId="77777777" w:rsidR="00694907" w:rsidRDefault="00310958">
      <w:pPr>
        <w:spacing w:line="360" w:lineRule="auto"/>
        <w:jc w:val="both"/>
      </w:pPr>
      <w:r>
        <w:t>Doc. 5 – Corte di Cassazione, Sez. III Civile, sentenza n. 11479 del 28.04.2026</w:t>
      </w:r>
    </w:p>
    <w:p w14:paraId="16C8321D" w14:textId="77777777" w:rsidR="00694907" w:rsidRDefault="00310958">
      <w:pPr>
        <w:spacing w:line="360" w:lineRule="auto"/>
        <w:jc w:val="both"/>
      </w:pPr>
      <w:r>
        <w:t>Doc. 6 – Circolare MEF n. 1/DF del 20.01.2009</w:t>
      </w:r>
    </w:p>
    <w:p w14:paraId="193730D8" w14:textId="77777777" w:rsidR="00694907" w:rsidRDefault="00310958">
      <w:pPr>
        <w:spacing w:line="360" w:lineRule="auto"/>
        <w:jc w:val="both"/>
      </w:pPr>
      <w:r>
        <w:t>Doc. 7 – Tribunale di Bergamo, sentenza n. 1523 del 25.11.2025</w:t>
      </w:r>
    </w:p>
    <w:p w14:paraId="75598BAF" w14:textId="77777777" w:rsidR="00694907" w:rsidRDefault="00310958">
      <w:pPr>
        <w:spacing w:line="360" w:lineRule="auto"/>
        <w:jc w:val="both"/>
      </w:pPr>
      <w:r>
        <w:t>Doc. 8 – Tribunale di Bergamo, sentenza n. 289 del 21.03.2026</w:t>
      </w:r>
    </w:p>
    <w:p w14:paraId="0750A1C7" w14:textId="77777777" w:rsidR="00694907" w:rsidRDefault="00310958">
      <w:pPr>
        <w:spacing w:line="360" w:lineRule="auto"/>
        <w:jc w:val="both"/>
      </w:pPr>
      <w:r>
        <w:t>Doc. 9 – Tribunale di Napoli, sentenza n. 5948 del 13.04.2026</w:t>
      </w:r>
    </w:p>
    <w:p w14:paraId="3B5B03AB" w14:textId="77777777" w:rsidR="00694907" w:rsidRDefault="00310958">
      <w:pPr>
        <w:spacing w:line="360" w:lineRule="auto"/>
        <w:jc w:val="both"/>
      </w:pPr>
      <w:r>
        <w:t>Doc. 10 – Tribunale di Treviso, sentenza n. 240/2025 del 20.02.2025 – appello</w:t>
      </w:r>
    </w:p>
    <w:p w14:paraId="2DA88FB0" w14:textId="77777777" w:rsidR="00694907" w:rsidRDefault="00310958">
      <w:pPr>
        <w:spacing w:line="360" w:lineRule="auto"/>
        <w:jc w:val="both"/>
      </w:pPr>
      <w:r>
        <w:t>Doc. 11 – Tribunale di Piacenza, sentenza n. 207 del 06.05.2025</w:t>
      </w:r>
    </w:p>
    <w:p w14:paraId="369D213D" w14:textId="77777777" w:rsidR="00694907" w:rsidRDefault="00310958">
      <w:pPr>
        <w:spacing w:line="360" w:lineRule="auto"/>
        <w:jc w:val="both"/>
      </w:pPr>
      <w:r>
        <w:t>Doc. 12 – Tribunale di Piacenza – II grado, sentenza n. 350 del 16.07.2025 (R.G. 1562/2024)</w:t>
      </w:r>
    </w:p>
    <w:p w14:paraId="4510F3E2" w14:textId="77777777" w:rsidR="00694907" w:rsidRDefault="00310958">
      <w:pPr>
        <w:spacing w:line="360" w:lineRule="auto"/>
        <w:jc w:val="both"/>
      </w:pPr>
      <w:r>
        <w:t>Doc. 13 – Tribunale di Ivrea – II grado, sentenza n. 1255 del 29.09.2025</w:t>
      </w:r>
    </w:p>
    <w:p w14:paraId="3668ECF5" w14:textId="77777777" w:rsidR="00694907" w:rsidRDefault="00310958">
      <w:pPr>
        <w:spacing w:line="360" w:lineRule="auto"/>
        <w:jc w:val="both"/>
      </w:pPr>
      <w:r>
        <w:t>Doc. 14 – Tribunale di Bolzano, sentenza n. 431 del 08.04.2024</w:t>
      </w:r>
    </w:p>
    <w:p w14:paraId="72575442" w14:textId="77777777" w:rsidR="00694907" w:rsidRDefault="00310958" w:rsidP="00072114">
      <w:pPr>
        <w:spacing w:line="360" w:lineRule="auto"/>
        <w:jc w:val="both"/>
      </w:pPr>
      <w:r>
        <w:t>Doc. 15 – Tribunale di Bolzano, sentenza n. 908/2025 del 15.10.2025</w:t>
      </w:r>
    </w:p>
    <w:p w14:paraId="1B485F57" w14:textId="1CEFADF2" w:rsidR="00741779" w:rsidRPr="00072114" w:rsidRDefault="005F08AF" w:rsidP="00072114">
      <w:pPr>
        <w:spacing w:line="360" w:lineRule="auto"/>
        <w:jc w:val="both"/>
      </w:pPr>
      <w:r>
        <w:t xml:space="preserve">Doc. 16 - </w:t>
      </w:r>
      <w:r w:rsidR="00072114" w:rsidRPr="00072114">
        <w:t>Cassazione Sez. Unite n.12225 del 01.05.2026</w:t>
      </w:r>
    </w:p>
    <w:p w14:paraId="02785FC4" w14:textId="276DEDF4" w:rsidR="005677E8" w:rsidRDefault="00310958" w:rsidP="001D1043">
      <w:pPr>
        <w:spacing w:before="200" w:line="360" w:lineRule="auto"/>
        <w:jc w:val="both"/>
      </w:pPr>
      <w:r>
        <w:t xml:space="preserve">Castelsaraceno – Salerno, lì </w:t>
      </w:r>
      <w:r w:rsidR="00072114">
        <w:t>21.07.2026</w:t>
      </w:r>
      <w:r>
        <w:tab/>
      </w:r>
      <w:r>
        <w:tab/>
      </w:r>
    </w:p>
    <w:p w14:paraId="5EFEA676" w14:textId="77777777" w:rsidR="00075369" w:rsidRDefault="00310958" w:rsidP="005677E8">
      <w:pPr>
        <w:spacing w:before="200" w:line="360" w:lineRule="auto"/>
        <w:jc w:val="right"/>
      </w:pPr>
      <w:r>
        <w:rPr>
          <w:b/>
          <w:bCs/>
        </w:rPr>
        <w:t>Avv. Maria Voccia De Felice</w:t>
      </w:r>
    </w:p>
    <w:sectPr w:rsidR="00075369" w:rsidSect="00B14910">
      <w:footerReference w:type="default" r:id="rId10"/>
      <w:pgSz w:w="11906" w:h="16838"/>
      <w:pgMar w:top="568"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7569" w14:textId="77777777" w:rsidR="00310958" w:rsidRDefault="00310958" w:rsidP="00A23562">
      <w:r>
        <w:separator/>
      </w:r>
    </w:p>
  </w:endnote>
  <w:endnote w:type="continuationSeparator" w:id="0">
    <w:p w14:paraId="661AC3D8" w14:textId="77777777" w:rsidR="00310958" w:rsidRDefault="00310958" w:rsidP="00A23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022206"/>
      <w:docPartObj>
        <w:docPartGallery w:val="Page Numbers (Bottom of Page)"/>
        <w:docPartUnique/>
      </w:docPartObj>
    </w:sdtPr>
    <w:sdtContent>
      <w:p w14:paraId="504C2219" w14:textId="66BECF90" w:rsidR="00A23562" w:rsidRDefault="00A23562">
        <w:pPr>
          <w:pStyle w:val="Pidipagina"/>
          <w:jc w:val="center"/>
        </w:pPr>
        <w:r>
          <w:fldChar w:fldCharType="begin"/>
        </w:r>
        <w:r>
          <w:instrText>PAGE   \* MERGEFORMAT</w:instrText>
        </w:r>
        <w:r>
          <w:fldChar w:fldCharType="separate"/>
        </w:r>
        <w:r>
          <w:t>2</w:t>
        </w:r>
        <w:r>
          <w:fldChar w:fldCharType="end"/>
        </w:r>
      </w:p>
    </w:sdtContent>
  </w:sdt>
  <w:p w14:paraId="02F46E63" w14:textId="77777777" w:rsidR="00A23562" w:rsidRDefault="00A2356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420C" w14:textId="77777777" w:rsidR="00310958" w:rsidRDefault="00310958" w:rsidP="00A23562">
      <w:r>
        <w:separator/>
      </w:r>
    </w:p>
  </w:footnote>
  <w:footnote w:type="continuationSeparator" w:id="0">
    <w:p w14:paraId="4CBC15AE" w14:textId="77777777" w:rsidR="00310958" w:rsidRDefault="00310958" w:rsidP="00A23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4D1D049B"/>
    <w:multiLevelType w:val="hybridMultilevel"/>
    <w:tmpl w:val="DA8237EC"/>
    <w:lvl w:ilvl="0" w:tplc="AE9625A0">
      <w:start w:val="1"/>
      <w:numFmt w:val="bullet"/>
      <w:lvlText w:val="●"/>
      <w:lvlJc w:val="left"/>
      <w:pPr>
        <w:ind w:left="720" w:hanging="360"/>
      </w:pPr>
    </w:lvl>
    <w:lvl w:ilvl="1" w:tplc="B4662E0E">
      <w:start w:val="1"/>
      <w:numFmt w:val="bullet"/>
      <w:lvlText w:val="○"/>
      <w:lvlJc w:val="left"/>
      <w:pPr>
        <w:ind w:left="1440" w:hanging="360"/>
      </w:pPr>
    </w:lvl>
    <w:lvl w:ilvl="2" w:tplc="321A6130">
      <w:start w:val="1"/>
      <w:numFmt w:val="bullet"/>
      <w:lvlText w:val="■"/>
      <w:lvlJc w:val="left"/>
      <w:pPr>
        <w:ind w:left="2160" w:hanging="360"/>
      </w:pPr>
    </w:lvl>
    <w:lvl w:ilvl="3" w:tplc="03F89F0E">
      <w:start w:val="1"/>
      <w:numFmt w:val="bullet"/>
      <w:lvlText w:val="●"/>
      <w:lvlJc w:val="left"/>
      <w:pPr>
        <w:ind w:left="2880" w:hanging="360"/>
      </w:pPr>
    </w:lvl>
    <w:lvl w:ilvl="4" w:tplc="80248D32">
      <w:start w:val="1"/>
      <w:numFmt w:val="bullet"/>
      <w:lvlText w:val="○"/>
      <w:lvlJc w:val="left"/>
      <w:pPr>
        <w:ind w:left="3600" w:hanging="360"/>
      </w:pPr>
    </w:lvl>
    <w:lvl w:ilvl="5" w:tplc="386E3024">
      <w:start w:val="1"/>
      <w:numFmt w:val="bullet"/>
      <w:lvlText w:val="■"/>
      <w:lvlJc w:val="left"/>
      <w:pPr>
        <w:ind w:left="4320" w:hanging="360"/>
      </w:pPr>
    </w:lvl>
    <w:lvl w:ilvl="6" w:tplc="248461F8">
      <w:start w:val="1"/>
      <w:numFmt w:val="bullet"/>
      <w:lvlText w:val="●"/>
      <w:lvlJc w:val="left"/>
      <w:pPr>
        <w:ind w:left="5040" w:hanging="360"/>
      </w:pPr>
    </w:lvl>
    <w:lvl w:ilvl="7" w:tplc="C6683E92">
      <w:start w:val="1"/>
      <w:numFmt w:val="bullet"/>
      <w:lvlText w:val="●"/>
      <w:lvlJc w:val="left"/>
      <w:pPr>
        <w:ind w:left="5760" w:hanging="360"/>
      </w:pPr>
    </w:lvl>
    <w:lvl w:ilvl="8" w:tplc="E076CE96">
      <w:start w:val="1"/>
      <w:numFmt w:val="bullet"/>
      <w:lvlText w:val="●"/>
      <w:lvlJc w:val="left"/>
      <w:pPr>
        <w:ind w:left="6480" w:hanging="360"/>
      </w:pPr>
    </w:lvl>
  </w:abstractNum>
  <w:num w:numId="1" w16cid:durableId="1542741392">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369"/>
    <w:rsid w:val="00044516"/>
    <w:rsid w:val="00070012"/>
    <w:rsid w:val="00072114"/>
    <w:rsid w:val="00075369"/>
    <w:rsid w:val="000A0488"/>
    <w:rsid w:val="000D6B4B"/>
    <w:rsid w:val="000F69E8"/>
    <w:rsid w:val="00112740"/>
    <w:rsid w:val="00137EBF"/>
    <w:rsid w:val="00176350"/>
    <w:rsid w:val="001A15C6"/>
    <w:rsid w:val="001D1043"/>
    <w:rsid w:val="00205CBA"/>
    <w:rsid w:val="002450EC"/>
    <w:rsid w:val="00297AFD"/>
    <w:rsid w:val="002B1367"/>
    <w:rsid w:val="002C263B"/>
    <w:rsid w:val="003015CF"/>
    <w:rsid w:val="00310958"/>
    <w:rsid w:val="00316FB2"/>
    <w:rsid w:val="00340E26"/>
    <w:rsid w:val="003608D2"/>
    <w:rsid w:val="003B1A28"/>
    <w:rsid w:val="003E41F9"/>
    <w:rsid w:val="003E4C05"/>
    <w:rsid w:val="003E7F32"/>
    <w:rsid w:val="0044435C"/>
    <w:rsid w:val="00462CC2"/>
    <w:rsid w:val="00493365"/>
    <w:rsid w:val="004C08E8"/>
    <w:rsid w:val="004F4ADF"/>
    <w:rsid w:val="005231B1"/>
    <w:rsid w:val="0054082B"/>
    <w:rsid w:val="0054560C"/>
    <w:rsid w:val="005578D5"/>
    <w:rsid w:val="005677E8"/>
    <w:rsid w:val="00571001"/>
    <w:rsid w:val="00574406"/>
    <w:rsid w:val="005F08AF"/>
    <w:rsid w:val="00617661"/>
    <w:rsid w:val="00694907"/>
    <w:rsid w:val="006E713F"/>
    <w:rsid w:val="007349B6"/>
    <w:rsid w:val="00740A4B"/>
    <w:rsid w:val="00741779"/>
    <w:rsid w:val="007709B9"/>
    <w:rsid w:val="00783092"/>
    <w:rsid w:val="00793A17"/>
    <w:rsid w:val="007B0B53"/>
    <w:rsid w:val="007E456C"/>
    <w:rsid w:val="007E79BC"/>
    <w:rsid w:val="00856D21"/>
    <w:rsid w:val="00864A21"/>
    <w:rsid w:val="008A77F1"/>
    <w:rsid w:val="00921431"/>
    <w:rsid w:val="0095322D"/>
    <w:rsid w:val="00953A43"/>
    <w:rsid w:val="009A3D0F"/>
    <w:rsid w:val="009C31BA"/>
    <w:rsid w:val="009C754A"/>
    <w:rsid w:val="009D309B"/>
    <w:rsid w:val="009D6E1F"/>
    <w:rsid w:val="009F4718"/>
    <w:rsid w:val="00A00692"/>
    <w:rsid w:val="00A23562"/>
    <w:rsid w:val="00A709BB"/>
    <w:rsid w:val="00A818C5"/>
    <w:rsid w:val="00A93CE2"/>
    <w:rsid w:val="00AD02DE"/>
    <w:rsid w:val="00AD5F6F"/>
    <w:rsid w:val="00B14910"/>
    <w:rsid w:val="00B64F11"/>
    <w:rsid w:val="00B7192C"/>
    <w:rsid w:val="00BC474E"/>
    <w:rsid w:val="00BE2202"/>
    <w:rsid w:val="00BE5F2C"/>
    <w:rsid w:val="00BF6D20"/>
    <w:rsid w:val="00C000A2"/>
    <w:rsid w:val="00C32134"/>
    <w:rsid w:val="00C37EE4"/>
    <w:rsid w:val="00C5788A"/>
    <w:rsid w:val="00C7021E"/>
    <w:rsid w:val="00C72154"/>
    <w:rsid w:val="00CB4724"/>
    <w:rsid w:val="00CE1E52"/>
    <w:rsid w:val="00CE4337"/>
    <w:rsid w:val="00D85B91"/>
    <w:rsid w:val="00DC75F2"/>
    <w:rsid w:val="00DE2C81"/>
    <w:rsid w:val="00E04136"/>
    <w:rsid w:val="00E10BAC"/>
    <w:rsid w:val="00E22F53"/>
    <w:rsid w:val="00E50AB7"/>
    <w:rsid w:val="00E5697E"/>
    <w:rsid w:val="00E76395"/>
    <w:rsid w:val="00EA749A"/>
    <w:rsid w:val="00EC0A7E"/>
    <w:rsid w:val="00EC53DE"/>
    <w:rsid w:val="00ED7A31"/>
    <w:rsid w:val="00F4102F"/>
    <w:rsid w:val="00F81A80"/>
    <w:rsid w:val="00FA553C"/>
    <w:rsid w:val="00FA7217"/>
    <w:rsid w:val="00FB2E69"/>
    <w:rsid w:val="00FE2B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F2EC"/>
  <w15:docId w15:val="{A50CF1BD-2959-0347-AC8E-3E612D3C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176350"/>
  </w:style>
  <w:style w:type="paragraph" w:styleId="Intestazione">
    <w:name w:val="header"/>
    <w:basedOn w:val="Normale"/>
    <w:link w:val="IntestazioneCarattere"/>
    <w:uiPriority w:val="99"/>
    <w:unhideWhenUsed/>
    <w:rsid w:val="00A23562"/>
    <w:pPr>
      <w:tabs>
        <w:tab w:val="center" w:pos="4819"/>
        <w:tab w:val="right" w:pos="9638"/>
      </w:tabs>
    </w:pPr>
  </w:style>
  <w:style w:type="character" w:customStyle="1" w:styleId="IntestazioneCarattere">
    <w:name w:val="Intestazione Carattere"/>
    <w:basedOn w:val="Carpredefinitoparagrafo"/>
    <w:link w:val="Intestazione"/>
    <w:uiPriority w:val="99"/>
    <w:rsid w:val="00A23562"/>
  </w:style>
  <w:style w:type="paragraph" w:styleId="Pidipagina">
    <w:name w:val="footer"/>
    <w:basedOn w:val="Normale"/>
    <w:link w:val="PidipaginaCarattere"/>
    <w:uiPriority w:val="99"/>
    <w:unhideWhenUsed/>
    <w:rsid w:val="00A23562"/>
    <w:pPr>
      <w:tabs>
        <w:tab w:val="center" w:pos="4819"/>
        <w:tab w:val="right" w:pos="9638"/>
      </w:tabs>
    </w:pPr>
  </w:style>
  <w:style w:type="character" w:customStyle="1" w:styleId="PidipaginaCarattere">
    <w:name w:val="Piè di pagina Carattere"/>
    <w:basedOn w:val="Carpredefinitoparagrafo"/>
    <w:link w:val="Pidipagina"/>
    <w:uiPriority w:val="99"/>
    <w:rsid w:val="00A2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55E9F-000E-2A43-B0B4-05627E5B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24</Pages>
  <Words>8731</Words>
  <Characters>49772</Characters>
  <Application>Microsoft Office Word</Application>
  <DocSecurity>0</DocSecurity>
  <Lines>414</Lines>
  <Paragraphs>116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11</cp:revision>
  <cp:lastPrinted>2026-07-21T18:09:00Z</cp:lastPrinted>
  <dcterms:created xsi:type="dcterms:W3CDTF">2026-07-03T14:23:00Z</dcterms:created>
  <dcterms:modified xsi:type="dcterms:W3CDTF">2026-07-21T18:10:00Z</dcterms:modified>
</cp:coreProperties>
</file>