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69A28" w14:textId="77777777" w:rsidR="00297929" w:rsidRPr="00286E13" w:rsidRDefault="003710A5" w:rsidP="00286E13">
      <w:pPr>
        <w:jc w:val="center"/>
        <w:rPr>
          <w:rFonts w:ascii="Arial" w:hAnsi="Arial" w:cs="Arial"/>
          <w:sz w:val="24"/>
          <w:szCs w:val="24"/>
        </w:rPr>
      </w:pPr>
      <w:r>
        <w:rPr>
          <w:rFonts w:ascii="Arial" w:hAnsi="Arial" w:cs="Arial"/>
          <w:b/>
          <w:bCs/>
          <w:sz w:val="24"/>
          <w:szCs w:val="24"/>
        </w:rPr>
        <w:t>Maria Voccia De Felice</w:t>
      </w:r>
    </w:p>
    <w:p w14:paraId="2574B9D0" w14:textId="77777777" w:rsidR="00297929" w:rsidRPr="00286E13" w:rsidRDefault="003710A5" w:rsidP="00286E13">
      <w:pPr>
        <w:jc w:val="center"/>
        <w:rPr>
          <w:rFonts w:ascii="Arial" w:hAnsi="Arial" w:cs="Arial"/>
          <w:sz w:val="24"/>
          <w:szCs w:val="24"/>
        </w:rPr>
      </w:pPr>
      <w:r>
        <w:rPr>
          <w:rFonts w:ascii="Arial" w:hAnsi="Arial" w:cs="Arial"/>
          <w:b/>
          <w:bCs/>
          <w:sz w:val="24"/>
          <w:szCs w:val="24"/>
        </w:rPr>
        <w:t>Avvocato</w:t>
      </w:r>
    </w:p>
    <w:p w14:paraId="0A092CC5" w14:textId="77777777" w:rsidR="00297929" w:rsidRPr="00286E13" w:rsidRDefault="003710A5" w:rsidP="00286E13">
      <w:pPr>
        <w:jc w:val="center"/>
        <w:rPr>
          <w:rFonts w:ascii="Arial" w:hAnsi="Arial" w:cs="Arial"/>
          <w:sz w:val="24"/>
          <w:szCs w:val="24"/>
        </w:rPr>
      </w:pPr>
      <w:r>
        <w:rPr>
          <w:rFonts w:ascii="Arial" w:hAnsi="Arial" w:cs="Arial"/>
          <w:b/>
          <w:bCs/>
          <w:sz w:val="24"/>
          <w:szCs w:val="24"/>
        </w:rPr>
        <w:t>Patrocinante in Cassazione</w:t>
      </w:r>
    </w:p>
    <w:p w14:paraId="1D072AA1" w14:textId="77777777" w:rsidR="00297929" w:rsidRPr="00286E13" w:rsidRDefault="003710A5" w:rsidP="00286E13">
      <w:pPr>
        <w:jc w:val="center"/>
        <w:rPr>
          <w:rFonts w:ascii="Arial" w:hAnsi="Arial" w:cs="Arial"/>
          <w:sz w:val="24"/>
          <w:szCs w:val="24"/>
        </w:rPr>
      </w:pPr>
      <w:r>
        <w:rPr>
          <w:rFonts w:ascii="Arial" w:hAnsi="Arial" w:cs="Arial"/>
          <w:b/>
          <w:bCs/>
          <w:sz w:val="24"/>
          <w:szCs w:val="24"/>
        </w:rPr>
        <w:t>Salerno - Via G. Vicinanza n. 42 – 84123</w:t>
      </w:r>
    </w:p>
    <w:p w14:paraId="36FB2AA5" w14:textId="77777777" w:rsidR="00297929" w:rsidRPr="00286E13" w:rsidRDefault="003710A5" w:rsidP="00286E13">
      <w:pPr>
        <w:spacing w:after="200"/>
        <w:jc w:val="center"/>
        <w:rPr>
          <w:rFonts w:ascii="Arial" w:hAnsi="Arial" w:cs="Arial"/>
          <w:sz w:val="24"/>
          <w:szCs w:val="24"/>
        </w:rPr>
      </w:pPr>
      <w:r>
        <w:rPr>
          <w:rFonts w:ascii="Arial" w:hAnsi="Arial" w:cs="Arial"/>
          <w:b/>
          <w:bCs/>
          <w:sz w:val="24"/>
          <w:szCs w:val="24"/>
        </w:rPr>
        <w:t>tel. 089237255 mobile 335 6329269</w:t>
      </w:r>
    </w:p>
    <w:p w14:paraId="5C9FD2B5" w14:textId="77777777" w:rsidR="00297929" w:rsidRDefault="003710A5" w:rsidP="00286E13">
      <w:pPr>
        <w:spacing w:after="200"/>
        <w:jc w:val="center"/>
        <w:rPr>
          <w:rFonts w:ascii="Arial" w:hAnsi="Arial" w:cs="Arial"/>
          <w:b/>
          <w:bCs/>
          <w:sz w:val="24"/>
          <w:szCs w:val="24"/>
        </w:rPr>
      </w:pPr>
      <w:r>
        <w:rPr>
          <w:rFonts w:ascii="Arial" w:hAnsi="Arial" w:cs="Arial"/>
          <w:b/>
          <w:bCs/>
          <w:sz w:val="24"/>
          <w:szCs w:val="24"/>
        </w:rPr>
        <w:t xml:space="preserve">mail: mvoccia@vocciaspa.com </w:t>
      </w:r>
      <w:proofErr w:type="spellStart"/>
      <w:r>
        <w:rPr>
          <w:rFonts w:ascii="Arial" w:hAnsi="Arial" w:cs="Arial"/>
          <w:b/>
          <w:bCs/>
          <w:sz w:val="24"/>
          <w:szCs w:val="24"/>
        </w:rPr>
        <w:t>pec</w:t>
      </w:r>
      <w:proofErr w:type="spellEnd"/>
      <w:r>
        <w:rPr>
          <w:rFonts w:ascii="Arial" w:hAnsi="Arial" w:cs="Arial"/>
          <w:b/>
          <w:bCs/>
          <w:sz w:val="24"/>
          <w:szCs w:val="24"/>
        </w:rPr>
        <w:t xml:space="preserve">: </w:t>
      </w:r>
      <w:hyperlink r:id="rId8" w:history="1">
        <w:r w:rsidR="00297929">
          <w:rPr>
            <w:rStyle w:val="Collegamentoipertestuale"/>
            <w:rFonts w:ascii="Arial" w:hAnsi="Arial" w:cs="Arial"/>
            <w:b/>
            <w:bCs/>
            <w:sz w:val="24"/>
            <w:szCs w:val="24"/>
          </w:rPr>
          <w:t>mvocciaordsa@pec.giuffre.it</w:t>
        </w:r>
      </w:hyperlink>
    </w:p>
    <w:p w14:paraId="4F191963" w14:textId="77777777" w:rsidR="00297929" w:rsidRPr="00286E13" w:rsidRDefault="00297929" w:rsidP="00286E13">
      <w:pPr>
        <w:spacing w:line="360" w:lineRule="auto"/>
        <w:rPr>
          <w:rFonts w:ascii="Arial" w:hAnsi="Arial" w:cs="Arial"/>
          <w:sz w:val="24"/>
          <w:szCs w:val="24"/>
        </w:rPr>
      </w:pPr>
    </w:p>
    <w:p w14:paraId="10EFD032" w14:textId="77777777" w:rsidR="00297929" w:rsidRPr="00286E13" w:rsidRDefault="003710A5" w:rsidP="00286E13">
      <w:pPr>
        <w:spacing w:line="360" w:lineRule="auto"/>
        <w:jc w:val="center"/>
        <w:rPr>
          <w:rFonts w:ascii="Arial" w:hAnsi="Arial" w:cs="Arial"/>
          <w:sz w:val="24"/>
          <w:szCs w:val="24"/>
        </w:rPr>
      </w:pPr>
      <w:r>
        <w:rPr>
          <w:rFonts w:ascii="Arial" w:hAnsi="Arial" w:cs="Arial"/>
          <w:b/>
          <w:bCs/>
          <w:sz w:val="24"/>
          <w:szCs w:val="24"/>
        </w:rPr>
        <w:t>ON.LE CORTE DI GIUSTIZIA TRIBUTARIA DI PRIMO GRADO DI MILANO</w:t>
      </w:r>
    </w:p>
    <w:p w14:paraId="4FB6A272" w14:textId="2ADEC624" w:rsidR="000C1B24" w:rsidRPr="000C1B24" w:rsidRDefault="000C1B24" w:rsidP="000C1B24">
      <w:pPr>
        <w:spacing w:line="360" w:lineRule="auto"/>
        <w:jc w:val="center"/>
      </w:pPr>
      <w:r>
        <w:rPr>
          <w:rFonts w:ascii="Arial" w:eastAsia="Arial" w:hAnsi="Arial" w:cs="Arial"/>
          <w:b/>
          <w:bCs/>
          <w:sz w:val="24"/>
          <w:szCs w:val="24"/>
        </w:rPr>
        <w:t>Memoria di costituzione e controdeduzioni</w:t>
      </w:r>
    </w:p>
    <w:p w14:paraId="2E98297F" w14:textId="702618F2" w:rsidR="00125FD7" w:rsidRPr="00570BF8" w:rsidRDefault="003710A5" w:rsidP="00125FD7">
      <w:pPr>
        <w:snapToGrid w:val="0"/>
        <w:spacing w:line="360" w:lineRule="auto"/>
        <w:ind w:firstLine="720"/>
        <w:jc w:val="both"/>
        <w:rPr>
          <w:rFonts w:ascii="Arial" w:hAnsi="Arial" w:cs="Arial"/>
          <w:sz w:val="24"/>
          <w:szCs w:val="24"/>
        </w:rPr>
      </w:pPr>
      <w:r>
        <w:rPr>
          <w:rFonts w:ascii="Arial" w:hAnsi="Arial" w:cs="Arial"/>
          <w:sz w:val="24"/>
          <w:szCs w:val="24"/>
        </w:rPr>
        <w:t xml:space="preserve">Per il </w:t>
      </w:r>
      <w:r>
        <w:rPr>
          <w:rFonts w:ascii="Arial" w:hAnsi="Arial" w:cs="Arial"/>
          <w:b/>
          <w:bCs/>
          <w:sz w:val="24"/>
          <w:szCs w:val="24"/>
        </w:rPr>
        <w:t>Comune di Cinisello Balsamo</w:t>
      </w:r>
      <w:r>
        <w:rPr>
          <w:rFonts w:ascii="Arial" w:hAnsi="Arial" w:cs="Arial"/>
          <w:sz w:val="24"/>
          <w:szCs w:val="24"/>
        </w:rPr>
        <w:t xml:space="preserve"> (C.F. 01971350150; P.IVA 00727780967), con sede in Cinisello Balsamo (MI), Via XXV Aprile n. 4 (20092), in persona del Sindaco </w:t>
      </w:r>
      <w:r w:rsidRPr="00570BF8">
        <w:rPr>
          <w:rFonts w:ascii="Arial" w:hAnsi="Arial" w:cs="Arial"/>
          <w:sz w:val="24"/>
          <w:szCs w:val="24"/>
        </w:rPr>
        <w:t>e legale rappresentante pro tempore, rappresentato e difeso</w:t>
      </w:r>
      <w:proofErr w:type="gramStart"/>
      <w:r w:rsidR="00C13BDB">
        <w:rPr>
          <w:rFonts w:ascii="Arial" w:hAnsi="Arial" w:cs="Arial"/>
          <w:sz w:val="24"/>
          <w:szCs w:val="24"/>
        </w:rPr>
        <w:t>…….</w:t>
      </w:r>
      <w:proofErr w:type="gramEnd"/>
      <w:r w:rsidR="00C13BDB">
        <w:rPr>
          <w:rFonts w:ascii="Arial" w:hAnsi="Arial" w:cs="Arial"/>
          <w:sz w:val="24"/>
          <w:szCs w:val="24"/>
        </w:rPr>
        <w:t>.</w:t>
      </w:r>
      <w:r w:rsidRPr="00570BF8">
        <w:rPr>
          <w:rFonts w:ascii="Arial" w:hAnsi="Arial" w:cs="Arial"/>
          <w:sz w:val="24"/>
          <w:szCs w:val="24"/>
        </w:rPr>
        <w:t>;</w:t>
      </w:r>
    </w:p>
    <w:p w14:paraId="1E7CB7D8" w14:textId="77777777" w:rsidR="00420F1E" w:rsidRPr="00570BF8" w:rsidRDefault="003710A5">
      <w:pPr>
        <w:spacing w:before="60" w:after="80" w:line="360" w:lineRule="auto"/>
        <w:jc w:val="right"/>
        <w:rPr>
          <w:rFonts w:ascii="Arial" w:hAnsi="Arial" w:cs="Arial"/>
          <w:b/>
          <w:bCs/>
          <w:sz w:val="24"/>
          <w:szCs w:val="24"/>
        </w:rPr>
      </w:pPr>
      <w:r w:rsidRPr="00570BF8">
        <w:rPr>
          <w:rFonts w:ascii="Arial" w:hAnsi="Arial" w:cs="Arial"/>
          <w:b/>
          <w:bCs/>
          <w:sz w:val="24"/>
          <w:szCs w:val="24"/>
        </w:rPr>
        <w:t>– RESISTENTE –</w:t>
      </w:r>
    </w:p>
    <w:p w14:paraId="31A5909E" w14:textId="77777777" w:rsidR="00297929" w:rsidRPr="00286E13" w:rsidRDefault="003710A5" w:rsidP="00570BF8">
      <w:pPr>
        <w:spacing w:line="360" w:lineRule="auto"/>
        <w:rPr>
          <w:rFonts w:ascii="Arial" w:hAnsi="Arial" w:cs="Arial"/>
          <w:sz w:val="24"/>
          <w:szCs w:val="24"/>
        </w:rPr>
      </w:pPr>
      <w:r>
        <w:rPr>
          <w:rFonts w:ascii="Arial" w:hAnsi="Arial" w:cs="Arial"/>
          <w:b/>
          <w:bCs/>
          <w:sz w:val="24"/>
          <w:szCs w:val="24"/>
        </w:rPr>
        <w:t>contro</w:t>
      </w:r>
    </w:p>
    <w:p w14:paraId="37A9CB40" w14:textId="77777777" w:rsidR="00297929" w:rsidRPr="00286E13" w:rsidRDefault="00297929" w:rsidP="00286E13">
      <w:pPr>
        <w:spacing w:line="360" w:lineRule="auto"/>
        <w:rPr>
          <w:rFonts w:ascii="Arial" w:hAnsi="Arial" w:cs="Arial"/>
          <w:sz w:val="24"/>
          <w:szCs w:val="24"/>
        </w:rPr>
      </w:pPr>
    </w:p>
    <w:p w14:paraId="07E72587" w14:textId="47DBC852" w:rsidR="00297929" w:rsidRPr="00570BF8" w:rsidRDefault="003710A5" w:rsidP="00570BF8">
      <w:pPr>
        <w:adjustRightInd w:val="0"/>
        <w:snapToGrid w:val="0"/>
        <w:spacing w:line="360" w:lineRule="auto"/>
        <w:ind w:firstLine="709"/>
        <w:contextualSpacing/>
        <w:jc w:val="both"/>
        <w:rPr>
          <w:rFonts w:ascii="Arial" w:hAnsi="Arial" w:cs="Arial"/>
          <w:sz w:val="24"/>
          <w:szCs w:val="24"/>
        </w:rPr>
      </w:pPr>
      <w:r w:rsidRPr="00570BF8">
        <w:rPr>
          <w:rFonts w:ascii="Arial" w:hAnsi="Arial" w:cs="Arial"/>
          <w:b/>
          <w:bCs/>
          <w:sz w:val="24"/>
          <w:szCs w:val="24"/>
        </w:rPr>
        <w:t>WIND TRE S.P.A.,</w:t>
      </w:r>
      <w:r w:rsidRPr="00570BF8">
        <w:rPr>
          <w:rFonts w:ascii="Arial" w:hAnsi="Arial" w:cs="Arial"/>
          <w:sz w:val="24"/>
          <w:szCs w:val="24"/>
        </w:rPr>
        <w:t xml:space="preserve"> con Socio Unico – Direzione e Coordinamento di CK Hutchison Group Telecom Italy Investments </w:t>
      </w:r>
      <w:proofErr w:type="spellStart"/>
      <w:r w:rsidRPr="00570BF8">
        <w:rPr>
          <w:rFonts w:ascii="Arial" w:hAnsi="Arial" w:cs="Arial"/>
          <w:sz w:val="24"/>
          <w:szCs w:val="24"/>
        </w:rPr>
        <w:t>S.à</w:t>
      </w:r>
      <w:proofErr w:type="spellEnd"/>
      <w:r w:rsidRPr="00570BF8">
        <w:rPr>
          <w:rFonts w:ascii="Arial" w:hAnsi="Arial" w:cs="Arial"/>
          <w:sz w:val="24"/>
          <w:szCs w:val="24"/>
        </w:rPr>
        <w:t xml:space="preserve"> r.l., con sede legale in Milano, Via Monte Rosa n. 91 (20149) (c.f.: 02517580920 – p. </w:t>
      </w:r>
      <w:proofErr w:type="spellStart"/>
      <w:r w:rsidRPr="00570BF8">
        <w:rPr>
          <w:rFonts w:ascii="Arial" w:hAnsi="Arial" w:cs="Arial"/>
          <w:sz w:val="24"/>
          <w:szCs w:val="24"/>
        </w:rPr>
        <w:t>i.v.a</w:t>
      </w:r>
      <w:proofErr w:type="spellEnd"/>
      <w:r w:rsidRPr="00570BF8">
        <w:rPr>
          <w:rFonts w:ascii="Arial" w:hAnsi="Arial" w:cs="Arial"/>
          <w:sz w:val="24"/>
          <w:szCs w:val="24"/>
        </w:rPr>
        <w:t xml:space="preserve">.: 13378520152), in persona del suo legale rappresentante pro tempore, rappresentata e difesa dagli avvocati prof. Massimo Proto (c.f.: PRTMSM73B22H501N – </w:t>
      </w:r>
      <w:proofErr w:type="spellStart"/>
      <w:r w:rsidRPr="00570BF8">
        <w:rPr>
          <w:rFonts w:ascii="Arial" w:hAnsi="Arial" w:cs="Arial"/>
          <w:sz w:val="24"/>
          <w:szCs w:val="24"/>
        </w:rPr>
        <w:t>p.e.c</w:t>
      </w:r>
      <w:proofErr w:type="spellEnd"/>
      <w:r w:rsidRPr="00570BF8">
        <w:rPr>
          <w:rFonts w:ascii="Arial" w:hAnsi="Arial" w:cs="Arial"/>
          <w:sz w:val="24"/>
          <w:szCs w:val="24"/>
        </w:rPr>
        <w:t xml:space="preserve">.: massimo.proto@legal.chiomenti.net), prof. Silvio Martuccelli (c.f.: MRTSLV68D19H501I – </w:t>
      </w:r>
      <w:proofErr w:type="spellStart"/>
      <w:r w:rsidRPr="00570BF8">
        <w:rPr>
          <w:rFonts w:ascii="Arial" w:hAnsi="Arial" w:cs="Arial"/>
          <w:sz w:val="24"/>
          <w:szCs w:val="24"/>
        </w:rPr>
        <w:t>p.e.c</w:t>
      </w:r>
      <w:proofErr w:type="spellEnd"/>
      <w:r w:rsidRPr="00570BF8">
        <w:rPr>
          <w:rFonts w:ascii="Arial" w:hAnsi="Arial" w:cs="Arial"/>
          <w:sz w:val="24"/>
          <w:szCs w:val="24"/>
        </w:rPr>
        <w:t xml:space="preserve">.: silvio.martuccelli@legal.chiomenti.net) e Carlo Maria Martino (c.f.: MRTCLM94S21H501W – </w:t>
      </w:r>
      <w:proofErr w:type="spellStart"/>
      <w:r w:rsidRPr="00570BF8">
        <w:rPr>
          <w:rFonts w:ascii="Arial" w:hAnsi="Arial" w:cs="Arial"/>
          <w:sz w:val="24"/>
          <w:szCs w:val="24"/>
        </w:rPr>
        <w:t>p.e.c</w:t>
      </w:r>
      <w:proofErr w:type="spellEnd"/>
      <w:r w:rsidRPr="00570BF8">
        <w:rPr>
          <w:rFonts w:ascii="Arial" w:hAnsi="Arial" w:cs="Arial"/>
          <w:sz w:val="24"/>
          <w:szCs w:val="24"/>
        </w:rPr>
        <w:t>.: carlo.martino@legal.chiomenti.net), con domicilio eletto presso l’indirizzo PEC dei suddetti difensori.</w:t>
      </w:r>
    </w:p>
    <w:p w14:paraId="49976643" w14:textId="77777777" w:rsidR="00420F1E" w:rsidRPr="00570BF8" w:rsidRDefault="003710A5">
      <w:pPr>
        <w:spacing w:before="60" w:after="80" w:line="360" w:lineRule="auto"/>
        <w:jc w:val="right"/>
        <w:rPr>
          <w:rFonts w:ascii="Arial" w:hAnsi="Arial" w:cs="Arial"/>
          <w:b/>
          <w:bCs/>
          <w:sz w:val="24"/>
          <w:szCs w:val="24"/>
        </w:rPr>
      </w:pPr>
      <w:r w:rsidRPr="00570BF8">
        <w:rPr>
          <w:rFonts w:ascii="Arial" w:hAnsi="Arial" w:cs="Arial"/>
          <w:b/>
          <w:bCs/>
          <w:sz w:val="24"/>
          <w:szCs w:val="24"/>
        </w:rPr>
        <w:t>– RICORRENTE –</w:t>
      </w:r>
    </w:p>
    <w:p w14:paraId="503AF759" w14:textId="77777777" w:rsidR="00297929" w:rsidRPr="00286E13" w:rsidRDefault="003710A5" w:rsidP="00286E13">
      <w:pPr>
        <w:spacing w:line="360" w:lineRule="auto"/>
        <w:jc w:val="center"/>
        <w:rPr>
          <w:rFonts w:ascii="Arial" w:hAnsi="Arial" w:cs="Arial"/>
          <w:sz w:val="24"/>
          <w:szCs w:val="24"/>
        </w:rPr>
      </w:pPr>
      <w:r>
        <w:rPr>
          <w:rFonts w:ascii="Arial" w:hAnsi="Arial" w:cs="Arial"/>
          <w:sz w:val="24"/>
          <w:szCs w:val="24"/>
        </w:rPr>
        <w:t>* * *</w:t>
      </w:r>
    </w:p>
    <w:p w14:paraId="012FF777" w14:textId="77777777" w:rsidR="00297929" w:rsidRPr="00286E13" w:rsidRDefault="003710A5" w:rsidP="00286E13">
      <w:pPr>
        <w:spacing w:line="360" w:lineRule="auto"/>
        <w:ind w:firstLine="708"/>
        <w:jc w:val="both"/>
        <w:rPr>
          <w:rFonts w:ascii="Arial" w:hAnsi="Arial" w:cs="Arial"/>
          <w:sz w:val="24"/>
          <w:szCs w:val="24"/>
        </w:rPr>
      </w:pPr>
      <w:r>
        <w:rPr>
          <w:rFonts w:ascii="Arial" w:hAnsi="Arial" w:cs="Arial"/>
          <w:b/>
          <w:bCs/>
          <w:sz w:val="24"/>
          <w:szCs w:val="24"/>
        </w:rPr>
        <w:t>Si premette</w:t>
      </w:r>
    </w:p>
    <w:p w14:paraId="28353373" w14:textId="25A99DA7" w:rsidR="00297929" w:rsidRPr="00286E13" w:rsidRDefault="003710A5" w:rsidP="00286E13">
      <w:pPr>
        <w:spacing w:line="360" w:lineRule="auto"/>
        <w:ind w:firstLine="708"/>
        <w:jc w:val="both"/>
        <w:rPr>
          <w:rFonts w:ascii="Arial" w:hAnsi="Arial" w:cs="Arial"/>
          <w:sz w:val="24"/>
          <w:szCs w:val="24"/>
        </w:rPr>
      </w:pPr>
      <w:r>
        <w:rPr>
          <w:rFonts w:ascii="Arial" w:hAnsi="Arial" w:cs="Arial"/>
          <w:sz w:val="24"/>
          <w:szCs w:val="24"/>
        </w:rPr>
        <w:t xml:space="preserve">Il Comune di Cinisello Balsamo (di seguito anche solo Comune o PA o Ente), con Delibera di Consiglio Comunale n. 18 del 15 aprile 2021, ha approvato il Regolamento per la disciplina del </w:t>
      </w:r>
      <w:r>
        <w:rPr>
          <w:rFonts w:ascii="Arial" w:hAnsi="Arial" w:cs="Arial"/>
          <w:b/>
          <w:bCs/>
          <w:sz w:val="24"/>
          <w:szCs w:val="24"/>
        </w:rPr>
        <w:t>Canone Patrimoniale di Concessione, Autorizzazione o Esposizione Pubblicitaria</w:t>
      </w:r>
      <w:r>
        <w:rPr>
          <w:rFonts w:ascii="Arial" w:hAnsi="Arial" w:cs="Arial"/>
          <w:sz w:val="24"/>
          <w:szCs w:val="24"/>
        </w:rPr>
        <w:t xml:space="preserve"> (di seguito anche solo CUP), </w:t>
      </w:r>
      <w:r w:rsidR="00C13BDB">
        <w:rPr>
          <w:rFonts w:ascii="Arial" w:hAnsi="Arial" w:cs="Arial"/>
          <w:sz w:val="24"/>
          <w:szCs w:val="24"/>
        </w:rPr>
        <w:t xml:space="preserve">successivamente modificato ed integrato con Delibera di Consiglio Comunale n. 24 del 23 maggio 2022, </w:t>
      </w:r>
      <w:r>
        <w:rPr>
          <w:rFonts w:ascii="Arial" w:hAnsi="Arial" w:cs="Arial"/>
          <w:sz w:val="24"/>
          <w:szCs w:val="24"/>
        </w:rPr>
        <w:t>ai sensi dell’art. 1, commi da 816 a 836, della Legge n. 160/2019 (</w:t>
      </w:r>
      <w:r>
        <w:rPr>
          <w:rFonts w:ascii="Arial" w:eastAsia="Arial" w:hAnsi="Arial" w:cs="Arial"/>
          <w:sz w:val="24"/>
          <w:szCs w:val="24"/>
        </w:rPr>
        <w:t xml:space="preserve">cfr. </w:t>
      </w:r>
      <w:r>
        <w:rPr>
          <w:rFonts w:ascii="Arial" w:eastAsia="Arial" w:hAnsi="Arial" w:cs="Arial"/>
          <w:b/>
          <w:bCs/>
          <w:sz w:val="24"/>
          <w:szCs w:val="24"/>
        </w:rPr>
        <w:t>doc. 1</w:t>
      </w:r>
      <w:r>
        <w:rPr>
          <w:rFonts w:ascii="Arial" w:eastAsia="Arial" w:hAnsi="Arial" w:cs="Arial"/>
          <w:sz w:val="24"/>
          <w:szCs w:val="24"/>
        </w:rPr>
        <w:t>).</w:t>
      </w:r>
    </w:p>
    <w:p w14:paraId="1C03847E" w14:textId="77777777" w:rsidR="00297929" w:rsidRPr="00286E13" w:rsidRDefault="003710A5" w:rsidP="00286E13">
      <w:pPr>
        <w:spacing w:line="360" w:lineRule="auto"/>
        <w:ind w:firstLine="708"/>
        <w:jc w:val="both"/>
        <w:rPr>
          <w:rFonts w:ascii="Arial" w:hAnsi="Arial" w:cs="Arial"/>
          <w:sz w:val="24"/>
          <w:szCs w:val="24"/>
        </w:rPr>
      </w:pPr>
      <w:r>
        <w:rPr>
          <w:rFonts w:ascii="Arial" w:hAnsi="Arial" w:cs="Arial"/>
          <w:sz w:val="24"/>
          <w:szCs w:val="24"/>
        </w:rPr>
        <w:t>Su incarico del Comune di Cinisello Balsamo (</w:t>
      </w:r>
      <w:r>
        <w:rPr>
          <w:rFonts w:ascii="Helvetica" w:hAnsi="Helvetica" w:cs="Helvetica"/>
          <w:sz w:val="24"/>
          <w:szCs w:val="24"/>
        </w:rPr>
        <w:t xml:space="preserve">Determinazione di affidamento servizio di supporto ad Archivia Solution S.p.A. n. 709 dell’11 giugno 2025, </w:t>
      </w:r>
      <w:r>
        <w:rPr>
          <w:rFonts w:ascii="Arial" w:hAnsi="Arial" w:cs="Arial"/>
          <w:b/>
          <w:bCs/>
          <w:sz w:val="24"/>
          <w:szCs w:val="24"/>
        </w:rPr>
        <w:t>doc. 2</w:t>
      </w:r>
      <w:r>
        <w:rPr>
          <w:rFonts w:ascii="Arial" w:hAnsi="Arial" w:cs="Arial"/>
          <w:sz w:val="24"/>
          <w:szCs w:val="24"/>
        </w:rPr>
        <w:t xml:space="preserve">), la società Archivia Solution S.p.A. ha avviato la verifica della congruità dei versamenti del </w:t>
      </w:r>
      <w:r>
        <w:rPr>
          <w:rFonts w:ascii="Arial" w:hAnsi="Arial" w:cs="Arial"/>
          <w:sz w:val="24"/>
          <w:szCs w:val="24"/>
        </w:rPr>
        <w:lastRenderedPageBreak/>
        <w:t>Canone Unico Patrimoniale dovuto, ai sensi del comma 831, art. 1, L. 160/2019, dalle aziende che gestiscono i c.d. servizi di rete nel territorio comunale.</w:t>
      </w:r>
    </w:p>
    <w:p w14:paraId="4DFEA037" w14:textId="7711DA38" w:rsidR="00297929" w:rsidRPr="00286E13" w:rsidRDefault="003710A5" w:rsidP="00286E13">
      <w:pPr>
        <w:spacing w:line="360" w:lineRule="auto"/>
        <w:ind w:firstLine="708"/>
        <w:jc w:val="both"/>
        <w:rPr>
          <w:rFonts w:ascii="Arial" w:hAnsi="Arial" w:cs="Arial"/>
          <w:sz w:val="24"/>
          <w:szCs w:val="24"/>
        </w:rPr>
      </w:pPr>
      <w:r>
        <w:rPr>
          <w:rFonts w:ascii="Arial" w:hAnsi="Arial" w:cs="Arial"/>
          <w:sz w:val="24"/>
          <w:szCs w:val="24"/>
        </w:rPr>
        <w:t xml:space="preserve">Con nota del </w:t>
      </w:r>
      <w:r>
        <w:rPr>
          <w:rFonts w:ascii="Arial" w:hAnsi="Arial" w:cs="Arial"/>
          <w:b/>
          <w:bCs/>
          <w:sz w:val="24"/>
          <w:szCs w:val="24"/>
        </w:rPr>
        <w:t xml:space="preserve">11 novembre 2025 </w:t>
      </w:r>
      <w:r>
        <w:rPr>
          <w:rFonts w:ascii="Arial" w:eastAsia="Arial" w:hAnsi="Arial" w:cs="Arial"/>
          <w:sz w:val="24"/>
          <w:szCs w:val="24"/>
        </w:rPr>
        <w:t>(</w:t>
      </w:r>
      <w:r>
        <w:rPr>
          <w:rFonts w:ascii="Arial" w:eastAsia="Arial" w:hAnsi="Arial" w:cs="Arial"/>
          <w:b/>
          <w:bCs/>
          <w:sz w:val="24"/>
          <w:szCs w:val="24"/>
        </w:rPr>
        <w:t>doc. 3</w:t>
      </w:r>
      <w:r>
        <w:rPr>
          <w:rFonts w:ascii="Arial" w:eastAsia="Arial" w:hAnsi="Arial" w:cs="Arial"/>
          <w:sz w:val="24"/>
          <w:szCs w:val="24"/>
        </w:rPr>
        <w:t>)</w:t>
      </w:r>
      <w:r>
        <w:rPr>
          <w:rFonts w:ascii="Arial" w:hAnsi="Arial" w:cs="Arial"/>
          <w:sz w:val="24"/>
          <w:szCs w:val="24"/>
        </w:rPr>
        <w:t>, la società Archivia Solution S.p.A. ha trasmesso a WIND TRE S.P.A. — a mezzo PEC — una richiesta di dichiarazione delle utenze attive nel Comune di Cinisello Balsamo e dei versamenti effettuati a titolo di CUP per gli anni dal 2021 al 2025, evidenziando che, dai primi controlli eseguiti, la società risultava aver effettuato un versamento soltanto parziale del Canone, non commisurato all’effettivo numero delle utenze servite nel territorio comunale, invitando la stessa a fornire la dichiarazione delle utenze attive e a regolarizzare la propria posizione.</w:t>
      </w:r>
    </w:p>
    <w:p w14:paraId="3C553649" w14:textId="31696F15" w:rsidR="00D914DF" w:rsidRDefault="003710A5" w:rsidP="00286E13">
      <w:pPr>
        <w:spacing w:line="360" w:lineRule="auto"/>
        <w:ind w:firstLine="708"/>
        <w:jc w:val="both"/>
        <w:rPr>
          <w:rFonts w:ascii="Arial" w:hAnsi="Arial" w:cs="Arial"/>
          <w:sz w:val="24"/>
          <w:szCs w:val="24"/>
        </w:rPr>
      </w:pPr>
      <w:r>
        <w:rPr>
          <w:rFonts w:ascii="Arial" w:hAnsi="Arial" w:cs="Arial"/>
          <w:b/>
          <w:bCs/>
          <w:sz w:val="24"/>
          <w:szCs w:val="24"/>
        </w:rPr>
        <w:t>Wind Tre ha riscontrato l’invito trasmettendo dichiarazioni di utenze attive palesemente incongrue ed inattendibili</w:t>
      </w:r>
      <w:r>
        <w:rPr>
          <w:rFonts w:ascii="Arial" w:hAnsi="Arial" w:cs="Arial"/>
          <w:sz w:val="24"/>
          <w:szCs w:val="24"/>
        </w:rPr>
        <w:t xml:space="preserve"> — indicando, </w:t>
      </w:r>
      <w:r w:rsidR="00C13BDB">
        <w:rPr>
          <w:rFonts w:ascii="Arial" w:hAnsi="Arial" w:cs="Arial"/>
          <w:sz w:val="24"/>
          <w:szCs w:val="24"/>
        </w:rPr>
        <w:t xml:space="preserve">infatti, </w:t>
      </w:r>
      <w:r>
        <w:rPr>
          <w:rFonts w:ascii="Arial" w:hAnsi="Arial" w:cs="Arial"/>
          <w:sz w:val="24"/>
          <w:szCs w:val="24"/>
        </w:rPr>
        <w:t xml:space="preserve">per l’annualità 2023, </w:t>
      </w:r>
      <w:r w:rsidRPr="00C13BDB">
        <w:rPr>
          <w:rFonts w:ascii="Arial" w:hAnsi="Arial" w:cs="Arial"/>
          <w:sz w:val="24"/>
          <w:szCs w:val="24"/>
          <w:u w:val="single"/>
        </w:rPr>
        <w:t>appena 4 uten</w:t>
      </w:r>
      <w:r>
        <w:rPr>
          <w:rFonts w:ascii="Arial" w:hAnsi="Arial" w:cs="Arial"/>
          <w:sz w:val="24"/>
          <w:szCs w:val="24"/>
        </w:rPr>
        <w:t xml:space="preserve">ze e, per le annualità </w:t>
      </w:r>
      <w:r w:rsidRPr="00C13BDB">
        <w:rPr>
          <w:rFonts w:ascii="Arial" w:hAnsi="Arial" w:cs="Arial"/>
          <w:sz w:val="24"/>
          <w:szCs w:val="24"/>
          <w:u w:val="single"/>
        </w:rPr>
        <w:t>2024 e 2025, addirittura 0 utenze</w:t>
      </w:r>
      <w:r>
        <w:rPr>
          <w:rFonts w:ascii="Arial" w:hAnsi="Arial" w:cs="Arial"/>
          <w:sz w:val="24"/>
          <w:szCs w:val="24"/>
        </w:rPr>
        <w:t xml:space="preserve">, a fronte di un </w:t>
      </w:r>
      <w:r w:rsidRPr="00C13BDB">
        <w:rPr>
          <w:rFonts w:ascii="Arial" w:hAnsi="Arial" w:cs="Arial"/>
          <w:sz w:val="24"/>
          <w:szCs w:val="24"/>
          <w:u w:val="single"/>
        </w:rPr>
        <w:t>Comune con popolazione superiore a 75.000 abitanti</w:t>
      </w:r>
      <w:r>
        <w:rPr>
          <w:rFonts w:ascii="Arial" w:hAnsi="Arial" w:cs="Arial"/>
          <w:sz w:val="24"/>
          <w:szCs w:val="24"/>
        </w:rPr>
        <w:t xml:space="preserve"> — ed effettuando un versamento parziale, ancorato alla sola quota minima. </w:t>
      </w:r>
    </w:p>
    <w:p w14:paraId="2C1057A7" w14:textId="77777777" w:rsidR="00D914DF" w:rsidRDefault="003710A5" w:rsidP="00286E13">
      <w:pPr>
        <w:spacing w:line="360" w:lineRule="auto"/>
        <w:ind w:firstLine="708"/>
        <w:jc w:val="both"/>
        <w:rPr>
          <w:rFonts w:ascii="Arial" w:hAnsi="Arial" w:cs="Arial"/>
          <w:sz w:val="24"/>
          <w:szCs w:val="24"/>
        </w:rPr>
      </w:pPr>
      <w:r>
        <w:rPr>
          <w:rFonts w:ascii="Arial" w:hAnsi="Arial" w:cs="Arial"/>
          <w:sz w:val="24"/>
          <w:szCs w:val="24"/>
        </w:rPr>
        <w:t>A fronte della manifesta incongruità delle dichiarazioni rese e del versamento solo parziale, il Comune di Cinisello Balsamo ha emesso l’</w:t>
      </w:r>
      <w:r>
        <w:rPr>
          <w:rFonts w:ascii="Arial" w:hAnsi="Arial" w:cs="Arial"/>
          <w:b/>
          <w:bCs/>
          <w:sz w:val="24"/>
          <w:szCs w:val="24"/>
        </w:rPr>
        <w:t xml:space="preserve">Avviso di Accertamento Esecutivo n. 13 del 26 febbraio 2026 </w:t>
      </w:r>
      <w:r>
        <w:rPr>
          <w:rFonts w:ascii="Arial" w:hAnsi="Arial" w:cs="Arial"/>
          <w:sz w:val="24"/>
          <w:szCs w:val="24"/>
        </w:rPr>
        <w:t>(</w:t>
      </w:r>
      <w:r>
        <w:rPr>
          <w:rFonts w:ascii="Arial" w:hAnsi="Arial" w:cs="Arial"/>
          <w:b/>
          <w:bCs/>
          <w:sz w:val="24"/>
          <w:szCs w:val="24"/>
        </w:rPr>
        <w:t>doc. 4</w:t>
      </w:r>
      <w:r>
        <w:rPr>
          <w:rFonts w:ascii="Arial" w:hAnsi="Arial" w:cs="Arial"/>
          <w:sz w:val="24"/>
          <w:szCs w:val="24"/>
        </w:rPr>
        <w:t xml:space="preserve">), notificato a mezzo PEC in data 24 marzo 2026, avente ad oggetto l’omesso/parziale versamento del CUP — ai sensi dell’art. 1, comma 831, L. 160/2019 — per le annualità 2021, 2022, 2023, 2024 e 2025, nei confronti di WIND TRE S.P.A. </w:t>
      </w:r>
    </w:p>
    <w:p w14:paraId="3FC38276" w14:textId="77777777" w:rsidR="00C13BDB" w:rsidRDefault="003710A5" w:rsidP="00286E13">
      <w:pPr>
        <w:spacing w:line="360" w:lineRule="auto"/>
        <w:ind w:firstLine="708"/>
        <w:jc w:val="both"/>
        <w:rPr>
          <w:rFonts w:ascii="Arial" w:hAnsi="Arial" w:cs="Arial"/>
          <w:sz w:val="24"/>
          <w:szCs w:val="24"/>
        </w:rPr>
      </w:pPr>
      <w:r>
        <w:rPr>
          <w:rFonts w:ascii="Arial" w:hAnsi="Arial" w:cs="Arial"/>
          <w:sz w:val="24"/>
          <w:szCs w:val="24"/>
        </w:rPr>
        <w:t xml:space="preserve">Il Canone è stato determinato in via induttiva, sulla base dei dati disponibili su </w:t>
      </w:r>
      <w:proofErr w:type="spellStart"/>
      <w:proofErr w:type="gramStart"/>
      <w:r>
        <w:rPr>
          <w:rFonts w:ascii="Arial" w:hAnsi="Arial" w:cs="Arial"/>
          <w:sz w:val="24"/>
          <w:szCs w:val="24"/>
        </w:rPr>
        <w:t>PuntoFisco</w:t>
      </w:r>
      <w:proofErr w:type="spellEnd"/>
      <w:proofErr w:type="gramEnd"/>
      <w:r>
        <w:rPr>
          <w:rFonts w:ascii="Arial" w:hAnsi="Arial" w:cs="Arial"/>
          <w:sz w:val="24"/>
          <w:szCs w:val="24"/>
        </w:rPr>
        <w:t xml:space="preserve"> incrociati con quelli forniti dall’Osservatorio sulle Comunicazioni AGCOM — dai quali si assumono le quote di mercato dei diversi operatori telefonici a livello nazionale — </w:t>
      </w:r>
      <w:r w:rsidRPr="00C13BDB">
        <w:rPr>
          <w:rFonts w:ascii="Arial" w:hAnsi="Arial" w:cs="Arial"/>
          <w:b/>
          <w:bCs/>
          <w:sz w:val="24"/>
          <w:szCs w:val="24"/>
        </w:rPr>
        <w:t>stante l’inattendibilità delle dichiarazioni delle utenze attive rese dalla Ricorrente</w:t>
      </w:r>
      <w:r>
        <w:rPr>
          <w:rFonts w:ascii="Arial" w:hAnsi="Arial" w:cs="Arial"/>
          <w:sz w:val="24"/>
          <w:szCs w:val="24"/>
        </w:rPr>
        <w:t xml:space="preserve">. </w:t>
      </w:r>
    </w:p>
    <w:p w14:paraId="09FF5FF0" w14:textId="34D73971" w:rsidR="00297929" w:rsidRPr="00286E13" w:rsidRDefault="003710A5" w:rsidP="00286E13">
      <w:pPr>
        <w:spacing w:line="360" w:lineRule="auto"/>
        <w:ind w:firstLine="708"/>
        <w:jc w:val="both"/>
        <w:rPr>
          <w:rFonts w:ascii="Arial" w:hAnsi="Arial" w:cs="Arial"/>
          <w:sz w:val="24"/>
          <w:szCs w:val="24"/>
        </w:rPr>
      </w:pPr>
      <w:r>
        <w:rPr>
          <w:rFonts w:ascii="Arial" w:hAnsi="Arial" w:cs="Arial"/>
          <w:sz w:val="24"/>
          <w:szCs w:val="24"/>
        </w:rPr>
        <w:t xml:space="preserve">L’importo complessivo accertato è pari ad </w:t>
      </w:r>
      <w:proofErr w:type="gramStart"/>
      <w:r>
        <w:rPr>
          <w:rFonts w:ascii="Arial" w:hAnsi="Arial" w:cs="Arial"/>
          <w:sz w:val="24"/>
          <w:szCs w:val="24"/>
        </w:rPr>
        <w:t>Euro</w:t>
      </w:r>
      <w:proofErr w:type="gramEnd"/>
      <w:r>
        <w:rPr>
          <w:rFonts w:ascii="Arial" w:hAnsi="Arial" w:cs="Arial"/>
          <w:sz w:val="24"/>
          <w:szCs w:val="24"/>
        </w:rPr>
        <w:t xml:space="preserve"> 20.273,00.</w:t>
      </w:r>
    </w:p>
    <w:p w14:paraId="49E3175F" w14:textId="77777777" w:rsidR="00C13BDB" w:rsidRDefault="003710A5" w:rsidP="00D914DF">
      <w:pPr>
        <w:spacing w:line="360" w:lineRule="auto"/>
        <w:ind w:firstLine="708"/>
        <w:jc w:val="both"/>
        <w:rPr>
          <w:rFonts w:ascii="Arial" w:hAnsi="Arial" w:cs="Arial"/>
          <w:b/>
          <w:bCs/>
          <w:sz w:val="24"/>
          <w:szCs w:val="24"/>
        </w:rPr>
      </w:pPr>
      <w:r>
        <w:rPr>
          <w:rFonts w:ascii="Arial" w:hAnsi="Arial" w:cs="Arial"/>
          <w:sz w:val="24"/>
          <w:szCs w:val="24"/>
        </w:rPr>
        <w:t xml:space="preserve">In data </w:t>
      </w:r>
      <w:r>
        <w:rPr>
          <w:rFonts w:ascii="Arial" w:hAnsi="Arial" w:cs="Arial"/>
          <w:b/>
          <w:bCs/>
          <w:sz w:val="24"/>
          <w:szCs w:val="24"/>
        </w:rPr>
        <w:t>31 marzo 2026</w:t>
      </w:r>
      <w:r>
        <w:rPr>
          <w:rFonts w:ascii="Arial" w:hAnsi="Arial" w:cs="Arial"/>
          <w:sz w:val="24"/>
          <w:szCs w:val="24"/>
        </w:rPr>
        <w:t>, WIND TRE S.P.A. ha trasmesso al Comune istanza di annullamento in autotutela</w:t>
      </w:r>
      <w:r w:rsidR="00C13BDB">
        <w:rPr>
          <w:rFonts w:ascii="Arial" w:hAnsi="Arial" w:cs="Arial"/>
          <w:sz w:val="24"/>
          <w:szCs w:val="24"/>
        </w:rPr>
        <w:t xml:space="preserve"> dell’avviso di accertamento</w:t>
      </w:r>
      <w:r>
        <w:rPr>
          <w:rFonts w:ascii="Arial" w:hAnsi="Arial" w:cs="Arial"/>
          <w:sz w:val="24"/>
          <w:szCs w:val="24"/>
        </w:rPr>
        <w:t xml:space="preserve">, sostenendo di aver regolarmente dichiarato le utenze e versato il canone </w:t>
      </w:r>
      <w:r w:rsidR="008179EB">
        <w:rPr>
          <w:rFonts w:ascii="Arial" w:hAnsi="Arial" w:cs="Arial"/>
          <w:sz w:val="24"/>
          <w:szCs w:val="24"/>
        </w:rPr>
        <w:t>e</w:t>
      </w:r>
      <w:r>
        <w:rPr>
          <w:rFonts w:ascii="Arial" w:hAnsi="Arial" w:cs="Arial"/>
          <w:sz w:val="24"/>
          <w:szCs w:val="24"/>
        </w:rPr>
        <w:t xml:space="preserve"> di non occupare il suolo pubblico</w:t>
      </w:r>
      <w:r w:rsidR="00C13BDB">
        <w:rPr>
          <w:rFonts w:ascii="Arial" w:hAnsi="Arial" w:cs="Arial"/>
          <w:sz w:val="24"/>
          <w:szCs w:val="24"/>
        </w:rPr>
        <w:t>,</w:t>
      </w:r>
      <w:r>
        <w:rPr>
          <w:rFonts w:ascii="Arial" w:hAnsi="Arial" w:cs="Arial"/>
          <w:sz w:val="24"/>
          <w:szCs w:val="24"/>
        </w:rPr>
        <w:t xml:space="preserve"> né in via diretta né in via mediata </w:t>
      </w:r>
      <w:r w:rsidRPr="00372560">
        <w:rPr>
          <w:rFonts w:ascii="Arial" w:hAnsi="Arial" w:cs="Arial"/>
          <w:b/>
          <w:bCs/>
          <w:sz w:val="24"/>
          <w:szCs w:val="24"/>
        </w:rPr>
        <w:t>(doc. 5)</w:t>
      </w:r>
      <w:r w:rsidR="00C13BDB">
        <w:rPr>
          <w:rFonts w:ascii="Arial" w:hAnsi="Arial" w:cs="Arial"/>
          <w:b/>
          <w:bCs/>
          <w:sz w:val="24"/>
          <w:szCs w:val="24"/>
        </w:rPr>
        <w:t>.</w:t>
      </w:r>
    </w:p>
    <w:p w14:paraId="4EDCF3B1" w14:textId="77777777" w:rsidR="00F02E32" w:rsidRDefault="00C13BDB" w:rsidP="00D914DF">
      <w:pPr>
        <w:spacing w:line="360" w:lineRule="auto"/>
        <w:ind w:firstLine="708"/>
        <w:jc w:val="both"/>
        <w:rPr>
          <w:rFonts w:ascii="Arial" w:hAnsi="Arial" w:cs="Arial"/>
          <w:sz w:val="24"/>
          <w:szCs w:val="24"/>
        </w:rPr>
      </w:pPr>
      <w:r w:rsidRPr="00C13BDB">
        <w:rPr>
          <w:rFonts w:ascii="Arial" w:hAnsi="Arial" w:cs="Arial"/>
          <w:sz w:val="24"/>
          <w:szCs w:val="24"/>
        </w:rPr>
        <w:t>Tale i</w:t>
      </w:r>
      <w:r w:rsidR="003710A5">
        <w:rPr>
          <w:rFonts w:ascii="Arial" w:hAnsi="Arial" w:cs="Arial"/>
          <w:sz w:val="24"/>
          <w:szCs w:val="24"/>
        </w:rPr>
        <w:t xml:space="preserve">stanza </w:t>
      </w:r>
      <w:r>
        <w:rPr>
          <w:rFonts w:ascii="Arial" w:hAnsi="Arial" w:cs="Arial"/>
          <w:sz w:val="24"/>
          <w:szCs w:val="24"/>
        </w:rPr>
        <w:t xml:space="preserve">è stata tempestivamente riscontrata dal Comune </w:t>
      </w:r>
      <w:r w:rsidR="003710A5">
        <w:rPr>
          <w:rFonts w:ascii="Arial" w:hAnsi="Arial" w:cs="Arial"/>
          <w:sz w:val="24"/>
          <w:szCs w:val="24"/>
        </w:rPr>
        <w:t xml:space="preserve">con motivato provvedimento di rigetto, notificato a mezzo PEC in data 3 aprile 2026 </w:t>
      </w:r>
      <w:r w:rsidR="003710A5" w:rsidRPr="00372560">
        <w:rPr>
          <w:rFonts w:ascii="Arial" w:hAnsi="Arial" w:cs="Arial"/>
          <w:b/>
          <w:bCs/>
          <w:sz w:val="24"/>
          <w:szCs w:val="24"/>
        </w:rPr>
        <w:t>(doc. 6)</w:t>
      </w:r>
      <w:r w:rsidR="00372560">
        <w:rPr>
          <w:rFonts w:ascii="Arial" w:hAnsi="Arial" w:cs="Arial"/>
          <w:sz w:val="24"/>
          <w:szCs w:val="24"/>
        </w:rPr>
        <w:t xml:space="preserve">, </w:t>
      </w:r>
      <w:r>
        <w:rPr>
          <w:rFonts w:ascii="Arial" w:hAnsi="Arial" w:cs="Arial"/>
          <w:sz w:val="24"/>
          <w:szCs w:val="24"/>
        </w:rPr>
        <w:t xml:space="preserve">con il quale è stata </w:t>
      </w:r>
      <w:r w:rsidR="003710A5">
        <w:rPr>
          <w:rFonts w:ascii="Arial" w:hAnsi="Arial" w:cs="Arial"/>
          <w:sz w:val="24"/>
          <w:szCs w:val="24"/>
        </w:rPr>
        <w:t>ribad</w:t>
      </w:r>
      <w:r>
        <w:rPr>
          <w:rFonts w:ascii="Arial" w:hAnsi="Arial" w:cs="Arial"/>
          <w:sz w:val="24"/>
          <w:szCs w:val="24"/>
        </w:rPr>
        <w:t>ita</w:t>
      </w:r>
      <w:r w:rsidR="003710A5">
        <w:rPr>
          <w:rFonts w:ascii="Arial" w:hAnsi="Arial" w:cs="Arial"/>
          <w:sz w:val="24"/>
          <w:szCs w:val="24"/>
        </w:rPr>
        <w:t xml:space="preserve"> la soggettività passiva mediata della Società.</w:t>
      </w:r>
    </w:p>
    <w:p w14:paraId="25102B7E" w14:textId="0D7DB7C7" w:rsidR="00D914DF" w:rsidRPr="00D914DF" w:rsidRDefault="003710A5" w:rsidP="00D914DF">
      <w:pPr>
        <w:spacing w:line="360" w:lineRule="auto"/>
        <w:ind w:firstLine="708"/>
        <w:jc w:val="both"/>
        <w:rPr>
          <w:rFonts w:ascii="Arial" w:eastAsia="Arial" w:hAnsi="Arial" w:cs="Arial"/>
          <w:sz w:val="24"/>
          <w:szCs w:val="24"/>
        </w:rPr>
      </w:pPr>
      <w:r>
        <w:rPr>
          <w:rFonts w:ascii="Arial" w:hAnsi="Arial" w:cs="Arial"/>
          <w:sz w:val="24"/>
          <w:szCs w:val="24"/>
        </w:rPr>
        <w:t xml:space="preserve">Resta pertanto smentita </w:t>
      </w:r>
      <w:r w:rsidRPr="00F02E32">
        <w:rPr>
          <w:rFonts w:ascii="Arial" w:hAnsi="Arial" w:cs="Arial"/>
          <w:i/>
          <w:iCs/>
          <w:sz w:val="24"/>
          <w:szCs w:val="24"/>
        </w:rPr>
        <w:t xml:space="preserve">per </w:t>
      </w:r>
      <w:proofErr w:type="spellStart"/>
      <w:r w:rsidRPr="00F02E32">
        <w:rPr>
          <w:rFonts w:ascii="Arial" w:hAnsi="Arial" w:cs="Arial"/>
          <w:i/>
          <w:iCs/>
          <w:sz w:val="24"/>
          <w:szCs w:val="24"/>
        </w:rPr>
        <w:t>tabulas</w:t>
      </w:r>
      <w:proofErr w:type="spellEnd"/>
      <w:r>
        <w:rPr>
          <w:rFonts w:ascii="Arial" w:hAnsi="Arial" w:cs="Arial"/>
          <w:sz w:val="24"/>
          <w:szCs w:val="24"/>
        </w:rPr>
        <w:t xml:space="preserve"> l’affermazione avversaria secondo cui il Comune non avrebbe fornito riscontro alcuno all’istanza di autotutela.</w:t>
      </w:r>
      <w:r>
        <w:rPr>
          <w:rFonts w:ascii="Arial" w:eastAsia="Arial" w:hAnsi="Arial" w:cs="Arial"/>
          <w:sz w:val="24"/>
          <w:szCs w:val="24"/>
        </w:rPr>
        <w:t xml:space="preserve"> </w:t>
      </w:r>
    </w:p>
    <w:p w14:paraId="471AEA85" w14:textId="5343EC9D" w:rsidR="00D914DF" w:rsidRPr="00595B62" w:rsidRDefault="00F02E32" w:rsidP="00286E13">
      <w:pPr>
        <w:spacing w:line="360" w:lineRule="auto"/>
        <w:ind w:firstLine="708"/>
        <w:jc w:val="both"/>
        <w:rPr>
          <w:rFonts w:ascii="Arial" w:hAnsi="Arial" w:cs="Arial"/>
          <w:sz w:val="24"/>
          <w:szCs w:val="24"/>
        </w:rPr>
      </w:pPr>
      <w:r>
        <w:rPr>
          <w:rFonts w:ascii="Arial" w:hAnsi="Arial" w:cs="Arial"/>
          <w:sz w:val="24"/>
          <w:szCs w:val="24"/>
        </w:rPr>
        <w:lastRenderedPageBreak/>
        <w:t>All’esito del rigetto, a</w:t>
      </w:r>
      <w:r w:rsidR="003710A5">
        <w:rPr>
          <w:rFonts w:ascii="Arial" w:hAnsi="Arial" w:cs="Arial"/>
          <w:sz w:val="24"/>
          <w:szCs w:val="24"/>
        </w:rPr>
        <w:t>vverso il predetto avviso di accertamento WIND TRE S.P.A. ha</w:t>
      </w:r>
      <w:r>
        <w:rPr>
          <w:rFonts w:ascii="Arial" w:hAnsi="Arial" w:cs="Arial"/>
          <w:sz w:val="24"/>
          <w:szCs w:val="24"/>
        </w:rPr>
        <w:t>, comunque,</w:t>
      </w:r>
      <w:r w:rsidR="003710A5">
        <w:rPr>
          <w:rFonts w:ascii="Arial" w:hAnsi="Arial" w:cs="Arial"/>
          <w:sz w:val="24"/>
          <w:szCs w:val="24"/>
        </w:rPr>
        <w:t xml:space="preserve"> proposto ricorso dinanzi alla </w:t>
      </w:r>
      <w:proofErr w:type="spellStart"/>
      <w:r w:rsidR="003710A5">
        <w:rPr>
          <w:rFonts w:ascii="Arial" w:hAnsi="Arial" w:cs="Arial"/>
          <w:sz w:val="24"/>
          <w:szCs w:val="24"/>
        </w:rPr>
        <w:t>On.le</w:t>
      </w:r>
      <w:proofErr w:type="spellEnd"/>
      <w:r w:rsidR="003710A5">
        <w:rPr>
          <w:rFonts w:ascii="Arial" w:hAnsi="Arial" w:cs="Arial"/>
          <w:sz w:val="24"/>
          <w:szCs w:val="24"/>
        </w:rPr>
        <w:t xml:space="preserve"> Corte di Giustizia Tributaria di Primo Grado di Milano, depositato in data </w:t>
      </w:r>
      <w:r w:rsidR="003710A5">
        <w:rPr>
          <w:rFonts w:ascii="Arial" w:hAnsi="Arial" w:cs="Arial"/>
          <w:b/>
          <w:bCs/>
          <w:sz w:val="24"/>
          <w:szCs w:val="24"/>
        </w:rPr>
        <w:t>22 maggio 2026</w:t>
      </w:r>
      <w:r w:rsidR="003710A5">
        <w:rPr>
          <w:rFonts w:ascii="Arial" w:hAnsi="Arial" w:cs="Arial"/>
          <w:sz w:val="24"/>
          <w:szCs w:val="24"/>
        </w:rPr>
        <w:t xml:space="preserve">, deducendo: </w:t>
      </w:r>
      <w:r w:rsidR="00595B62" w:rsidRPr="006B49EF">
        <w:rPr>
          <w:rFonts w:ascii="Arial" w:hAnsi="Arial" w:cs="Arial"/>
          <w:b/>
          <w:bCs/>
          <w:sz w:val="24"/>
          <w:szCs w:val="24"/>
        </w:rPr>
        <w:t>1)</w:t>
      </w:r>
      <w:r w:rsidR="00595B62" w:rsidRPr="00595B62">
        <w:rPr>
          <w:rFonts w:ascii="Arial" w:hAnsi="Arial" w:cs="Arial"/>
          <w:sz w:val="24"/>
          <w:szCs w:val="24"/>
        </w:rPr>
        <w:t xml:space="preserve"> In via preliminare, il quadro normativo di riferimento; </w:t>
      </w:r>
      <w:r w:rsidR="00595B62" w:rsidRPr="006B49EF">
        <w:rPr>
          <w:rFonts w:ascii="Arial" w:hAnsi="Arial" w:cs="Arial"/>
          <w:b/>
          <w:bCs/>
          <w:sz w:val="24"/>
          <w:szCs w:val="24"/>
        </w:rPr>
        <w:t>2)</w:t>
      </w:r>
      <w:r w:rsidR="00595B62" w:rsidRPr="00595B62">
        <w:rPr>
          <w:rFonts w:ascii="Arial" w:hAnsi="Arial" w:cs="Arial"/>
          <w:sz w:val="24"/>
          <w:szCs w:val="24"/>
        </w:rPr>
        <w:t xml:space="preserve"> L'inefficacia del Regolamento Comunale per omessa pubblicazione sul portale MEF, quale conseguenza della natura tributaria del CUP; </w:t>
      </w:r>
      <w:r w:rsidR="00595B62" w:rsidRPr="006B49EF">
        <w:rPr>
          <w:rFonts w:ascii="Arial" w:hAnsi="Arial" w:cs="Arial"/>
          <w:b/>
          <w:bCs/>
          <w:sz w:val="24"/>
          <w:szCs w:val="24"/>
        </w:rPr>
        <w:t>3)</w:t>
      </w:r>
      <w:r w:rsidR="00595B62" w:rsidRPr="00595B62">
        <w:rPr>
          <w:rFonts w:ascii="Arial" w:hAnsi="Arial" w:cs="Arial"/>
          <w:sz w:val="24"/>
          <w:szCs w:val="24"/>
        </w:rPr>
        <w:t xml:space="preserve"> La carenza di taluni elementi essenziali dell'Avviso, quale conseguenza della natura tributaria del CUP; </w:t>
      </w:r>
      <w:r w:rsidR="00595B62" w:rsidRPr="006B49EF">
        <w:rPr>
          <w:rFonts w:ascii="Arial" w:hAnsi="Arial" w:cs="Arial"/>
          <w:b/>
          <w:bCs/>
          <w:sz w:val="24"/>
          <w:szCs w:val="24"/>
        </w:rPr>
        <w:t>4)</w:t>
      </w:r>
      <w:r w:rsidR="00595B62" w:rsidRPr="00595B62">
        <w:rPr>
          <w:rFonts w:ascii="Arial" w:hAnsi="Arial" w:cs="Arial"/>
          <w:sz w:val="24"/>
          <w:szCs w:val="24"/>
        </w:rPr>
        <w:t xml:space="preserve"> L'illegittimità ed infondatezza dell'Avviso per violazione dell'art. 1, comma 831, L. n. 160/2019 con riguardo alla determinazione del tributo </w:t>
      </w:r>
      <w:r w:rsidR="00A50D1E">
        <w:rPr>
          <w:rFonts w:ascii="Arial" w:hAnsi="Arial" w:cs="Arial"/>
          <w:sz w:val="24"/>
          <w:szCs w:val="24"/>
        </w:rPr>
        <w:t xml:space="preserve">e al </w:t>
      </w:r>
      <w:r w:rsidR="00595B62" w:rsidRPr="00595B62">
        <w:rPr>
          <w:rFonts w:ascii="Arial" w:hAnsi="Arial" w:cs="Arial"/>
          <w:sz w:val="24"/>
          <w:szCs w:val="24"/>
        </w:rPr>
        <w:t xml:space="preserve">metodo induttivo; </w:t>
      </w:r>
      <w:r w:rsidR="00595B62" w:rsidRPr="006B49EF">
        <w:rPr>
          <w:rFonts w:ascii="Arial" w:hAnsi="Arial" w:cs="Arial"/>
          <w:b/>
          <w:bCs/>
          <w:sz w:val="24"/>
          <w:szCs w:val="24"/>
        </w:rPr>
        <w:t>5)</w:t>
      </w:r>
      <w:r w:rsidR="00595B62" w:rsidRPr="00595B62">
        <w:rPr>
          <w:rFonts w:ascii="Arial" w:hAnsi="Arial" w:cs="Arial"/>
          <w:sz w:val="24"/>
          <w:szCs w:val="24"/>
        </w:rPr>
        <w:t xml:space="preserve"> L'illegittimità ed infondatezza dell'Avviso in virtù dell'avvenuta comunicazione delle utenze attive e dell'avvenuto versamento del CUP per le annualità 2021-2025; </w:t>
      </w:r>
      <w:r w:rsidR="00595B62" w:rsidRPr="006B49EF">
        <w:rPr>
          <w:rFonts w:ascii="Arial" w:hAnsi="Arial" w:cs="Arial"/>
          <w:b/>
          <w:bCs/>
          <w:sz w:val="24"/>
          <w:szCs w:val="24"/>
        </w:rPr>
        <w:t>6)</w:t>
      </w:r>
      <w:r w:rsidR="00595B62" w:rsidRPr="00595B62">
        <w:rPr>
          <w:rFonts w:ascii="Arial" w:hAnsi="Arial" w:cs="Arial"/>
          <w:sz w:val="24"/>
          <w:szCs w:val="24"/>
        </w:rPr>
        <w:t xml:space="preserve"> L'illegittimità ed infondatezza dell'Avviso in virtù dell'inammissibilità della pretesa impositiva relativa al periodo d'imposta 2025.</w:t>
      </w:r>
    </w:p>
    <w:p w14:paraId="6EA3DA0A" w14:textId="77777777" w:rsidR="00297929" w:rsidRPr="00286E13" w:rsidRDefault="00372560" w:rsidP="00286E13">
      <w:pPr>
        <w:spacing w:line="360" w:lineRule="auto"/>
        <w:ind w:firstLine="708"/>
        <w:jc w:val="both"/>
        <w:rPr>
          <w:rFonts w:ascii="Arial" w:hAnsi="Arial" w:cs="Arial"/>
          <w:sz w:val="24"/>
          <w:szCs w:val="24"/>
        </w:rPr>
      </w:pPr>
      <w:r>
        <w:rPr>
          <w:rFonts w:ascii="Arial" w:hAnsi="Arial" w:cs="Arial"/>
          <w:sz w:val="24"/>
          <w:szCs w:val="24"/>
        </w:rPr>
        <w:t>C</w:t>
      </w:r>
      <w:r w:rsidR="00D914DF">
        <w:rPr>
          <w:rFonts w:ascii="Arial" w:hAnsi="Arial" w:cs="Arial"/>
          <w:sz w:val="24"/>
          <w:szCs w:val="24"/>
        </w:rPr>
        <w:t>on il presente atto, quindi, si costituisce in giudizio il Comune di Cinisello Balsamo, come sopra rappresentato e difeso, contestando le domande, le eccezioni e le deduzioni avversarie, delle quali chiede il rigetto per i seguenti</w:t>
      </w:r>
    </w:p>
    <w:p w14:paraId="1EF096CA" w14:textId="0D632432" w:rsidR="00297929" w:rsidRDefault="003710A5" w:rsidP="00286E13">
      <w:pPr>
        <w:spacing w:line="360" w:lineRule="auto"/>
        <w:jc w:val="center"/>
        <w:rPr>
          <w:rFonts w:ascii="Arial" w:hAnsi="Arial" w:cs="Arial"/>
          <w:b/>
          <w:bCs/>
          <w:sz w:val="24"/>
          <w:szCs w:val="24"/>
        </w:rPr>
      </w:pPr>
      <w:r>
        <w:rPr>
          <w:rFonts w:ascii="Arial" w:hAnsi="Arial" w:cs="Arial"/>
          <w:b/>
          <w:bCs/>
          <w:sz w:val="24"/>
          <w:szCs w:val="24"/>
        </w:rPr>
        <w:t>MOTIVI</w:t>
      </w:r>
    </w:p>
    <w:p w14:paraId="6FC8ED74" w14:textId="77777777" w:rsidR="00F362BF" w:rsidRPr="00F362BF" w:rsidRDefault="00F362BF" w:rsidP="00F362BF">
      <w:pPr>
        <w:spacing w:line="360" w:lineRule="auto"/>
        <w:ind w:firstLine="709"/>
        <w:jc w:val="both"/>
        <w:rPr>
          <w:rFonts w:ascii="Arial" w:hAnsi="Arial" w:cs="Arial"/>
          <w:b/>
          <w:bCs/>
          <w:sz w:val="24"/>
          <w:szCs w:val="24"/>
          <w:u w:val="single"/>
        </w:rPr>
      </w:pPr>
      <w:r w:rsidRPr="00F362BF">
        <w:rPr>
          <w:rFonts w:ascii="Arial" w:hAnsi="Arial" w:cs="Arial"/>
          <w:b/>
          <w:bCs/>
          <w:sz w:val="24"/>
          <w:szCs w:val="24"/>
          <w:u w:val="single"/>
        </w:rPr>
        <w:t>1) Sul quadro normativo di riferimento e sulla natura tributaria del CUP.</w:t>
      </w:r>
    </w:p>
    <w:p w14:paraId="1CB6A369" w14:textId="77638CF9" w:rsidR="00F362BF" w:rsidRPr="00F362BF" w:rsidRDefault="00F362BF" w:rsidP="00F362BF">
      <w:pPr>
        <w:spacing w:line="360" w:lineRule="auto"/>
        <w:ind w:firstLine="709"/>
        <w:jc w:val="both"/>
        <w:rPr>
          <w:rFonts w:ascii="Arial" w:hAnsi="Arial" w:cs="Arial"/>
          <w:sz w:val="24"/>
          <w:szCs w:val="24"/>
        </w:rPr>
      </w:pPr>
      <w:r w:rsidRPr="00F362BF">
        <w:rPr>
          <w:rFonts w:ascii="Arial" w:hAnsi="Arial" w:cs="Arial"/>
          <w:sz w:val="24"/>
          <w:szCs w:val="24"/>
        </w:rPr>
        <w:t xml:space="preserve">Il Comune di Cinisello Balsamo prende atto che Wind Tre S.p.A. ha correttamente incardinato il presente giudizio dinanzi alla </w:t>
      </w:r>
      <w:proofErr w:type="spellStart"/>
      <w:r w:rsidRPr="00F362BF">
        <w:rPr>
          <w:rFonts w:ascii="Arial" w:hAnsi="Arial" w:cs="Arial"/>
          <w:sz w:val="24"/>
          <w:szCs w:val="24"/>
        </w:rPr>
        <w:t>On.le</w:t>
      </w:r>
      <w:proofErr w:type="spellEnd"/>
      <w:r w:rsidRPr="00F362BF">
        <w:rPr>
          <w:rFonts w:ascii="Arial" w:hAnsi="Arial" w:cs="Arial"/>
          <w:sz w:val="24"/>
          <w:szCs w:val="24"/>
        </w:rPr>
        <w:t xml:space="preserve"> Corte di Giustizia Tributaria di Primo Grado di Milano, </w:t>
      </w:r>
      <w:r w:rsidRPr="00442AAA">
        <w:rPr>
          <w:rFonts w:ascii="Arial" w:hAnsi="Arial" w:cs="Arial"/>
          <w:b/>
          <w:bCs/>
          <w:sz w:val="24"/>
          <w:szCs w:val="24"/>
        </w:rPr>
        <w:t>in conformità alla sentenza delle Sezioni Unite della Corte di Cassazione n. 12225 del 1° maggio 2026</w:t>
      </w:r>
      <w:r w:rsidR="00FF2644">
        <w:rPr>
          <w:rFonts w:ascii="Arial" w:hAnsi="Arial" w:cs="Arial"/>
          <w:b/>
          <w:bCs/>
          <w:sz w:val="24"/>
          <w:szCs w:val="24"/>
        </w:rPr>
        <w:t xml:space="preserve"> </w:t>
      </w:r>
      <w:r w:rsidR="00FF2644" w:rsidRPr="00372560">
        <w:rPr>
          <w:rFonts w:ascii="Arial" w:hAnsi="Arial" w:cs="Arial"/>
          <w:b/>
          <w:bCs/>
          <w:sz w:val="24"/>
          <w:szCs w:val="24"/>
        </w:rPr>
        <w:t xml:space="preserve">(doc. </w:t>
      </w:r>
      <w:r w:rsidR="00FF2644">
        <w:rPr>
          <w:rFonts w:ascii="Arial" w:hAnsi="Arial" w:cs="Arial"/>
          <w:b/>
          <w:bCs/>
          <w:sz w:val="24"/>
          <w:szCs w:val="24"/>
        </w:rPr>
        <w:t>7</w:t>
      </w:r>
      <w:r w:rsidR="00FF2644" w:rsidRPr="00372560">
        <w:rPr>
          <w:rFonts w:ascii="Arial" w:hAnsi="Arial" w:cs="Arial"/>
          <w:b/>
          <w:bCs/>
          <w:sz w:val="24"/>
          <w:szCs w:val="24"/>
        </w:rPr>
        <w:t>)</w:t>
      </w:r>
      <w:r w:rsidR="00FF2644">
        <w:rPr>
          <w:rFonts w:ascii="Arial" w:hAnsi="Arial" w:cs="Arial"/>
          <w:sz w:val="24"/>
          <w:szCs w:val="24"/>
        </w:rPr>
        <w:t xml:space="preserve">, </w:t>
      </w:r>
      <w:r w:rsidRPr="00F362BF">
        <w:rPr>
          <w:rFonts w:ascii="Arial" w:hAnsi="Arial" w:cs="Arial"/>
          <w:sz w:val="24"/>
          <w:szCs w:val="24"/>
        </w:rPr>
        <w:t>che ha definitivamente affermato la natura tributaria del Canone Unico Patrimoniale.</w:t>
      </w:r>
    </w:p>
    <w:p w14:paraId="25A7BD77" w14:textId="25648F0A" w:rsidR="00F362BF" w:rsidRPr="00F362BF" w:rsidRDefault="00F362BF" w:rsidP="00F362BF">
      <w:pPr>
        <w:spacing w:line="360" w:lineRule="auto"/>
        <w:ind w:firstLine="709"/>
        <w:jc w:val="both"/>
        <w:rPr>
          <w:rFonts w:ascii="Arial" w:hAnsi="Arial" w:cs="Arial"/>
          <w:sz w:val="24"/>
          <w:szCs w:val="24"/>
        </w:rPr>
      </w:pPr>
      <w:r w:rsidRPr="00F362BF">
        <w:rPr>
          <w:rFonts w:ascii="Arial" w:hAnsi="Arial" w:cs="Arial"/>
          <w:sz w:val="24"/>
          <w:szCs w:val="24"/>
        </w:rPr>
        <w:t>Deve rilevarsi che la natura tributaria del CUP rafforza la posizione dell'Ente, collocando l'obbligazione nel regime proprio dei tributi, nel quale grava sul contribuente l'onere di una dichiarazione completa e veritiera delle utenze e nel quale la condotta reticente o inattendibile dell'operatore non può essere invocata a proprio vantaggio.</w:t>
      </w:r>
    </w:p>
    <w:p w14:paraId="2F1C5004" w14:textId="18BE72E9" w:rsidR="00F362BF" w:rsidRPr="00F362BF" w:rsidRDefault="00F362BF" w:rsidP="00F362BF">
      <w:pPr>
        <w:spacing w:line="360" w:lineRule="auto"/>
        <w:ind w:firstLine="709"/>
        <w:jc w:val="both"/>
        <w:rPr>
          <w:rFonts w:ascii="Arial" w:hAnsi="Arial" w:cs="Arial"/>
          <w:sz w:val="24"/>
          <w:szCs w:val="24"/>
        </w:rPr>
      </w:pPr>
      <w:r w:rsidRPr="00F362BF">
        <w:rPr>
          <w:rFonts w:ascii="Arial" w:hAnsi="Arial" w:cs="Arial"/>
          <w:sz w:val="24"/>
          <w:szCs w:val="24"/>
        </w:rPr>
        <w:t>La ricostruzione del quadro normativo operata dalla Ricorrente, peraltro, richiede sin d'ora alcune puntualizzazioni, a fronte delle premesse interpretative che la controparte vi introduce e sulle quali fonda i propri motivi.</w:t>
      </w:r>
    </w:p>
    <w:p w14:paraId="6C367A1C" w14:textId="77777777" w:rsidR="00F362BF" w:rsidRPr="00F362BF" w:rsidRDefault="00F362BF" w:rsidP="00F362BF">
      <w:pPr>
        <w:spacing w:line="360" w:lineRule="auto"/>
        <w:ind w:firstLine="709"/>
        <w:jc w:val="both"/>
        <w:rPr>
          <w:rFonts w:ascii="Arial" w:hAnsi="Arial" w:cs="Arial"/>
          <w:sz w:val="24"/>
          <w:szCs w:val="24"/>
        </w:rPr>
      </w:pPr>
      <w:r w:rsidRPr="00F362BF">
        <w:rPr>
          <w:rFonts w:ascii="Arial" w:hAnsi="Arial" w:cs="Arial"/>
          <w:sz w:val="24"/>
          <w:szCs w:val="24"/>
        </w:rPr>
        <w:t xml:space="preserve">In primo luogo, la disciplina applicabile alla fattispecie non è quella generale di cui all'art. 1, comma 823, </w:t>
      </w:r>
      <w:r w:rsidRPr="00442AAA">
        <w:rPr>
          <w:rFonts w:ascii="Arial" w:hAnsi="Arial" w:cs="Arial"/>
          <w:b/>
          <w:bCs/>
          <w:sz w:val="24"/>
          <w:szCs w:val="24"/>
        </w:rPr>
        <w:t>L. n. 160/2019</w:t>
      </w:r>
      <w:r w:rsidRPr="00F362BF">
        <w:rPr>
          <w:rFonts w:ascii="Arial" w:hAnsi="Arial" w:cs="Arial"/>
          <w:sz w:val="24"/>
          <w:szCs w:val="24"/>
        </w:rPr>
        <w:t xml:space="preserve"> — richiamata dalla Ricorrente per individuare il soggetto passivo nel solo titolare della concessione — bensì la norma speciale di cui </w:t>
      </w:r>
      <w:r w:rsidRPr="00F362BF">
        <w:rPr>
          <w:rFonts w:ascii="Arial" w:hAnsi="Arial" w:cs="Arial"/>
          <w:b/>
          <w:bCs/>
          <w:sz w:val="24"/>
          <w:szCs w:val="24"/>
        </w:rPr>
        <w:t xml:space="preserve">all'art. 1, comma 831, </w:t>
      </w:r>
      <w:r w:rsidRPr="00F362BF">
        <w:rPr>
          <w:rFonts w:ascii="Arial" w:hAnsi="Arial" w:cs="Arial"/>
          <w:sz w:val="24"/>
          <w:szCs w:val="24"/>
        </w:rPr>
        <w:t>della medesima legge, come modificata dalla L. n. 178/2020,</w:t>
      </w:r>
      <w:r w:rsidRPr="00F362BF">
        <w:rPr>
          <w:rFonts w:ascii="Arial" w:hAnsi="Arial" w:cs="Arial"/>
          <w:b/>
          <w:bCs/>
          <w:sz w:val="24"/>
          <w:szCs w:val="24"/>
        </w:rPr>
        <w:t xml:space="preserve"> che ha introdotto, proprio per il settore dei cavi e delle condutture, la soggettività passiva anche in </w:t>
      </w:r>
      <w:r w:rsidRPr="00F362BF">
        <w:rPr>
          <w:rFonts w:ascii="Arial" w:hAnsi="Arial" w:cs="Arial"/>
          <w:b/>
          <w:bCs/>
          <w:sz w:val="24"/>
          <w:szCs w:val="24"/>
          <w:u w:val="single"/>
        </w:rPr>
        <w:t>via mediata</w:t>
      </w:r>
      <w:r w:rsidRPr="00F362BF">
        <w:rPr>
          <w:rFonts w:ascii="Arial" w:hAnsi="Arial" w:cs="Arial"/>
          <w:b/>
          <w:bCs/>
          <w:sz w:val="24"/>
          <w:szCs w:val="24"/>
        </w:rPr>
        <w:t xml:space="preserve"> di tutti gli operatori che utilizzano le infrastrutture del concessionario, secondo quanto si dirà diffusamente al successivo punto 4).</w:t>
      </w:r>
    </w:p>
    <w:p w14:paraId="00F785C4" w14:textId="77777777" w:rsidR="00F362BF" w:rsidRPr="00F362BF" w:rsidRDefault="00F362BF" w:rsidP="00F362BF">
      <w:pPr>
        <w:spacing w:line="360" w:lineRule="auto"/>
        <w:ind w:firstLine="709"/>
        <w:jc w:val="both"/>
        <w:rPr>
          <w:rFonts w:ascii="Arial" w:hAnsi="Arial" w:cs="Arial"/>
          <w:sz w:val="24"/>
          <w:szCs w:val="24"/>
        </w:rPr>
      </w:pPr>
      <w:r w:rsidRPr="00F362BF">
        <w:rPr>
          <w:rFonts w:ascii="Arial" w:hAnsi="Arial" w:cs="Arial"/>
          <w:sz w:val="24"/>
          <w:szCs w:val="24"/>
        </w:rPr>
        <w:lastRenderedPageBreak/>
        <w:t xml:space="preserve">In secondo luogo, </w:t>
      </w:r>
      <w:r w:rsidRPr="00F362BF">
        <w:rPr>
          <w:rFonts w:ascii="Arial" w:hAnsi="Arial" w:cs="Arial"/>
          <w:b/>
          <w:bCs/>
          <w:sz w:val="24"/>
          <w:szCs w:val="24"/>
        </w:rPr>
        <w:t>la norma di interpretazione autentica di cui all'art. 5, comma 14-quinquies, D.L. 146/2021</w:t>
      </w:r>
      <w:r w:rsidRPr="00F362BF">
        <w:rPr>
          <w:rFonts w:ascii="Arial" w:hAnsi="Arial" w:cs="Arial"/>
          <w:sz w:val="24"/>
          <w:szCs w:val="24"/>
        </w:rPr>
        <w:t xml:space="preserve">, che la Ricorrente inserisce nel quadro normativo di riferimento quasi fosse pacificamente applicabile alla propria posizione, riguarda esclusivamente i settori in cui è prevista </w:t>
      </w:r>
      <w:r w:rsidRPr="00F362BF">
        <w:rPr>
          <w:rFonts w:ascii="Arial" w:hAnsi="Arial" w:cs="Arial"/>
          <w:b/>
          <w:bCs/>
          <w:sz w:val="24"/>
          <w:szCs w:val="24"/>
        </w:rPr>
        <w:t>una separazione strutturale tra distribuzione e vendita — ossia il gas e l'energia elettrica — e non il settore delle telecomunicazioni,</w:t>
      </w:r>
      <w:r w:rsidRPr="00F362BF">
        <w:rPr>
          <w:rFonts w:ascii="Arial" w:hAnsi="Arial" w:cs="Arial"/>
          <w:sz w:val="24"/>
          <w:szCs w:val="24"/>
        </w:rPr>
        <w:t xml:space="preserve"> come pure si esporrà al punto 4).</w:t>
      </w:r>
    </w:p>
    <w:p w14:paraId="190492E8" w14:textId="4368F5E5" w:rsidR="00F362BF" w:rsidRDefault="00F362BF" w:rsidP="005C39E1">
      <w:pPr>
        <w:spacing w:line="360" w:lineRule="auto"/>
        <w:ind w:firstLine="709"/>
        <w:jc w:val="both"/>
        <w:rPr>
          <w:rFonts w:ascii="Arial" w:hAnsi="Arial" w:cs="Arial"/>
          <w:sz w:val="24"/>
          <w:szCs w:val="24"/>
        </w:rPr>
      </w:pPr>
      <w:r w:rsidRPr="00F362BF">
        <w:rPr>
          <w:rFonts w:ascii="Arial" w:hAnsi="Arial" w:cs="Arial"/>
          <w:sz w:val="24"/>
          <w:szCs w:val="24"/>
        </w:rPr>
        <w:t>In terzo luogo, la sopravvenuta natura tributaria del CUP, affermata dalle Sezioni Unite soltanto con la sentenza n. 12225 del 1° maggio 2026, non è suscettibile di inficiare né il Regolamento Comunale, adottato nel 2021 secondo la disciplina allora vigente, né l'Avviso di accertamento, emesso anteriormente a tale pronuncia, secondo quanto si dirà ai punti 2) e 3).</w:t>
      </w:r>
    </w:p>
    <w:p w14:paraId="620966E5" w14:textId="08C2174D" w:rsidR="005C39E1" w:rsidRDefault="007A0D8D" w:rsidP="005C39E1">
      <w:pPr>
        <w:spacing w:line="360" w:lineRule="auto"/>
        <w:ind w:firstLine="709"/>
        <w:jc w:val="both"/>
        <w:rPr>
          <w:rFonts w:ascii="Arial" w:hAnsi="Arial" w:cs="Arial"/>
          <w:b/>
          <w:bCs/>
          <w:sz w:val="24"/>
          <w:szCs w:val="24"/>
          <w:u w:val="single"/>
        </w:rPr>
      </w:pPr>
      <w:r>
        <w:rPr>
          <w:rFonts w:ascii="Arial" w:hAnsi="Arial" w:cs="Arial"/>
          <w:b/>
          <w:bCs/>
          <w:sz w:val="24"/>
          <w:szCs w:val="24"/>
          <w:u w:val="single"/>
        </w:rPr>
        <w:t>2) Sull’eccepita inefficacia del Regolamento Comunale per asserita omessa pubblicazione sul portale MEF.</w:t>
      </w:r>
    </w:p>
    <w:p w14:paraId="509B5269" w14:textId="77777777" w:rsidR="006B49EF" w:rsidRPr="006B49EF"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L'eccezione con cui la Ricorrente deduce la pretesa inefficacia del Regolamento Comunale per omessa pubblicazione sul Portale del Federalismo Fiscale è destituita di fondamento alla luce del quadro normativo e delle indicazioni operative più recenti.</w:t>
      </w:r>
    </w:p>
    <w:p w14:paraId="23B1315B" w14:textId="77777777" w:rsidR="005D0C1B"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 xml:space="preserve">Wind Tre fonda la propria doglianza sull'art. 13, comma 15-ter, del D.L. 6 dicembre 2011, n. 201, sostenendo che, in difetto di trasmissione telematica al MEF e di pubblicazione sul relativo sito, il Regolamento Comunale sarebbe </w:t>
      </w:r>
      <w:proofErr w:type="spellStart"/>
      <w:r w:rsidRPr="005D0C1B">
        <w:rPr>
          <w:rFonts w:ascii="Arial" w:hAnsi="Arial" w:cs="Arial"/>
          <w:i/>
          <w:iCs/>
          <w:sz w:val="24"/>
          <w:szCs w:val="24"/>
        </w:rPr>
        <w:t>tamquam</w:t>
      </w:r>
      <w:proofErr w:type="spellEnd"/>
      <w:r w:rsidRPr="005D0C1B">
        <w:rPr>
          <w:rFonts w:ascii="Arial" w:hAnsi="Arial" w:cs="Arial"/>
          <w:i/>
          <w:iCs/>
          <w:sz w:val="24"/>
          <w:szCs w:val="24"/>
        </w:rPr>
        <w:t xml:space="preserve"> non </w:t>
      </w:r>
      <w:proofErr w:type="spellStart"/>
      <w:r w:rsidRPr="005D0C1B">
        <w:rPr>
          <w:rFonts w:ascii="Arial" w:hAnsi="Arial" w:cs="Arial"/>
          <w:i/>
          <w:iCs/>
          <w:sz w:val="24"/>
          <w:szCs w:val="24"/>
        </w:rPr>
        <w:t>esset</w:t>
      </w:r>
      <w:proofErr w:type="spellEnd"/>
      <w:r w:rsidRPr="006B49EF">
        <w:rPr>
          <w:rFonts w:ascii="Arial" w:hAnsi="Arial" w:cs="Arial"/>
          <w:sz w:val="24"/>
          <w:szCs w:val="24"/>
        </w:rPr>
        <w:t xml:space="preserve"> e, con esso, la pretesa impositiva. </w:t>
      </w:r>
    </w:p>
    <w:p w14:paraId="71B555F1" w14:textId="5D4B0FFC" w:rsidR="006B49EF" w:rsidRPr="006B49EF"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L'assunto è erroneo in radice, giacché muove dall'applicazione retroattiva alle annualità in accertamento (2021-2025) di un onere formale che, per il CUP, non esisteva all'epoca.</w:t>
      </w:r>
    </w:p>
    <w:p w14:paraId="6BCCAEE1" w14:textId="77777777" w:rsidR="005D0C1B"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Va</w:t>
      </w:r>
      <w:r w:rsidR="005D0C1B">
        <w:rPr>
          <w:rFonts w:ascii="Arial" w:hAnsi="Arial" w:cs="Arial"/>
          <w:sz w:val="24"/>
          <w:szCs w:val="24"/>
        </w:rPr>
        <w:t>,</w:t>
      </w:r>
      <w:r w:rsidRPr="006B49EF">
        <w:rPr>
          <w:rFonts w:ascii="Arial" w:hAnsi="Arial" w:cs="Arial"/>
          <w:sz w:val="24"/>
          <w:szCs w:val="24"/>
        </w:rPr>
        <w:t xml:space="preserve"> infatti</w:t>
      </w:r>
      <w:r w:rsidR="005D0C1B">
        <w:rPr>
          <w:rFonts w:ascii="Arial" w:hAnsi="Arial" w:cs="Arial"/>
          <w:sz w:val="24"/>
          <w:szCs w:val="24"/>
        </w:rPr>
        <w:t>,</w:t>
      </w:r>
      <w:r w:rsidRPr="006B49EF">
        <w:rPr>
          <w:rFonts w:ascii="Arial" w:hAnsi="Arial" w:cs="Arial"/>
          <w:sz w:val="24"/>
          <w:szCs w:val="24"/>
        </w:rPr>
        <w:t xml:space="preserve"> premesso che l'obbligo di pubblicazione sul Portale del Federalismo Fiscale quale condizione di efficacia dei regolamenti CUP è una diretta conseguenza della qualificazione tributaria del canone, affermata dalle Sezioni Unite soltanto con sentenza n. 12225, pubblicata il 1° maggio 2026. </w:t>
      </w:r>
    </w:p>
    <w:p w14:paraId="5065BDA2" w14:textId="77777777" w:rsidR="005D0C1B"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 xml:space="preserve">Prima di tale data, il CUP era pacificamente qualificato come entrata patrimoniale, e non rientrava fra i tributi comunali cui l'art. 13, comma 15-ter, D.L. 201/2011 </w:t>
      </w:r>
      <w:r w:rsidR="005D0C1B">
        <w:rPr>
          <w:rFonts w:ascii="Arial" w:hAnsi="Arial" w:cs="Arial"/>
          <w:sz w:val="24"/>
          <w:szCs w:val="24"/>
        </w:rPr>
        <w:t>collega</w:t>
      </w:r>
      <w:r w:rsidRPr="006B49EF">
        <w:rPr>
          <w:rFonts w:ascii="Arial" w:hAnsi="Arial" w:cs="Arial"/>
          <w:sz w:val="24"/>
          <w:szCs w:val="24"/>
        </w:rPr>
        <w:t xml:space="preserve"> la condizione di efficacia connessa alla pubblicazione: </w:t>
      </w:r>
      <w:r w:rsidRPr="005D0C1B">
        <w:rPr>
          <w:rFonts w:ascii="Arial" w:hAnsi="Arial" w:cs="Arial"/>
          <w:sz w:val="24"/>
          <w:szCs w:val="24"/>
          <w:u w:val="single"/>
        </w:rPr>
        <w:t>nessuna norma, pertanto, imponeva ai Comuni la trasmissione al MEF dei regolamenti CUP ai fini della loro efficacia</w:t>
      </w:r>
      <w:r w:rsidRPr="006B49EF">
        <w:rPr>
          <w:rFonts w:ascii="Arial" w:hAnsi="Arial" w:cs="Arial"/>
          <w:sz w:val="24"/>
          <w:szCs w:val="24"/>
        </w:rPr>
        <w:t xml:space="preserve">. </w:t>
      </w:r>
    </w:p>
    <w:p w14:paraId="54AEE98C" w14:textId="6A28C74A" w:rsidR="006B49EF" w:rsidRPr="006B49EF"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Il Regolamento approvato con delibera n. 18 del 15.04.2021 (modificato con delibera n. 24 del 23.05.2022), adottato in quel contesto normativo, era dunque pienamente valido ed efficace secondo la disciplina allora vigente e le pretese per le annualità 2021-2025 vi trovano legittimo fondamento.</w:t>
      </w:r>
    </w:p>
    <w:p w14:paraId="74045958" w14:textId="77777777" w:rsidR="005D0C1B" w:rsidRDefault="006B49EF" w:rsidP="006B49EF">
      <w:pPr>
        <w:spacing w:line="360" w:lineRule="auto"/>
        <w:ind w:firstLine="709"/>
        <w:jc w:val="both"/>
        <w:rPr>
          <w:rFonts w:ascii="Arial" w:hAnsi="Arial" w:cs="Arial"/>
          <w:b/>
          <w:bCs/>
          <w:sz w:val="24"/>
          <w:szCs w:val="24"/>
        </w:rPr>
      </w:pPr>
      <w:r w:rsidRPr="006B49EF">
        <w:rPr>
          <w:rFonts w:ascii="Arial" w:hAnsi="Arial" w:cs="Arial"/>
          <w:sz w:val="24"/>
          <w:szCs w:val="24"/>
        </w:rPr>
        <w:lastRenderedPageBreak/>
        <w:t xml:space="preserve">Tale interpretazione trova conferma nelle stesse </w:t>
      </w:r>
      <w:r w:rsidRPr="006B49EF">
        <w:rPr>
          <w:rFonts w:ascii="Arial" w:hAnsi="Arial" w:cs="Arial"/>
          <w:b/>
          <w:bCs/>
          <w:sz w:val="24"/>
          <w:szCs w:val="24"/>
        </w:rPr>
        <w:t xml:space="preserve">istruzioni operative emanate dal Ministero dell'Economia e delle Finanze. </w:t>
      </w:r>
    </w:p>
    <w:p w14:paraId="074C4366" w14:textId="77777777" w:rsidR="005D0C1B" w:rsidRDefault="006B49EF" w:rsidP="006B49EF">
      <w:pPr>
        <w:spacing w:line="360" w:lineRule="auto"/>
        <w:ind w:firstLine="709"/>
        <w:jc w:val="both"/>
        <w:rPr>
          <w:rFonts w:ascii="Arial" w:hAnsi="Arial" w:cs="Arial"/>
          <w:sz w:val="24"/>
          <w:szCs w:val="24"/>
        </w:rPr>
      </w:pPr>
      <w:r w:rsidRPr="006B49EF">
        <w:rPr>
          <w:rFonts w:ascii="Arial" w:hAnsi="Arial" w:cs="Arial"/>
          <w:b/>
          <w:bCs/>
          <w:sz w:val="24"/>
          <w:szCs w:val="24"/>
        </w:rPr>
        <w:t xml:space="preserve">Con Circolare n. 1/DF del 22 maggio 2026 (doc. 8), </w:t>
      </w:r>
      <w:r w:rsidRPr="006B49EF">
        <w:rPr>
          <w:rFonts w:ascii="Arial" w:hAnsi="Arial" w:cs="Arial"/>
          <w:sz w:val="24"/>
          <w:szCs w:val="24"/>
        </w:rPr>
        <w:t xml:space="preserve">il MEF ha disciplinato gli adempimenti conseguenti alla pronuncia delle Sezioni Unite, stabilendo che i Comuni devono trasmettere al Portale del Federalismo Fiscale, </w:t>
      </w:r>
      <w:r w:rsidRPr="006B49EF">
        <w:rPr>
          <w:rFonts w:ascii="Arial" w:hAnsi="Arial" w:cs="Arial"/>
          <w:b/>
          <w:bCs/>
          <w:sz w:val="24"/>
          <w:szCs w:val="24"/>
          <w:u w:val="single"/>
        </w:rPr>
        <w:t>entro il termine del 14 ottobre 2026</w:t>
      </w:r>
      <w:r w:rsidRPr="006B49EF">
        <w:rPr>
          <w:rFonts w:ascii="Arial" w:hAnsi="Arial" w:cs="Arial"/>
          <w:sz w:val="24"/>
          <w:szCs w:val="24"/>
        </w:rPr>
        <w:t xml:space="preserve">, l'ultima deliberazione vigente in materia di CUP alla data del 1° maggio 2026, in applicazione del principio di ultrattività e conservazione degli atti, con efficacia a decorrere dall'anno d'imposta 2026. </w:t>
      </w:r>
    </w:p>
    <w:p w14:paraId="55428862" w14:textId="65E46D91" w:rsidR="006B49EF" w:rsidRPr="005D0C1B" w:rsidRDefault="006B49EF" w:rsidP="006B49EF">
      <w:pPr>
        <w:spacing w:line="360" w:lineRule="auto"/>
        <w:ind w:firstLine="709"/>
        <w:jc w:val="both"/>
        <w:rPr>
          <w:rFonts w:ascii="Arial" w:hAnsi="Arial" w:cs="Arial"/>
          <w:sz w:val="24"/>
          <w:szCs w:val="24"/>
          <w:u w:val="single"/>
        </w:rPr>
      </w:pPr>
      <w:r w:rsidRPr="006B49EF">
        <w:rPr>
          <w:rFonts w:ascii="Arial" w:hAnsi="Arial" w:cs="Arial"/>
          <w:sz w:val="24"/>
          <w:szCs w:val="24"/>
        </w:rPr>
        <w:t>Ciò conferma, a contrario, che i regolamenti adottati anteriormente alla sentenza delle SS.UU. erano e rimangono validi</w:t>
      </w:r>
      <w:r w:rsidRPr="005D0C1B">
        <w:rPr>
          <w:rFonts w:ascii="Arial" w:hAnsi="Arial" w:cs="Arial"/>
          <w:sz w:val="24"/>
          <w:szCs w:val="24"/>
          <w:u w:val="single"/>
        </w:rPr>
        <w:t>: il MEF non ne ha disposto la riapprovazione, ma soltanto la trasmissione telematica per la pubblicazione sul portale, con effetti peraltro non retroattivi ma decorrenti dal 2026.</w:t>
      </w:r>
    </w:p>
    <w:p w14:paraId="74770059" w14:textId="200B8597" w:rsidR="006B49EF" w:rsidRPr="006B49EF"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L'eccezione sollevata da Wind Tre muove</w:t>
      </w:r>
      <w:r w:rsidR="005D0C1B">
        <w:rPr>
          <w:rFonts w:ascii="Arial" w:hAnsi="Arial" w:cs="Arial"/>
          <w:sz w:val="24"/>
          <w:szCs w:val="24"/>
        </w:rPr>
        <w:t>,</w:t>
      </w:r>
      <w:r w:rsidRPr="006B49EF">
        <w:rPr>
          <w:rFonts w:ascii="Arial" w:hAnsi="Arial" w:cs="Arial"/>
          <w:sz w:val="24"/>
          <w:szCs w:val="24"/>
        </w:rPr>
        <w:t xml:space="preserve"> dunque</w:t>
      </w:r>
      <w:r w:rsidR="005D0C1B">
        <w:rPr>
          <w:rFonts w:ascii="Arial" w:hAnsi="Arial" w:cs="Arial"/>
          <w:sz w:val="24"/>
          <w:szCs w:val="24"/>
        </w:rPr>
        <w:t>,</w:t>
      </w:r>
      <w:r w:rsidRPr="006B49EF">
        <w:rPr>
          <w:rFonts w:ascii="Arial" w:hAnsi="Arial" w:cs="Arial"/>
          <w:sz w:val="24"/>
          <w:szCs w:val="24"/>
        </w:rPr>
        <w:t xml:space="preserve"> da un presupposto errato, pretendendo di applicare retroattivamente a un regolamento del 2021 un onere formale che non esisteva all'epoca della sua adozione, in palese contrasto con i principi di irretroattività e legittimo affidamento che presiedono all'ordinamento tributario.</w:t>
      </w:r>
    </w:p>
    <w:p w14:paraId="145553FD" w14:textId="77777777" w:rsidR="006B49EF" w:rsidRPr="006B49EF"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Del resto, è la stessa Ricorrente a dare atto che il Regolamento Comunale è stato regolarmente pubblicato all'Albo Pretorio del Comune: esso era dunque pienamente conoscibile ed opponibile secondo le forme di pubblicità previste dalla disciplina vigente all'epoca della sua adozione, sicché nessuna incompletezza dell'ambito normativo di riferimento è in concreto ravvisabile.</w:t>
      </w:r>
    </w:p>
    <w:p w14:paraId="2883DBEA" w14:textId="77777777" w:rsidR="006B49EF" w:rsidRDefault="006B49EF" w:rsidP="006B49EF">
      <w:pPr>
        <w:spacing w:line="360" w:lineRule="auto"/>
        <w:ind w:firstLine="709"/>
        <w:jc w:val="both"/>
        <w:rPr>
          <w:rFonts w:ascii="Arial" w:hAnsi="Arial" w:cs="Arial"/>
          <w:sz w:val="24"/>
          <w:szCs w:val="24"/>
        </w:rPr>
      </w:pPr>
      <w:r w:rsidRPr="006B49EF">
        <w:rPr>
          <w:rFonts w:ascii="Arial" w:hAnsi="Arial" w:cs="Arial"/>
          <w:sz w:val="24"/>
          <w:szCs w:val="24"/>
        </w:rPr>
        <w:t>L'eccezione deve pertanto essere respinta.</w:t>
      </w:r>
    </w:p>
    <w:p w14:paraId="4CFAE28C" w14:textId="77777777" w:rsidR="005C39E1" w:rsidRDefault="007A0D8D" w:rsidP="005C39E1">
      <w:pPr>
        <w:spacing w:line="360" w:lineRule="auto"/>
        <w:ind w:firstLine="709"/>
        <w:jc w:val="both"/>
        <w:rPr>
          <w:rFonts w:ascii="Arial" w:hAnsi="Arial" w:cs="Arial"/>
          <w:b/>
          <w:bCs/>
          <w:sz w:val="24"/>
          <w:szCs w:val="24"/>
          <w:u w:val="single"/>
        </w:rPr>
      </w:pPr>
      <w:r>
        <w:rPr>
          <w:rFonts w:ascii="Arial" w:hAnsi="Arial" w:cs="Arial"/>
          <w:b/>
          <w:bCs/>
          <w:sz w:val="24"/>
          <w:szCs w:val="24"/>
          <w:u w:val="single"/>
        </w:rPr>
        <w:t>3) Sul preteso difetto di motivazione e carenza di elementi essenziali dell’avviso di accertamento.</w:t>
      </w:r>
    </w:p>
    <w:p w14:paraId="36562518" w14:textId="77777777" w:rsidR="009B5CEE" w:rsidRDefault="005C39E1" w:rsidP="00607CBF">
      <w:pPr>
        <w:spacing w:line="360" w:lineRule="auto"/>
        <w:ind w:firstLine="709"/>
        <w:jc w:val="both"/>
        <w:rPr>
          <w:rFonts w:ascii="Arial" w:hAnsi="Arial" w:cs="Arial"/>
          <w:sz w:val="24"/>
          <w:szCs w:val="24"/>
        </w:rPr>
      </w:pPr>
      <w:r>
        <w:rPr>
          <w:rFonts w:ascii="Arial" w:hAnsi="Arial" w:cs="Arial"/>
          <w:sz w:val="24"/>
          <w:szCs w:val="24"/>
        </w:rPr>
        <w:t xml:space="preserve">Wind Tre lamenta che l’avviso impugnato sarebbe carente degli elementi essenziali minimi e non consentirebbe al contribuente di comprendere i presupposti di fatto e le ragioni giuridiche della pretesa. </w:t>
      </w:r>
    </w:p>
    <w:p w14:paraId="031EFAE3" w14:textId="77777777" w:rsidR="009B5CEE" w:rsidRDefault="005C39E1" w:rsidP="00607CBF">
      <w:pPr>
        <w:spacing w:line="360" w:lineRule="auto"/>
        <w:ind w:firstLine="709"/>
        <w:jc w:val="both"/>
        <w:rPr>
          <w:rFonts w:ascii="Arial" w:hAnsi="Arial" w:cs="Arial"/>
          <w:sz w:val="24"/>
          <w:szCs w:val="24"/>
        </w:rPr>
      </w:pPr>
      <w:r>
        <w:rPr>
          <w:rFonts w:ascii="Arial" w:hAnsi="Arial" w:cs="Arial"/>
          <w:sz w:val="24"/>
          <w:szCs w:val="24"/>
        </w:rPr>
        <w:t>L’eccezione è manifestamente infondata</w:t>
      </w:r>
      <w:r w:rsidR="009B5CEE">
        <w:rPr>
          <w:rFonts w:ascii="Arial" w:hAnsi="Arial" w:cs="Arial"/>
          <w:sz w:val="24"/>
          <w:szCs w:val="24"/>
        </w:rPr>
        <w:t>.</w:t>
      </w:r>
    </w:p>
    <w:p w14:paraId="4FD1F165" w14:textId="69851BC2" w:rsidR="00607CBF" w:rsidRDefault="009B5CEE" w:rsidP="00607CBF">
      <w:pPr>
        <w:spacing w:line="360" w:lineRule="auto"/>
        <w:ind w:firstLine="709"/>
        <w:jc w:val="both"/>
        <w:rPr>
          <w:rFonts w:ascii="Arial" w:hAnsi="Arial" w:cs="Arial"/>
          <w:sz w:val="24"/>
          <w:szCs w:val="24"/>
        </w:rPr>
      </w:pPr>
      <w:r>
        <w:rPr>
          <w:rFonts w:ascii="Arial" w:hAnsi="Arial" w:cs="Arial"/>
          <w:sz w:val="24"/>
          <w:szCs w:val="24"/>
        </w:rPr>
        <w:t>L</w:t>
      </w:r>
      <w:r w:rsidR="005C39E1">
        <w:rPr>
          <w:rFonts w:ascii="Arial" w:hAnsi="Arial" w:cs="Arial"/>
          <w:sz w:val="24"/>
          <w:szCs w:val="24"/>
        </w:rPr>
        <w:t xml:space="preserve">’avviso di accertamento impugnato risulta pienamente motivato: esso indica espressamente il presupposto impositivo (utilizzo in via mediata della rete del concessionario per le annualità 2021-2025), la norma applicata (art. 1, comma 831, L. 160/2019), il metodo di determinazione adottato (calcolo induttivo fondato sui dati AGCOM e su </w:t>
      </w:r>
      <w:proofErr w:type="spellStart"/>
      <w:r w:rsidR="005C39E1">
        <w:rPr>
          <w:rFonts w:ascii="Arial" w:hAnsi="Arial" w:cs="Arial"/>
          <w:sz w:val="24"/>
          <w:szCs w:val="24"/>
        </w:rPr>
        <w:t>PuntoFisco</w:t>
      </w:r>
      <w:proofErr w:type="spellEnd"/>
      <w:r w:rsidR="005C39E1">
        <w:rPr>
          <w:rFonts w:ascii="Arial" w:hAnsi="Arial" w:cs="Arial"/>
          <w:sz w:val="24"/>
          <w:szCs w:val="24"/>
        </w:rPr>
        <w:t xml:space="preserve">, stante l’inattendibilità delle dichiarazioni delle utenze rese dalla Società), le singole annualità accertate (2021-2025) e l’importo complessivo, la sanzione applicata ai sensi dell’art. 71 del Regolamento Comunale, nonché gli interessi calcolati ai sensi dell’art. 1, comma 802, L. 160/2019. </w:t>
      </w:r>
    </w:p>
    <w:p w14:paraId="4426960B" w14:textId="77777777" w:rsidR="00607CBF" w:rsidRPr="00286E13" w:rsidRDefault="00607CBF" w:rsidP="00607CBF">
      <w:pPr>
        <w:spacing w:line="360" w:lineRule="auto"/>
        <w:ind w:firstLine="708"/>
        <w:jc w:val="both"/>
        <w:rPr>
          <w:rFonts w:ascii="Arial" w:hAnsi="Arial" w:cs="Arial"/>
          <w:sz w:val="24"/>
          <w:szCs w:val="24"/>
        </w:rPr>
      </w:pPr>
      <w:r>
        <w:rPr>
          <w:rFonts w:ascii="Arial" w:hAnsi="Arial" w:cs="Arial"/>
          <w:sz w:val="24"/>
          <w:szCs w:val="24"/>
        </w:rPr>
        <w:lastRenderedPageBreak/>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1757027C" w14:textId="77777777" w:rsidR="005C39E1" w:rsidRDefault="005C39E1" w:rsidP="005C39E1">
      <w:pPr>
        <w:spacing w:line="360" w:lineRule="auto"/>
        <w:ind w:firstLine="709"/>
        <w:jc w:val="both"/>
        <w:rPr>
          <w:rFonts w:ascii="Arial" w:hAnsi="Arial" w:cs="Arial"/>
          <w:sz w:val="24"/>
          <w:szCs w:val="24"/>
        </w:rPr>
      </w:pPr>
      <w:r>
        <w:rPr>
          <w:rFonts w:ascii="Arial" w:hAnsi="Arial" w:cs="Arial"/>
          <w:sz w:val="24"/>
          <w:szCs w:val="24"/>
        </w:rPr>
        <w:t>L’eccezione deve pertanto essere respinta.</w:t>
      </w:r>
    </w:p>
    <w:p w14:paraId="1A0D4582" w14:textId="77777777" w:rsidR="007B616E" w:rsidRDefault="007B616E" w:rsidP="007B616E">
      <w:pPr>
        <w:spacing w:line="360" w:lineRule="auto"/>
        <w:ind w:firstLine="708"/>
        <w:jc w:val="both"/>
        <w:rPr>
          <w:rFonts w:ascii="Arial" w:hAnsi="Arial" w:cs="Arial"/>
          <w:b/>
          <w:bCs/>
          <w:sz w:val="24"/>
          <w:szCs w:val="24"/>
          <w:u w:val="single"/>
        </w:rPr>
      </w:pPr>
      <w:r>
        <w:rPr>
          <w:rFonts w:ascii="Arial" w:hAnsi="Arial" w:cs="Arial"/>
          <w:b/>
          <w:bCs/>
          <w:sz w:val="24"/>
          <w:szCs w:val="24"/>
          <w:u w:val="single"/>
        </w:rPr>
        <w:t>4) Sulla pretesa illegittimità dell’Avviso per violazione dell’art. 1, comma 831, L. n. 160/2019 in punto di determinazione del tributo, e sul difetto di soggettività passiva di Wind Tre.</w:t>
      </w:r>
    </w:p>
    <w:p w14:paraId="0A3043C1" w14:textId="77777777" w:rsidR="007B616E" w:rsidRPr="005C39E1" w:rsidRDefault="007B616E" w:rsidP="00BD21D3">
      <w:pPr>
        <w:spacing w:line="360" w:lineRule="auto"/>
        <w:ind w:firstLine="708"/>
        <w:jc w:val="both"/>
        <w:rPr>
          <w:rFonts w:ascii="Arial" w:eastAsia="Arial" w:hAnsi="Arial" w:cs="Arial"/>
          <w:sz w:val="24"/>
          <w:szCs w:val="24"/>
        </w:rPr>
      </w:pPr>
      <w:r>
        <w:rPr>
          <w:rFonts w:ascii="Arial" w:eastAsia="Arial" w:hAnsi="Arial" w:cs="Arial"/>
          <w:sz w:val="24"/>
          <w:szCs w:val="24"/>
        </w:rPr>
        <w:t xml:space="preserve">Con riferimento alla doglianza in epigrafe riportata, va in primo luogo riferito che di recente, </w:t>
      </w:r>
      <w:r>
        <w:rPr>
          <w:rFonts w:ascii="Arial" w:eastAsia="Arial" w:hAnsi="Arial" w:cs="Arial"/>
          <w:b/>
          <w:bCs/>
          <w:sz w:val="24"/>
          <w:szCs w:val="24"/>
          <w:u w:val="single"/>
        </w:rPr>
        <w:t>PROPRIO CONTRO WIND,</w:t>
      </w:r>
      <w:r>
        <w:rPr>
          <w:rFonts w:ascii="Arial" w:eastAsia="Arial" w:hAnsi="Arial" w:cs="Arial"/>
          <w:sz w:val="24"/>
          <w:szCs w:val="24"/>
        </w:rPr>
        <w:t xml:space="preserve">  la </w:t>
      </w:r>
      <w:r>
        <w:rPr>
          <w:rFonts w:ascii="Arial" w:eastAsia="Arial" w:hAnsi="Arial" w:cs="Arial"/>
          <w:b/>
          <w:bCs/>
          <w:sz w:val="24"/>
          <w:szCs w:val="24"/>
          <w:u w:val="single"/>
        </w:rPr>
        <w:t>CORTE SUPREMA DI CASSAZIONE, Sezione Terza Civile, sentenza n. 11479 del 28 aprile 2026</w:t>
      </w:r>
      <w:r>
        <w:rPr>
          <w:rFonts w:ascii="Arial" w:eastAsia="Arial" w:hAnsi="Arial" w:cs="Arial"/>
          <w:b/>
          <w:bCs/>
          <w:sz w:val="24"/>
          <w:szCs w:val="24"/>
        </w:rPr>
        <w:t xml:space="preserve"> </w:t>
      </w:r>
      <w:r>
        <w:rPr>
          <w:rFonts w:ascii="Arial" w:eastAsia="Arial" w:hAnsi="Arial" w:cs="Arial"/>
          <w:sz w:val="24"/>
          <w:szCs w:val="24"/>
        </w:rPr>
        <w:t>(</w:t>
      </w:r>
      <w:r>
        <w:rPr>
          <w:rFonts w:ascii="Arial" w:eastAsia="Arial" w:hAnsi="Arial" w:cs="Arial"/>
          <w:b/>
          <w:bCs/>
          <w:sz w:val="24"/>
          <w:szCs w:val="24"/>
        </w:rPr>
        <w:t>doc. 9</w:t>
      </w:r>
      <w:r>
        <w:rPr>
          <w:rFonts w:ascii="Arial" w:eastAsia="Arial" w:hAnsi="Arial" w:cs="Arial"/>
          <w:sz w:val="24"/>
          <w:szCs w:val="24"/>
        </w:rPr>
        <w:t xml:space="preserve">) ha chiarito - per la prima volta a livello di legittimità - le questioni giuridiche che costituiscono il nucleo del presente contenzioso, enunciando il seguente principio di diritto: </w:t>
      </w:r>
      <w:r>
        <w:rPr>
          <w:rFonts w:ascii="Arial" w:eastAsia="Arial" w:hAnsi="Arial" w:cs="Arial"/>
          <w:b/>
          <w:bCs/>
          <w:i/>
          <w:iCs/>
          <w:sz w:val="24"/>
          <w:szCs w:val="24"/>
          <w:u w:val="single"/>
        </w:rPr>
        <w:t>“il gestore di servizi telefonici il quale si avvalga dell'accesso "virtuale" ad una rete di proprietà altrui (ad es., mediante tecnologia VULA) è obbligato al pagamento del CUP”</w:t>
      </w:r>
      <w:r>
        <w:rPr>
          <w:rFonts w:ascii="Arial" w:eastAsia="Arial" w:hAnsi="Arial" w:cs="Arial"/>
          <w:b/>
          <w:bCs/>
          <w:sz w:val="24"/>
          <w:szCs w:val="24"/>
        </w:rPr>
        <w:t xml:space="preserve"> (Cass. </w:t>
      </w:r>
      <w:proofErr w:type="spellStart"/>
      <w:r>
        <w:rPr>
          <w:rFonts w:ascii="Arial" w:eastAsia="Arial" w:hAnsi="Arial" w:cs="Arial"/>
          <w:b/>
          <w:bCs/>
          <w:sz w:val="24"/>
          <w:szCs w:val="24"/>
        </w:rPr>
        <w:t>Civ</w:t>
      </w:r>
      <w:proofErr w:type="spellEnd"/>
      <w:r>
        <w:rPr>
          <w:rFonts w:ascii="Arial" w:eastAsia="Arial" w:hAnsi="Arial" w:cs="Arial"/>
          <w:b/>
          <w:bCs/>
          <w:sz w:val="24"/>
          <w:szCs w:val="24"/>
        </w:rPr>
        <w:t>., Sez. III, n. 11479/2026).</w:t>
      </w:r>
    </w:p>
    <w:p w14:paraId="78A3E713" w14:textId="77777777" w:rsidR="007B616E" w:rsidRPr="005C39E1" w:rsidRDefault="007B616E" w:rsidP="007B616E">
      <w:pPr>
        <w:spacing w:line="360" w:lineRule="auto"/>
        <w:ind w:firstLine="708"/>
        <w:jc w:val="both"/>
        <w:rPr>
          <w:rFonts w:ascii="Arial" w:eastAsia="Arial" w:hAnsi="Arial" w:cs="Arial"/>
          <w:sz w:val="24"/>
          <w:szCs w:val="24"/>
        </w:rPr>
      </w:pPr>
      <w:r>
        <w:rPr>
          <w:rFonts w:ascii="Arial" w:eastAsia="Arial" w:hAnsi="Arial" w:cs="Arial"/>
          <w:sz w:val="24"/>
          <w:szCs w:val="24"/>
        </w:rPr>
        <w:t>Ed infatti, la Corte ha statuito che la</w:t>
      </w:r>
      <w:r>
        <w:rPr>
          <w:rFonts w:ascii="Arial" w:eastAsia="Arial" w:hAnsi="Arial" w:cs="Arial"/>
          <w:b/>
          <w:bCs/>
          <w:sz w:val="24"/>
          <w:szCs w:val="24"/>
        </w:rPr>
        <w:t> distinzione tra uso materiale e uso virtuale </w:t>
      </w:r>
      <w:r>
        <w:rPr>
          <w:rFonts w:ascii="Arial" w:eastAsia="Arial" w:hAnsi="Arial" w:cs="Arial"/>
          <w:sz w:val="24"/>
          <w:szCs w:val="24"/>
        </w:rPr>
        <w:t>dell'infrastruttura di rete, su cui si fonda la tesi dell'opponente,</w:t>
      </w:r>
      <w:r>
        <w:rPr>
          <w:rFonts w:ascii="Arial" w:eastAsia="Arial" w:hAnsi="Arial" w:cs="Arial"/>
          <w:b/>
          <w:bCs/>
          <w:sz w:val="24"/>
          <w:szCs w:val="24"/>
        </w:rPr>
        <w:t xml:space="preserve"> è erronea in diritto: i segnali delle linee telefoniche si propagano per legge fisica sempre attraverso un supporto materiale, sicché l'accesso VULA è virtuale unicamente nella modalità tecnica di accesso, non nell'utilizzo della rete, che </w:t>
      </w:r>
      <w:r>
        <w:rPr>
          <w:rFonts w:ascii="Arial" w:eastAsia="Arial" w:hAnsi="Arial" w:cs="Arial"/>
          <w:b/>
          <w:bCs/>
          <w:sz w:val="24"/>
          <w:szCs w:val="24"/>
          <w:u w:val="single"/>
        </w:rPr>
        <w:t>rimane in ogni caso materiale</w:t>
      </w:r>
      <w:r>
        <w:rPr>
          <w:rFonts w:ascii="Arial" w:eastAsia="Arial" w:hAnsi="Arial" w:cs="Arial"/>
          <w:b/>
          <w:bCs/>
          <w:sz w:val="24"/>
          <w:szCs w:val="24"/>
        </w:rPr>
        <w:t xml:space="preserve"> e costituisce pertanto </w:t>
      </w:r>
      <w:r>
        <w:rPr>
          <w:rFonts w:ascii="Arial" w:eastAsia="Arial" w:hAnsi="Arial" w:cs="Arial"/>
          <w:b/>
          <w:bCs/>
          <w:sz w:val="24"/>
          <w:szCs w:val="24"/>
          <w:u w:val="single"/>
        </w:rPr>
        <w:t>occupazione mediata</w:t>
      </w:r>
      <w:r>
        <w:rPr>
          <w:rFonts w:ascii="Arial" w:eastAsia="Arial" w:hAnsi="Arial" w:cs="Arial"/>
          <w:b/>
          <w:bCs/>
          <w:sz w:val="24"/>
          <w:szCs w:val="24"/>
        </w:rPr>
        <w:t xml:space="preserve"> ai sensi dell'art. 1, comma 831, L. 160/2019.</w:t>
      </w:r>
    </w:p>
    <w:p w14:paraId="42E4CB4C" w14:textId="77777777" w:rsidR="007B616E" w:rsidRPr="005C39E1" w:rsidRDefault="007B616E" w:rsidP="007B616E">
      <w:pPr>
        <w:spacing w:line="360" w:lineRule="auto"/>
        <w:ind w:firstLine="708"/>
        <w:jc w:val="both"/>
        <w:rPr>
          <w:rFonts w:ascii="Arial" w:eastAsia="Arial" w:hAnsi="Arial" w:cs="Arial"/>
          <w:sz w:val="24"/>
          <w:szCs w:val="24"/>
        </w:rPr>
      </w:pPr>
      <w:r>
        <w:rPr>
          <w:rFonts w:ascii="Arial" w:eastAsia="Arial" w:hAnsi="Arial" w:cs="Arial"/>
          <w:sz w:val="24"/>
          <w:szCs w:val="24"/>
        </w:rPr>
        <w:t>La Suprema Corte</w:t>
      </w:r>
      <w:r>
        <w:rPr>
          <w:rFonts w:ascii="Arial" w:eastAsia="Arial" w:hAnsi="Arial" w:cs="Arial"/>
          <w:b/>
          <w:bCs/>
          <w:sz w:val="24"/>
          <w:szCs w:val="24"/>
        </w:rPr>
        <w:t> </w:t>
      </w:r>
      <w:r>
        <w:rPr>
          <w:rFonts w:ascii="Arial" w:eastAsia="Arial" w:hAnsi="Arial" w:cs="Arial"/>
          <w:sz w:val="24"/>
          <w:szCs w:val="24"/>
        </w:rPr>
        <w:t>ha altresì definitivamente chiarito che</w:t>
      </w:r>
      <w:r>
        <w:rPr>
          <w:rFonts w:ascii="Arial" w:eastAsia="Arial" w:hAnsi="Arial" w:cs="Arial"/>
          <w:b/>
          <w:bCs/>
          <w:sz w:val="24"/>
          <w:szCs w:val="24"/>
        </w:rPr>
        <w:t> l'art. 5, comma 14-quinquies, D.L. 146/2021 non è applicabile al settore delle telecomunicazioni: l'esenzione </w:t>
      </w:r>
      <w:r>
        <w:rPr>
          <w:rFonts w:ascii="Arial" w:eastAsia="Arial" w:hAnsi="Arial" w:cs="Arial"/>
          <w:sz w:val="24"/>
          <w:szCs w:val="24"/>
        </w:rPr>
        <w:t>ivi prevista opera esclusivamente a favore di chi vende beni ai sensi dell'art. 1470 c.c. e</w:t>
      </w:r>
      <w:r>
        <w:rPr>
          <w:rFonts w:ascii="Arial" w:eastAsia="Arial" w:hAnsi="Arial" w:cs="Arial"/>
          <w:b/>
          <w:bCs/>
          <w:sz w:val="24"/>
          <w:szCs w:val="24"/>
        </w:rPr>
        <w:t> non a favore di chi, come l'operatore telefonico, eroga un servizio. Trattandosi di norma eccezionale, essa è di stretta interpretazione e non è suscettibile di applicazione estensiva al settore TLC.</w:t>
      </w:r>
    </w:p>
    <w:p w14:paraId="5E580523" w14:textId="054BC7A7" w:rsidR="007B616E" w:rsidRPr="005C39E1" w:rsidRDefault="007B616E" w:rsidP="007B616E">
      <w:pPr>
        <w:spacing w:line="360" w:lineRule="auto"/>
        <w:ind w:firstLine="708"/>
        <w:jc w:val="both"/>
      </w:pPr>
      <w:r>
        <w:rPr>
          <w:rFonts w:ascii="Arial" w:eastAsia="Arial" w:hAnsi="Arial" w:cs="Arial"/>
          <w:sz w:val="24"/>
          <w:szCs w:val="24"/>
        </w:rPr>
        <w:t xml:space="preserve">La pronuncia della Corte di legittimità si spera abbia messo un punto definitivo sulla </w:t>
      </w:r>
      <w:r>
        <w:rPr>
          <w:rFonts w:ascii="Arial" w:eastAsia="Arial" w:hAnsi="Arial" w:cs="Arial"/>
          <w:i/>
          <w:iCs/>
          <w:sz w:val="24"/>
          <w:szCs w:val="24"/>
        </w:rPr>
        <w:t>querelle</w:t>
      </w:r>
      <w:r>
        <w:rPr>
          <w:rFonts w:ascii="Arial" w:eastAsia="Arial" w:hAnsi="Arial" w:cs="Arial"/>
          <w:sz w:val="24"/>
          <w:szCs w:val="24"/>
        </w:rPr>
        <w:t xml:space="preserve"> portata avanti d</w:t>
      </w:r>
      <w:r w:rsidR="00B4577C">
        <w:rPr>
          <w:rFonts w:ascii="Arial" w:eastAsia="Arial" w:hAnsi="Arial" w:cs="Arial"/>
          <w:sz w:val="24"/>
          <w:szCs w:val="24"/>
        </w:rPr>
        <w:t>alle</w:t>
      </w:r>
      <w:r>
        <w:rPr>
          <w:rFonts w:ascii="Arial" w:eastAsia="Arial" w:hAnsi="Arial" w:cs="Arial"/>
          <w:sz w:val="24"/>
          <w:szCs w:val="24"/>
        </w:rPr>
        <w:t xml:space="preserve"> società telefoniche che muove da premesse errate.</w:t>
      </w:r>
    </w:p>
    <w:p w14:paraId="71CA0A72"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b/>
          <w:bCs/>
          <w:sz w:val="24"/>
          <w:szCs w:val="24"/>
          <w:u w:val="single"/>
        </w:rPr>
        <w:t>Questi i fatti e la normativa di riferimento.</w:t>
      </w:r>
    </w:p>
    <w:p w14:paraId="6EFFA57B"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Nella narrativa avversaria, sostanzialmente, WIND TRE S.P.A. richiama una normativa oltre che non più attuale, anche recisamente disattesa dallo stesso Legislatore oltre che afferente a diverse fattispecie normativamente regolamentate.</w:t>
      </w:r>
    </w:p>
    <w:p w14:paraId="607C5971"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lastRenderedPageBreak/>
        <w:t xml:space="preserve">Pertanto, per meglio inquadrare la fattispecie portata all’attenzione del Giudice, si impone un breve </w:t>
      </w:r>
      <w:r>
        <w:rPr>
          <w:rFonts w:ascii="Arial" w:hAnsi="Arial" w:cs="Arial"/>
          <w:i/>
          <w:iCs/>
          <w:sz w:val="24"/>
          <w:szCs w:val="24"/>
        </w:rPr>
        <w:t>excursus</w:t>
      </w:r>
      <w:r>
        <w:rPr>
          <w:rFonts w:ascii="Arial" w:hAnsi="Arial" w:cs="Arial"/>
          <w:sz w:val="24"/>
          <w:szCs w:val="24"/>
        </w:rPr>
        <w:t xml:space="preserve"> normativo in tema di legittimazione passiva, al fine di individuare il/i soggetto/i passivamente tenuti al pagamento del canone patrimoniale unico e </w:t>
      </w:r>
      <w:r>
        <w:rPr>
          <w:rFonts w:ascii="Arial" w:hAnsi="Arial" w:cs="Arial"/>
          <w:sz w:val="24"/>
          <w:szCs w:val="24"/>
          <w:u w:val="single"/>
        </w:rPr>
        <w:t xml:space="preserve">ciò anche nell’ipotesi di uso in via mediata in condivisione delle infrastrutture </w:t>
      </w:r>
      <w:proofErr w:type="spellStart"/>
      <w:r>
        <w:rPr>
          <w:rFonts w:ascii="Arial" w:hAnsi="Arial" w:cs="Arial"/>
          <w:sz w:val="24"/>
          <w:szCs w:val="24"/>
          <w:u w:val="single"/>
        </w:rPr>
        <w:t>concessionate</w:t>
      </w:r>
      <w:proofErr w:type="spellEnd"/>
      <w:r>
        <w:rPr>
          <w:rFonts w:ascii="Arial" w:hAnsi="Arial" w:cs="Arial"/>
          <w:sz w:val="24"/>
          <w:szCs w:val="24"/>
          <w:u w:val="single"/>
        </w:rPr>
        <w:t xml:space="preserve"> ad un unico Operatore.</w:t>
      </w:r>
    </w:p>
    <w:p w14:paraId="1D802456"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57FEBA60"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6240EB7C"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E ciò ha fatto fornendo un’interpretazione che ora possiamo definire definitiva dell’art. 1 comma 831 della </w:t>
      </w:r>
      <w:proofErr w:type="gramStart"/>
      <w:r>
        <w:rPr>
          <w:rFonts w:ascii="Arial" w:hAnsi="Arial" w:cs="Arial"/>
          <w:sz w:val="24"/>
          <w:szCs w:val="24"/>
        </w:rPr>
        <w:t>predetta</w:t>
      </w:r>
      <w:proofErr w:type="gramEnd"/>
      <w:r>
        <w:rPr>
          <w:rFonts w:ascii="Arial" w:hAnsi="Arial" w:cs="Arial"/>
          <w:sz w:val="24"/>
          <w:szCs w:val="24"/>
        </w:rPr>
        <w:t xml:space="preserve"> Legge.</w:t>
      </w:r>
    </w:p>
    <w:p w14:paraId="6F96E27D"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0A7BCB93"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Il titolare della concessione comunale avrebbe, poi, esercitato rivalsa sulle aziende che utilizzavano la stessa rete, per quanto complessivamente ed obbligatoriamente da esso anticipato al locale Comune anche in loro vece e favore.</w:t>
      </w:r>
    </w:p>
    <w:p w14:paraId="4A3D8B1C"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Nella vigenza di tale normativa o, meglio, prassi applicativa (</w:t>
      </w:r>
      <w:r>
        <w:rPr>
          <w:rFonts w:ascii="Arial" w:hAnsi="Arial" w:cs="Arial"/>
          <w:b/>
          <w:bCs/>
          <w:sz w:val="24"/>
          <w:szCs w:val="24"/>
        </w:rPr>
        <w:t>poiché tale indirizzo normativo mai è entrato in vigore</w:t>
      </w:r>
      <w:r>
        <w:rPr>
          <w:rFonts w:ascii="Arial" w:hAnsi="Arial" w:cs="Arial"/>
          <w:sz w:val="24"/>
          <w:szCs w:val="24"/>
        </w:rPr>
        <w:t xml:space="preserve">) il soggetto chiamato a corrispondere il canone sarebbe stato esclusivamente Tim/Telecom S.p.A., quale unico soggetto </w:t>
      </w:r>
      <w:proofErr w:type="spellStart"/>
      <w:r>
        <w:rPr>
          <w:rFonts w:ascii="Arial" w:hAnsi="Arial" w:cs="Arial"/>
          <w:sz w:val="24"/>
          <w:szCs w:val="24"/>
        </w:rPr>
        <w:t>concessionato</w:t>
      </w:r>
      <w:proofErr w:type="spellEnd"/>
      <w:r>
        <w:rPr>
          <w:rFonts w:ascii="Arial" w:hAnsi="Arial" w:cs="Arial"/>
          <w:sz w:val="24"/>
          <w:szCs w:val="24"/>
        </w:rPr>
        <w:t xml:space="preserve"> all’uso del sottosuolo pubblico salvo, come anticipato, il suo diritto alla rivalsa/regresso nei confronti degli altri utilizzatori tra cui, evidentemente, anche WIND TRE S.P.A., che pacificamente utilizza le reti altrui mediante collegamenti </w:t>
      </w:r>
      <w:r>
        <w:rPr>
          <w:rFonts w:ascii="Arial" w:hAnsi="Arial" w:cs="Arial"/>
          <w:b/>
          <w:bCs/>
          <w:sz w:val="24"/>
          <w:szCs w:val="24"/>
        </w:rPr>
        <w:t xml:space="preserve">VLAN (Virtual Local Area Network), NGA (Next Generation Access), VULA (Virtual </w:t>
      </w:r>
      <w:proofErr w:type="spellStart"/>
      <w:r>
        <w:rPr>
          <w:rFonts w:ascii="Arial" w:hAnsi="Arial" w:cs="Arial"/>
          <w:b/>
          <w:bCs/>
          <w:sz w:val="24"/>
          <w:szCs w:val="24"/>
        </w:rPr>
        <w:t>Unbundled</w:t>
      </w:r>
      <w:proofErr w:type="spellEnd"/>
      <w:r>
        <w:rPr>
          <w:rFonts w:ascii="Arial" w:hAnsi="Arial" w:cs="Arial"/>
          <w:b/>
          <w:bCs/>
          <w:sz w:val="24"/>
          <w:szCs w:val="24"/>
        </w:rPr>
        <w:t xml:space="preserve"> Local Access) e SLU (Sub Loop </w:t>
      </w:r>
      <w:proofErr w:type="spellStart"/>
      <w:r>
        <w:rPr>
          <w:rFonts w:ascii="Arial" w:hAnsi="Arial" w:cs="Arial"/>
          <w:b/>
          <w:bCs/>
          <w:sz w:val="24"/>
          <w:szCs w:val="24"/>
        </w:rPr>
        <w:t>Unbundling</w:t>
      </w:r>
      <w:proofErr w:type="spellEnd"/>
      <w:r>
        <w:rPr>
          <w:rFonts w:ascii="Arial" w:hAnsi="Arial" w:cs="Arial"/>
          <w:b/>
          <w:bCs/>
          <w:sz w:val="24"/>
          <w:szCs w:val="24"/>
        </w:rPr>
        <w:t>)</w:t>
      </w:r>
      <w:r>
        <w:rPr>
          <w:rFonts w:ascii="Arial" w:hAnsi="Arial" w:cs="Arial"/>
          <w:sz w:val="24"/>
          <w:szCs w:val="24"/>
        </w:rPr>
        <w:t xml:space="preserve">; per chiarezza espositiva si evidenzia che con tali acronimi si indicano le modalità che gli operatori di rete hanno a disposizione per accedere alla rete dell’operatore </w:t>
      </w:r>
      <w:proofErr w:type="spellStart"/>
      <w:r>
        <w:rPr>
          <w:rFonts w:ascii="Arial" w:hAnsi="Arial" w:cs="Arial"/>
          <w:sz w:val="24"/>
          <w:szCs w:val="24"/>
        </w:rPr>
        <w:t>concessionato</w:t>
      </w:r>
      <w:proofErr w:type="spellEnd"/>
      <w:r>
        <w:rPr>
          <w:rFonts w:ascii="Arial" w:hAnsi="Arial" w:cs="Arial"/>
          <w:sz w:val="24"/>
          <w:szCs w:val="24"/>
        </w:rPr>
        <w:t xml:space="preserve"> Tim/Telecom S.p.A./FiberCop, ex monopolista delle infrastrutture nazionali.</w:t>
      </w:r>
    </w:p>
    <w:p w14:paraId="360EA0AB"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lastRenderedPageBreak/>
        <w:t xml:space="preserve">Ricordiamo, poi, che il Legislatore con il </w:t>
      </w:r>
      <w:r>
        <w:rPr>
          <w:rFonts w:ascii="Arial" w:hAnsi="Arial" w:cs="Arial"/>
          <w:sz w:val="24"/>
          <w:szCs w:val="24"/>
          <w:u w:val="single"/>
        </w:rPr>
        <w:t>comma 848 della Legge 178/2020</w:t>
      </w:r>
      <w:r>
        <w:rPr>
          <w:rFonts w:ascii="Arial" w:hAnsi="Arial" w:cs="Arial"/>
          <w:sz w:val="24"/>
          <w:szCs w:val="24"/>
        </w:rPr>
        <w:t xml:space="preserve"> del 30.12.2020 ha apportato radicali modifiche, stravolgendola, alla disciplina riscrivendo il comma 831 ed introducendo il concetto della c.d. </w:t>
      </w:r>
      <w:r>
        <w:rPr>
          <w:rFonts w:ascii="Arial" w:hAnsi="Arial" w:cs="Arial"/>
          <w:b/>
          <w:bCs/>
          <w:sz w:val="24"/>
          <w:szCs w:val="24"/>
          <w:u w:val="single"/>
        </w:rPr>
        <w:t>soggettività passiva in via mediata</w:t>
      </w:r>
      <w:r>
        <w:rPr>
          <w:rFonts w:ascii="Arial" w:hAnsi="Arial" w:cs="Arial"/>
          <w:sz w:val="24"/>
          <w:szCs w:val="24"/>
        </w:rPr>
        <w:t xml:space="preserve"> quale presupposto per l’applicazione della norma di cui, di seguito, riportiamo la sintesi.</w:t>
      </w:r>
    </w:p>
    <w:p w14:paraId="6A367E62"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Ad oggi, quindi, il criterio informatore per la fattispecie in esame risulta il seguente: “</w:t>
      </w:r>
      <w:r>
        <w:rPr>
          <w:rFonts w:ascii="Arial" w:hAnsi="Arial" w:cs="Arial"/>
          <w:i/>
          <w:iCs/>
          <w:sz w:val="24"/>
          <w:szCs w:val="24"/>
        </w:rPr>
        <w:t xml:space="preserve">il canone è dovuto dal soggetto titolare dell’atto di concessione dell’occupazione del suolo pubblico e dai soggetti che occupano il suolo pubblico </w:t>
      </w:r>
      <w:r>
        <w:rPr>
          <w:rFonts w:ascii="Arial" w:hAnsi="Arial" w:cs="Arial"/>
          <w:i/>
          <w:iCs/>
          <w:sz w:val="24"/>
          <w:szCs w:val="24"/>
          <w:u w:val="single"/>
        </w:rPr>
        <w:t>anche in via mediata</w:t>
      </w:r>
      <w:r>
        <w:rPr>
          <w:rFonts w:ascii="Arial" w:hAnsi="Arial" w:cs="Arial"/>
          <w:i/>
          <w:iCs/>
          <w:sz w:val="24"/>
          <w:szCs w:val="24"/>
        </w:rPr>
        <w:t xml:space="preserve"> attraverso l’utilizzo materiale delle infrastrutture del soggetto titolare della concessione </w:t>
      </w:r>
      <w:r>
        <w:rPr>
          <w:rFonts w:ascii="Arial" w:hAnsi="Arial" w:cs="Arial"/>
          <w:i/>
          <w:iCs/>
          <w:sz w:val="24"/>
          <w:szCs w:val="24"/>
          <w:u w:val="single"/>
        </w:rPr>
        <w:t>sulla base del numero delle rispettive utenze</w:t>
      </w:r>
      <w:r>
        <w:rPr>
          <w:rFonts w:ascii="Arial" w:hAnsi="Arial" w:cs="Arial"/>
          <w:i/>
          <w:iCs/>
          <w:sz w:val="24"/>
          <w:szCs w:val="24"/>
        </w:rPr>
        <w:t xml:space="preserve"> moltiplicate per la seguente tariffa forfettaria ...omissis...”.</w:t>
      </w:r>
    </w:p>
    <w:p w14:paraId="479B73A1"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Evidenti le conseguenze: oltre al formale concessionario Tim/Telecom S.p.A./FiberCop 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 rappresentato dalle singole abitazioni private e/o aziende del territorio nazionale.</w:t>
      </w:r>
    </w:p>
    <w:p w14:paraId="31AFD542"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Si noti che il principio cristallizzato nella nuova formulazione ed interpretazione dell’art. 1 comma 831 è stato mutuato da una risalente Circolare interpretativa del MEF pubblicata nell’anno 2009 (Circolare n. 1/DF del 20.01.2009 – </w:t>
      </w:r>
      <w:r>
        <w:rPr>
          <w:rFonts w:ascii="Arial" w:hAnsi="Arial" w:cs="Arial"/>
          <w:b/>
          <w:bCs/>
          <w:sz w:val="24"/>
          <w:szCs w:val="24"/>
        </w:rPr>
        <w:t>doc. 10</w:t>
      </w:r>
      <w:r>
        <w:rPr>
          <w:rFonts w:ascii="Arial" w:hAnsi="Arial" w:cs="Arial"/>
          <w:sz w:val="24"/>
          <w:szCs w:val="24"/>
        </w:rPr>
        <w:t>)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419522C9"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116462BF"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532CF82D"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w:t>
      </w:r>
      <w:r>
        <w:rPr>
          <w:rFonts w:ascii="Arial" w:hAnsi="Arial" w:cs="Arial"/>
          <w:sz w:val="24"/>
          <w:szCs w:val="24"/>
        </w:rPr>
        <w:lastRenderedPageBreak/>
        <w:t xml:space="preserve">cui WIND TRE S.P.A.), </w:t>
      </w:r>
      <w:r>
        <w:rPr>
          <w:rFonts w:ascii="Arial" w:hAnsi="Arial" w:cs="Arial"/>
          <w:sz w:val="24"/>
          <w:szCs w:val="24"/>
          <w:u w:val="single"/>
        </w:rPr>
        <w:t>il numero delle utenze riconducibili all’ex monopolista si è evidentemente e drasticamente ridotto.</w:t>
      </w:r>
    </w:p>
    <w:p w14:paraId="7F39B86D" w14:textId="44029DFB"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Ad oggi, infatti, dai dati AGCOM si rileva che le più importanti Compagnie operanti sul territorio nazionale detengono le seguenti quote di mercato: Tim/Telecom S.p.A. il 35,90% delle utenze del mercato nazionale, Vodafone S.p.A. + Fastweb incorporata 28,4</w:t>
      </w:r>
      <w:r w:rsidR="008E73DA">
        <w:rPr>
          <w:rFonts w:ascii="Arial" w:hAnsi="Arial" w:cs="Arial"/>
          <w:sz w:val="24"/>
          <w:szCs w:val="24"/>
        </w:rPr>
        <w:t>0</w:t>
      </w:r>
      <w:r>
        <w:rPr>
          <w:rFonts w:ascii="Arial" w:hAnsi="Arial" w:cs="Arial"/>
          <w:sz w:val="24"/>
          <w:szCs w:val="24"/>
        </w:rPr>
        <w:t xml:space="preserve">% e Wind S.p.A. il 14,40% circa (cfr. Osservatorio AGCOM – </w:t>
      </w:r>
      <w:r>
        <w:rPr>
          <w:rFonts w:ascii="Arial" w:hAnsi="Arial" w:cs="Arial"/>
          <w:b/>
          <w:bCs/>
          <w:sz w:val="24"/>
          <w:szCs w:val="24"/>
        </w:rPr>
        <w:t>doc. 11</w:t>
      </w:r>
      <w:r>
        <w:rPr>
          <w:rFonts w:ascii="Arial" w:hAnsi="Arial" w:cs="Arial"/>
          <w:sz w:val="24"/>
          <w:szCs w:val="24"/>
        </w:rPr>
        <w:t>); le Compagnie minori si spartiscono le residue quote.</w:t>
      </w:r>
    </w:p>
    <w:p w14:paraId="646524E2"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Tale equilibrio di mercato si riverbera, statisticamente, anche all’interno del Comune di Cinisello Balsamo dove, conseguentemente e parallelamente, si è rilevato uno speculare decremento delle entrate comunali proprio per la progressiva diminuzione delle utenze riconducibili all’ex monopolista </w:t>
      </w:r>
      <w:r>
        <w:rPr>
          <w:rFonts w:ascii="Arial" w:hAnsi="Arial" w:cs="Arial"/>
          <w:b/>
          <w:bCs/>
          <w:sz w:val="24"/>
          <w:szCs w:val="24"/>
          <w:u w:val="single"/>
        </w:rPr>
        <w:t>Tim/Telecom S.p.A./FiberCop che versa, ora, solo la quota di sua esclusiva spettanza e non già l’intero del dovuto.</w:t>
      </w:r>
    </w:p>
    <w:p w14:paraId="1744D289"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rFonts w:ascii="Arial" w:hAnsi="Arial" w:cs="Arial"/>
          <w:sz w:val="24"/>
          <w:szCs w:val="24"/>
          <w:u w:val="single"/>
        </w:rPr>
        <w:t>con la modifica apportata dal Legislatore in sede di Legge di bilancio 2021</w:t>
      </w:r>
      <w:r>
        <w:rPr>
          <w:rFonts w:ascii="Arial" w:hAnsi="Arial" w:cs="Arial"/>
          <w:sz w:val="24"/>
          <w:szCs w:val="24"/>
        </w:rPr>
        <w:t xml:space="preserve"> </w:t>
      </w:r>
      <w:r>
        <w:rPr>
          <w:rFonts w:ascii="Arial" w:hAnsi="Arial" w:cs="Arial"/>
          <w:sz w:val="24"/>
          <w:szCs w:val="24"/>
          <w:u w:val="single"/>
        </w:rPr>
        <w:t>è stato disposto che anche gli altri operatori che usufruiscono dei canali di trasmissione dati, di proprietà Tim/Telecom S.p.A./FiberCop, debbano versare il relativo canone</w:t>
      </w:r>
      <w:r>
        <w:rPr>
          <w:rFonts w:ascii="Arial" w:hAnsi="Arial" w:cs="Arial"/>
          <w:sz w:val="24"/>
          <w:szCs w:val="24"/>
        </w:rPr>
        <w:t xml:space="preserve"> (rapportato sempre al numero di utenze a loro riconducibili) considerandoli, quindi, </w:t>
      </w:r>
      <w:r>
        <w:rPr>
          <w:rFonts w:ascii="Arial" w:hAnsi="Arial" w:cs="Arial"/>
          <w:sz w:val="24"/>
          <w:szCs w:val="24"/>
          <w:u w:val="single"/>
        </w:rPr>
        <w:t>soggetti passivi in via mediata</w:t>
      </w:r>
      <w:r>
        <w:rPr>
          <w:rFonts w:ascii="Arial" w:hAnsi="Arial" w:cs="Arial"/>
          <w:sz w:val="24"/>
          <w:szCs w:val="24"/>
        </w:rPr>
        <w:t xml:space="preserve"> del tributo.</w:t>
      </w:r>
    </w:p>
    <w:p w14:paraId="464DA2D8"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Da qui l’incontestabile individuazione, da parte del Comune di Cinisello Balsamo, in WIND TRE S.P.A. di uno dei soggetti passivamente tenuti al versamento del canone per cui è processo.</w:t>
      </w:r>
    </w:p>
    <w:p w14:paraId="2B6D007A"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Pr>
          <w:rFonts w:ascii="Arial" w:hAnsi="Arial" w:cs="Arial"/>
          <w:sz w:val="24"/>
          <w:szCs w:val="24"/>
          <w:u w:val="single"/>
        </w:rPr>
        <w:t>ben distinta da quella oggi portata all’attenzione del Giudice.</w:t>
      </w:r>
    </w:p>
    <w:p w14:paraId="0FB81127"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Essa, infatti, è applicabile esclusivamente al caso in cui vi sia una </w:t>
      </w:r>
      <w:r>
        <w:rPr>
          <w:rFonts w:ascii="Arial" w:hAnsi="Arial" w:cs="Arial"/>
          <w:sz w:val="24"/>
          <w:szCs w:val="24"/>
          <w:u w:val="single"/>
        </w:rPr>
        <w:t>netta separazione tra il soggetto proprietario delle infrastrutture ed il soggetto titolare del contratto di somministrazione del bene distribuito</w:t>
      </w:r>
      <w:r>
        <w:rPr>
          <w:rFonts w:ascii="Arial" w:hAnsi="Arial" w:cs="Arial"/>
          <w:sz w:val="24"/>
          <w:szCs w:val="24"/>
        </w:rPr>
        <w:t xml:space="preserve"> attraverso le medesime infrastrutture.</w:t>
      </w:r>
    </w:p>
    <w:p w14:paraId="2376CDED"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Per meglio rappresentare come la disciplina novellata, dietro la quale WIND TRE S.P.A. vorrebbe trincerarsi, sia applicabile a diversa casistica, richiamiamo la normativa di cui all’art. 21 del </w:t>
      </w:r>
      <w:proofErr w:type="spellStart"/>
      <w:r>
        <w:rPr>
          <w:rFonts w:ascii="Arial" w:hAnsi="Arial" w:cs="Arial"/>
          <w:sz w:val="24"/>
          <w:szCs w:val="24"/>
        </w:rPr>
        <w:t>D.Lgs.</w:t>
      </w:r>
      <w:proofErr w:type="spellEnd"/>
      <w:r>
        <w:rPr>
          <w:rFonts w:ascii="Arial" w:hAnsi="Arial" w:cs="Arial"/>
          <w:sz w:val="24"/>
          <w:szCs w:val="24"/>
        </w:rPr>
        <w:t xml:space="preserve"> 23 maggio 2000 n. 164 concernente le disposizioni di attuazione della direttiva n. 98/30/CE inerente </w:t>
      </w:r>
      <w:proofErr w:type="gramStart"/>
      <w:r>
        <w:rPr>
          <w:rFonts w:ascii="Arial" w:hAnsi="Arial" w:cs="Arial"/>
          <w:sz w:val="24"/>
          <w:szCs w:val="24"/>
        </w:rPr>
        <w:t>la</w:t>
      </w:r>
      <w:proofErr w:type="gramEnd"/>
      <w:r>
        <w:rPr>
          <w:rFonts w:ascii="Arial" w:hAnsi="Arial" w:cs="Arial"/>
          <w:sz w:val="24"/>
          <w:szCs w:val="24"/>
        </w:rPr>
        <w:t xml:space="preserve"> </w:t>
      </w:r>
      <w:r>
        <w:rPr>
          <w:rFonts w:ascii="Arial" w:hAnsi="Arial" w:cs="Arial"/>
          <w:sz w:val="24"/>
          <w:szCs w:val="24"/>
          <w:u w:val="single"/>
        </w:rPr>
        <w:t>distribuzione del gas</w:t>
      </w:r>
      <w:r>
        <w:rPr>
          <w:rFonts w:ascii="Arial" w:hAnsi="Arial" w:cs="Arial"/>
          <w:sz w:val="24"/>
          <w:szCs w:val="24"/>
        </w:rPr>
        <w:t xml:space="preserve"> naturale e la normativa di cui all’art. 1 del </w:t>
      </w:r>
      <w:proofErr w:type="spellStart"/>
      <w:r>
        <w:rPr>
          <w:rFonts w:ascii="Arial" w:hAnsi="Arial" w:cs="Arial"/>
          <w:sz w:val="24"/>
          <w:szCs w:val="24"/>
        </w:rPr>
        <w:t>D.Lgs.</w:t>
      </w:r>
      <w:proofErr w:type="spellEnd"/>
      <w:r>
        <w:rPr>
          <w:rFonts w:ascii="Arial" w:hAnsi="Arial" w:cs="Arial"/>
          <w:sz w:val="24"/>
          <w:szCs w:val="24"/>
        </w:rPr>
        <w:t xml:space="preserve"> 18 giugno 2007 n. 73 convertita in legge n. 125 del 3 </w:t>
      </w:r>
      <w:r>
        <w:rPr>
          <w:rFonts w:ascii="Arial" w:hAnsi="Arial" w:cs="Arial"/>
          <w:sz w:val="24"/>
          <w:szCs w:val="24"/>
        </w:rPr>
        <w:lastRenderedPageBreak/>
        <w:t xml:space="preserve">agosto 2007, con la quale sono state disposte misure urgenti per l’attuazione di disposizioni comunitarie in materia di </w:t>
      </w:r>
      <w:r>
        <w:rPr>
          <w:rFonts w:ascii="Arial" w:hAnsi="Arial" w:cs="Arial"/>
          <w:sz w:val="24"/>
          <w:szCs w:val="24"/>
          <w:u w:val="single"/>
        </w:rPr>
        <w:t>liberalizzazione dei mercati dell’energia</w:t>
      </w:r>
      <w:r>
        <w:rPr>
          <w:rFonts w:ascii="Arial" w:hAnsi="Arial" w:cs="Arial"/>
          <w:sz w:val="24"/>
          <w:szCs w:val="24"/>
        </w:rPr>
        <w:t>”.</w:t>
      </w:r>
    </w:p>
    <w:p w14:paraId="1FC6BEE3"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In tali tipi di distribuzione si assiste ad una </w:t>
      </w:r>
      <w:r>
        <w:rPr>
          <w:rFonts w:ascii="Arial" w:hAnsi="Arial" w:cs="Arial"/>
          <w:sz w:val="24"/>
          <w:szCs w:val="24"/>
          <w:u w:val="single"/>
        </w:rPr>
        <w:t>netta separazione tra l’attività di distribuzione e quella di vendita</w:t>
      </w:r>
      <w:r>
        <w:rPr>
          <w:rFonts w:ascii="Arial" w:hAnsi="Arial" w:cs="Arial"/>
          <w:sz w:val="24"/>
          <w:szCs w:val="24"/>
        </w:rPr>
        <w:t xml:space="preserve"> che si concreta nel fatto che il </w:t>
      </w:r>
      <w:r>
        <w:rPr>
          <w:rFonts w:ascii="Arial" w:hAnsi="Arial" w:cs="Arial"/>
          <w:sz w:val="24"/>
          <w:szCs w:val="24"/>
          <w:u w:val="single"/>
        </w:rPr>
        <w:t>gas</w:t>
      </w:r>
      <w:r>
        <w:rPr>
          <w:rFonts w:ascii="Arial" w:hAnsi="Arial" w:cs="Arial"/>
          <w:sz w:val="24"/>
          <w:szCs w:val="24"/>
        </w:rPr>
        <w:t xml:space="preserve"> o l’</w:t>
      </w:r>
      <w:r>
        <w:rPr>
          <w:rFonts w:ascii="Arial" w:hAnsi="Arial" w:cs="Arial"/>
          <w:sz w:val="24"/>
          <w:szCs w:val="24"/>
          <w:u w:val="single"/>
        </w:rPr>
        <w:t>energia elettrica vengono distribuiti in rete da una determinata società</w:t>
      </w:r>
      <w:r>
        <w:rPr>
          <w:rFonts w:ascii="Arial" w:hAnsi="Arial" w:cs="Arial"/>
          <w:sz w:val="24"/>
          <w:szCs w:val="24"/>
        </w:rPr>
        <w:t xml:space="preserve"> (per esempio Enel Distribuzione S.p.A.) ed </w:t>
      </w:r>
      <w:r>
        <w:rPr>
          <w:rFonts w:ascii="Arial" w:hAnsi="Arial" w:cs="Arial"/>
          <w:sz w:val="24"/>
          <w:szCs w:val="24"/>
          <w:u w:val="single"/>
        </w:rPr>
        <w:t xml:space="preserve">una volta che sono “transitate” nell’infrastruttura </w:t>
      </w:r>
      <w:proofErr w:type="spellStart"/>
      <w:r>
        <w:rPr>
          <w:rFonts w:ascii="Arial" w:hAnsi="Arial" w:cs="Arial"/>
          <w:sz w:val="24"/>
          <w:szCs w:val="24"/>
          <w:u w:val="single"/>
        </w:rPr>
        <w:t>concessionata</w:t>
      </w:r>
      <w:proofErr w:type="spellEnd"/>
      <w:r>
        <w:rPr>
          <w:rFonts w:ascii="Arial" w:hAnsi="Arial" w:cs="Arial"/>
          <w:sz w:val="24"/>
          <w:szCs w:val="24"/>
          <w:u w:val="single"/>
        </w:rPr>
        <w:t xml:space="preserve"> di proprietà esclusiva di un soggetto, vengono commercializzate da altre società</w:t>
      </w:r>
      <w:r>
        <w:rPr>
          <w:rFonts w:ascii="Arial" w:hAnsi="Arial" w:cs="Arial"/>
          <w:sz w:val="24"/>
          <w:szCs w:val="24"/>
        </w:rPr>
        <w:t xml:space="preserve"> per poi raggiungere l’utente finale.</w:t>
      </w:r>
    </w:p>
    <w:p w14:paraId="2695D060"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Ma ciò non accade nel caso e nel </w:t>
      </w:r>
      <w:r>
        <w:rPr>
          <w:rFonts w:ascii="Arial" w:hAnsi="Arial" w:cs="Arial"/>
          <w:sz w:val="24"/>
          <w:szCs w:val="24"/>
          <w:u w:val="single"/>
        </w:rPr>
        <w:t>settore delle telecomunicazioni</w:t>
      </w:r>
      <w:r>
        <w:rPr>
          <w:rFonts w:ascii="Arial" w:hAnsi="Arial" w:cs="Arial"/>
          <w:sz w:val="24"/>
          <w:szCs w:val="24"/>
        </w:rPr>
        <w:t xml:space="preserve"> laddove il </w:t>
      </w:r>
      <w:r>
        <w:rPr>
          <w:rFonts w:ascii="Arial" w:hAnsi="Arial" w:cs="Arial"/>
          <w:sz w:val="24"/>
          <w:szCs w:val="24"/>
          <w:u w:val="single"/>
        </w:rPr>
        <w:t>Legislatore</w:t>
      </w:r>
      <w:r>
        <w:rPr>
          <w:rFonts w:ascii="Arial" w:hAnsi="Arial" w:cs="Arial"/>
          <w:sz w:val="24"/>
          <w:szCs w:val="24"/>
        </w:rPr>
        <w:t xml:space="preserve"> </w:t>
      </w:r>
      <w:r>
        <w:rPr>
          <w:rFonts w:ascii="Arial" w:hAnsi="Arial" w:cs="Arial"/>
          <w:b/>
          <w:bCs/>
          <w:sz w:val="24"/>
          <w:szCs w:val="24"/>
          <w:u w:val="single"/>
        </w:rPr>
        <w:t>non impone una separazione</w:t>
      </w:r>
      <w:r>
        <w:rPr>
          <w:rFonts w:ascii="Arial" w:hAnsi="Arial" w:cs="Arial"/>
          <w:sz w:val="24"/>
          <w:szCs w:val="24"/>
        </w:rPr>
        <w:t xml:space="preserve"> tra soggetto fornitore e soggetto che poi effettivamente vende il prodotto (come nel richiamato caso di gas od energia elettrica), </w:t>
      </w:r>
      <w:r>
        <w:rPr>
          <w:rFonts w:ascii="Arial" w:hAnsi="Arial" w:cs="Arial"/>
          <w:sz w:val="24"/>
          <w:szCs w:val="24"/>
          <w:u w:val="single"/>
        </w:rPr>
        <w:t>ma anzi impone e normativamente incentiva la condivisione delle reti/infrastrutture</w:t>
      </w:r>
      <w:r>
        <w:rPr>
          <w:rFonts w:ascii="Arial" w:hAnsi="Arial" w:cs="Arial"/>
          <w:sz w:val="24"/>
          <w:szCs w:val="24"/>
        </w:rPr>
        <w:t xml:space="preserve"> e ciò anche in attuazione di precise direttive comunitarie.</w:t>
      </w:r>
    </w:p>
    <w:p w14:paraId="5C67B868"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u w:val="single"/>
        </w:rPr>
        <w:t>Questa è la ragione</w:t>
      </w:r>
      <w:r>
        <w:rPr>
          <w:rFonts w:ascii="Arial" w:hAnsi="Arial" w:cs="Arial"/>
          <w:sz w:val="24"/>
          <w:szCs w:val="24"/>
        </w:rPr>
        <w:t xml:space="preserve"> per la quale il Legislatore ha appositamente previsto, per questa sola ipotesi di condivisione delle infrastrutture, il concetto applicativo di </w:t>
      </w:r>
      <w:r>
        <w:rPr>
          <w:rFonts w:ascii="Arial" w:hAnsi="Arial" w:cs="Arial"/>
          <w:sz w:val="24"/>
          <w:szCs w:val="24"/>
          <w:u w:val="single"/>
        </w:rPr>
        <w:t>soggettività passiva mediata</w:t>
      </w:r>
      <w:r>
        <w:rPr>
          <w:rFonts w:ascii="Arial" w:hAnsi="Arial" w:cs="Arial"/>
          <w:sz w:val="24"/>
          <w:szCs w:val="24"/>
        </w:rPr>
        <w:t>.</w:t>
      </w:r>
    </w:p>
    <w:p w14:paraId="121A5D34"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Con la conseguenza che la normativa di cui all’art. </w:t>
      </w:r>
      <w:r>
        <w:rPr>
          <w:rFonts w:ascii="Arial" w:hAnsi="Arial" w:cs="Arial"/>
          <w:sz w:val="24"/>
          <w:szCs w:val="24"/>
          <w:u w:val="single"/>
        </w:rPr>
        <w:t>5 comma 14 quinquies</w:t>
      </w:r>
      <w:r>
        <w:rPr>
          <w:rFonts w:ascii="Arial" w:hAnsi="Arial" w:cs="Arial"/>
          <w:sz w:val="24"/>
          <w:szCs w:val="24"/>
        </w:rPr>
        <w:t xml:space="preserve"> </w:t>
      </w:r>
      <w:r>
        <w:rPr>
          <w:rFonts w:ascii="Arial" w:hAnsi="Arial" w:cs="Arial"/>
          <w:sz w:val="24"/>
          <w:szCs w:val="24"/>
          <w:u w:val="single"/>
        </w:rPr>
        <w:t>del D.L. 146/2021,</w:t>
      </w:r>
      <w:r>
        <w:rPr>
          <w:rFonts w:ascii="Arial" w:hAnsi="Arial" w:cs="Arial"/>
          <w:sz w:val="24"/>
          <w:szCs w:val="24"/>
        </w:rPr>
        <w:t xml:space="preserve"> richiamata da WIND TRE S.P.A., </w:t>
      </w:r>
      <w:r>
        <w:rPr>
          <w:rFonts w:ascii="Arial" w:hAnsi="Arial" w:cs="Arial"/>
          <w:sz w:val="24"/>
          <w:szCs w:val="24"/>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Pr>
          <w:rFonts w:ascii="Arial" w:hAnsi="Arial" w:cs="Arial"/>
          <w:sz w:val="24"/>
          <w:szCs w:val="24"/>
        </w:rPr>
        <w:t>.</w:t>
      </w:r>
    </w:p>
    <w:p w14:paraId="18764B31"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Inoltre, con la novella dell’anno 2021 il Legislatore nuovamente intervenendo nella disciplina di cui al comma 831 ha stabilito che: “</w:t>
      </w:r>
      <w:r>
        <w:rPr>
          <w:rFonts w:ascii="Arial" w:hAnsi="Arial" w:cs="Arial"/>
          <w:i/>
          <w:iCs/>
          <w:sz w:val="24"/>
          <w:szCs w:val="24"/>
        </w:rPr>
        <w:t xml:space="preserve">il comma 831 dell’articolo 1 della Legge 27 dicembre 2019 n. 160 si interpreta nel senso che: a) per le occupazioni permanenti di suolo pubblico effettuate nei settori </w:t>
      </w:r>
      <w:r>
        <w:rPr>
          <w:rFonts w:ascii="Arial" w:hAnsi="Arial" w:cs="Arial"/>
          <w:b/>
          <w:bCs/>
          <w:i/>
          <w:iCs/>
          <w:sz w:val="24"/>
          <w:szCs w:val="24"/>
          <w:u w:val="single"/>
        </w:rPr>
        <w:t>in cui è prevista una separazione</w:t>
      </w:r>
      <w:r>
        <w:rPr>
          <w:rFonts w:ascii="Arial" w:hAnsi="Arial" w:cs="Arial"/>
          <w:i/>
          <w:iCs/>
          <w:sz w:val="24"/>
          <w:szCs w:val="24"/>
        </w:rPr>
        <w:t xml:space="preserve">, in ragione di assetti normativi regolamentari o contrattuali </w:t>
      </w:r>
      <w:r>
        <w:rPr>
          <w:rFonts w:ascii="Arial" w:hAnsi="Arial" w:cs="Arial"/>
          <w:b/>
          <w:bCs/>
          <w:i/>
          <w:iCs/>
          <w:sz w:val="24"/>
          <w:szCs w:val="24"/>
          <w:u w:val="single"/>
        </w:rPr>
        <w:t xml:space="preserve">tra i soggetti titolari delle infrastrutture ed i soggetti titolari del contratto di vendita del bene distribuito alla </w:t>
      </w:r>
      <w:r>
        <w:rPr>
          <w:rFonts w:ascii="Arial" w:hAnsi="Arial" w:cs="Arial"/>
          <w:b/>
          <w:bCs/>
          <w:i/>
          <w:iCs/>
          <w:sz w:val="24"/>
          <w:szCs w:val="24"/>
        </w:rPr>
        <w:t>clientela finale</w:t>
      </w:r>
      <w:r>
        <w:rPr>
          <w:rFonts w:ascii="Arial" w:hAnsi="Arial" w:cs="Arial"/>
          <w:i/>
          <w:iCs/>
          <w:sz w:val="24"/>
          <w:szCs w:val="24"/>
        </w:rPr>
        <w:t xml:space="preserve">, </w:t>
      </w:r>
      <w:r>
        <w:rPr>
          <w:rFonts w:ascii="Arial" w:hAnsi="Arial" w:cs="Arial"/>
          <w:b/>
          <w:bCs/>
          <w:i/>
          <w:iCs/>
          <w:sz w:val="24"/>
          <w:szCs w:val="24"/>
          <w:u w:val="single"/>
        </w:rPr>
        <w:t>non configurandosi alcuna occupazione in via mediata</w:t>
      </w:r>
      <w:r>
        <w:rPr>
          <w:rFonts w:ascii="Arial" w:hAnsi="Arial" w:cs="Arial"/>
          <w:i/>
          <w:iCs/>
          <w:sz w:val="24"/>
          <w:szCs w:val="24"/>
        </w:rPr>
        <w:t xml:space="preserve"> ed alcun utilizzo materiale delle infrastrutture da parte della società di vendita, </w:t>
      </w:r>
      <w:r>
        <w:rPr>
          <w:rFonts w:ascii="Arial" w:hAnsi="Arial" w:cs="Arial"/>
          <w:b/>
          <w:bCs/>
          <w:i/>
          <w:iCs/>
          <w:sz w:val="24"/>
          <w:szCs w:val="24"/>
          <w:u w:val="single"/>
        </w:rPr>
        <w:t>il canone è dovuto esclusivamente dal soggetto titolare</w:t>
      </w:r>
      <w:r>
        <w:rPr>
          <w:rFonts w:ascii="Arial" w:hAnsi="Arial" w:cs="Arial"/>
          <w:b/>
          <w:bCs/>
          <w:i/>
          <w:iCs/>
          <w:sz w:val="24"/>
          <w:szCs w:val="24"/>
        </w:rPr>
        <w:t xml:space="preserve"> </w:t>
      </w:r>
      <w:r>
        <w:rPr>
          <w:rFonts w:ascii="Arial" w:hAnsi="Arial" w:cs="Arial"/>
          <w:b/>
          <w:bCs/>
          <w:i/>
          <w:iCs/>
          <w:sz w:val="24"/>
          <w:szCs w:val="24"/>
          <w:u w:val="single"/>
        </w:rPr>
        <w:t>dell’atto concessione</w:t>
      </w:r>
      <w:r>
        <w:rPr>
          <w:rFonts w:ascii="Arial" w:hAnsi="Arial" w:cs="Arial"/>
          <w:i/>
          <w:iCs/>
          <w:sz w:val="24"/>
          <w:szCs w:val="24"/>
        </w:rPr>
        <w:t xml:space="preserve"> delle infrastrutture, in base alle utenze delle predette società di vendita”.</w:t>
      </w:r>
    </w:p>
    <w:p w14:paraId="0D2F4C3A"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b/>
          <w:bCs/>
          <w:sz w:val="24"/>
          <w:szCs w:val="24"/>
        </w:rPr>
        <w:t>MA</w:t>
      </w:r>
      <w:r>
        <w:rPr>
          <w:rFonts w:ascii="Arial" w:hAnsi="Arial" w:cs="Arial"/>
          <w:sz w:val="24"/>
          <w:szCs w:val="24"/>
        </w:rPr>
        <w:t xml:space="preserve"> questa è norma, come anticipato, </w:t>
      </w:r>
      <w:r>
        <w:rPr>
          <w:rFonts w:ascii="Arial" w:hAnsi="Arial" w:cs="Arial"/>
          <w:sz w:val="24"/>
          <w:szCs w:val="24"/>
          <w:u w:val="single"/>
        </w:rPr>
        <w:t>valevole solo per i mercati di</w:t>
      </w:r>
      <w:r>
        <w:rPr>
          <w:rFonts w:ascii="Arial" w:hAnsi="Arial" w:cs="Arial"/>
          <w:sz w:val="24"/>
          <w:szCs w:val="24"/>
        </w:rPr>
        <w:t xml:space="preserve"> vendita/commercializzazione del </w:t>
      </w:r>
      <w:r>
        <w:rPr>
          <w:rFonts w:ascii="Arial" w:hAnsi="Arial" w:cs="Arial"/>
          <w:sz w:val="24"/>
          <w:szCs w:val="24"/>
          <w:u w:val="single"/>
        </w:rPr>
        <w:t xml:space="preserve">gas e dell’energia elettrica e </w:t>
      </w:r>
      <w:r>
        <w:rPr>
          <w:rFonts w:ascii="Arial" w:hAnsi="Arial" w:cs="Arial"/>
          <w:b/>
          <w:bCs/>
          <w:sz w:val="24"/>
          <w:szCs w:val="24"/>
          <w:u w:val="single"/>
        </w:rPr>
        <w:t>non già per il settore della telefonia</w:t>
      </w:r>
      <w:r>
        <w:rPr>
          <w:rFonts w:ascii="Arial" w:hAnsi="Arial" w:cs="Arial"/>
          <w:sz w:val="24"/>
          <w:szCs w:val="24"/>
        </w:rPr>
        <w:t xml:space="preserve"> e trasmissione dati </w:t>
      </w:r>
      <w:r>
        <w:rPr>
          <w:rFonts w:ascii="Arial" w:hAnsi="Arial" w:cs="Arial"/>
          <w:sz w:val="24"/>
          <w:szCs w:val="24"/>
          <w:u w:val="single"/>
        </w:rPr>
        <w:t>nel quale</w:t>
      </w:r>
      <w:r>
        <w:rPr>
          <w:rFonts w:ascii="Arial" w:hAnsi="Arial" w:cs="Arial"/>
          <w:sz w:val="24"/>
          <w:szCs w:val="24"/>
        </w:rPr>
        <w:t xml:space="preserve">, non solo per espressa volontà normativa nazionale ma anche per volontà comunitaria, </w:t>
      </w:r>
      <w:r>
        <w:rPr>
          <w:rFonts w:ascii="Arial" w:hAnsi="Arial" w:cs="Arial"/>
          <w:sz w:val="24"/>
          <w:szCs w:val="24"/>
          <w:u w:val="single"/>
        </w:rPr>
        <w:t>deve esistere</w:t>
      </w:r>
      <w:r>
        <w:rPr>
          <w:rFonts w:ascii="Arial" w:hAnsi="Arial" w:cs="Arial"/>
          <w:sz w:val="24"/>
          <w:szCs w:val="24"/>
        </w:rPr>
        <w:t xml:space="preserve">, come in effetti esiste, </w:t>
      </w:r>
      <w:r>
        <w:rPr>
          <w:rFonts w:ascii="Arial" w:hAnsi="Arial" w:cs="Arial"/>
          <w:b/>
          <w:bCs/>
          <w:sz w:val="24"/>
          <w:szCs w:val="24"/>
          <w:u w:val="single"/>
        </w:rPr>
        <w:t>condivisione</w:t>
      </w:r>
      <w:r>
        <w:rPr>
          <w:rFonts w:ascii="Arial" w:hAnsi="Arial" w:cs="Arial"/>
          <w:sz w:val="24"/>
          <w:szCs w:val="24"/>
        </w:rPr>
        <w:t xml:space="preserve"> delle infrastrutture e delle reti.</w:t>
      </w:r>
    </w:p>
    <w:p w14:paraId="6A8C141A"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lastRenderedPageBreak/>
        <w:t>Del resto, è la stessa WIND TRE S.P.A. nella narrativa del proprio atto a descrivere le modalità operative di condivisione delle infrastrutture e le modalità tecniche di collegamento che prevedono che l’operatore sia presente (non sul suolo pubblico ma esclusivamente nella centrale TIM con apposito kit di consegna). Attraverso tale modalità l’operatore (WIND TRE S.P.A.) si avvale dell’intera tratta che va dalla centrale (sede OLT/PDI) alle abitazioni dei clienti,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1AEC0AC8"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 xml:space="preserve">La natura stessa dell’infrastruttura vuole, quindi, una compresenza di più operatori che agiscono sulla/nella rete TIM/FiberCop S.p.A. che utilizza, anch’essa, la rete insieme ai suoi competitors; </w:t>
      </w:r>
      <w:r>
        <w:rPr>
          <w:rFonts w:ascii="Arial" w:hAnsi="Arial" w:cs="Arial"/>
          <w:sz w:val="24"/>
          <w:szCs w:val="24"/>
          <w:u w:val="single"/>
        </w:rPr>
        <w:t>ciò differentemente da quanto accade nel caso delle società proprietarie della rete di distribuzione del gas o dell’energia elettrica che non possono, per legge, direttamente vendere il prodotto agli utenti finali,</w:t>
      </w:r>
      <w:r>
        <w:rPr>
          <w:rFonts w:ascii="Arial" w:hAnsi="Arial" w:cs="Arial"/>
          <w:sz w:val="24"/>
          <w:szCs w:val="24"/>
        </w:rPr>
        <w:t xml:space="preserve"> dovendosi invece rivolgere ad altre società che effettuano (solo loro) la vendita, per commercializzare il prodotto veicolato nelle proprie infrastrutture (gas/energia elettrica).</w:t>
      </w:r>
    </w:p>
    <w:p w14:paraId="6C664C42"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sz w:val="24"/>
          <w:szCs w:val="24"/>
        </w:rPr>
        <w:t>Di seguito uno schema riassuntivo sulla differenza di utilizzo della rete tra le società di TLC e le società che commercializzano Gas ed Energia.</w:t>
      </w:r>
    </w:p>
    <w:p w14:paraId="2B886342" w14:textId="77777777" w:rsidR="007B616E" w:rsidRPr="00286E13" w:rsidRDefault="007B616E" w:rsidP="007B616E">
      <w:pPr>
        <w:spacing w:line="360" w:lineRule="auto"/>
        <w:rPr>
          <w:rFonts w:ascii="Arial" w:hAnsi="Arial" w:cs="Arial"/>
          <w:sz w:val="24"/>
          <w:szCs w:val="24"/>
        </w:rPr>
      </w:pP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2994"/>
      </w:tblGrid>
      <w:tr w:rsidR="007B616E" w:rsidRPr="00286E13" w14:paraId="0CCC5D12" w14:textId="77777777" w:rsidTr="007B616E">
        <w:tc>
          <w:tcPr>
            <w:tcW w:w="9204"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2A54A861" w14:textId="77777777" w:rsidR="007B616E" w:rsidRPr="00286E13" w:rsidRDefault="007B616E" w:rsidP="00A33349">
            <w:pPr>
              <w:spacing w:line="360" w:lineRule="auto"/>
              <w:jc w:val="center"/>
              <w:rPr>
                <w:rFonts w:ascii="Arial" w:hAnsi="Arial" w:cs="Arial"/>
                <w:sz w:val="24"/>
                <w:szCs w:val="24"/>
              </w:rPr>
            </w:pPr>
            <w:r>
              <w:rPr>
                <w:rFonts w:ascii="Arial" w:hAnsi="Arial" w:cs="Arial"/>
                <w:b/>
                <w:bCs/>
                <w:color w:val="FFFFFF"/>
                <w:sz w:val="24"/>
                <w:szCs w:val="24"/>
              </w:rPr>
              <w:t>SERVIZI DI RETE — Schema comparativo</w:t>
            </w:r>
          </w:p>
        </w:tc>
      </w:tr>
      <w:tr w:rsidR="007B616E" w:rsidRPr="00286E13" w14:paraId="474F7406" w14:textId="77777777" w:rsidTr="007B616E">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71B2820" w14:textId="77777777" w:rsidR="007B616E" w:rsidRPr="00286E13" w:rsidRDefault="007B616E" w:rsidP="00A33349">
            <w:pPr>
              <w:spacing w:line="360" w:lineRule="auto"/>
              <w:jc w:val="center"/>
              <w:rPr>
                <w:rFonts w:ascii="Arial" w:hAnsi="Arial" w:cs="Arial"/>
                <w:sz w:val="24"/>
                <w:szCs w:val="24"/>
              </w:rPr>
            </w:pPr>
            <w:r>
              <w:rPr>
                <w:rFonts w:ascii="Arial" w:hAnsi="Arial" w:cs="Arial"/>
                <w:b/>
                <w:bCs/>
                <w:color w:val="FFFFFF"/>
                <w:sz w:val="24"/>
                <w:szCs w:val="24"/>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07DF0A07" w14:textId="77777777" w:rsidR="007B616E" w:rsidRPr="00286E13" w:rsidRDefault="007B616E" w:rsidP="00A33349">
            <w:pPr>
              <w:spacing w:line="360" w:lineRule="auto"/>
              <w:jc w:val="center"/>
              <w:rPr>
                <w:rFonts w:ascii="Arial" w:hAnsi="Arial" w:cs="Arial"/>
                <w:sz w:val="24"/>
                <w:szCs w:val="24"/>
              </w:rPr>
            </w:pPr>
            <w:r>
              <w:rPr>
                <w:rFonts w:ascii="Arial" w:hAnsi="Arial" w:cs="Arial"/>
                <w:b/>
                <w:bCs/>
                <w:color w:val="FFFFFF"/>
                <w:sz w:val="24"/>
                <w:szCs w:val="24"/>
              </w:rPr>
              <w:t>Società Telefoniche Uso mediato delle reti</w:t>
            </w:r>
          </w:p>
        </w:tc>
        <w:tc>
          <w:tcPr>
            <w:tcW w:w="2994" w:type="dxa"/>
            <w:tcBorders>
              <w:top w:val="single" w:sz="4" w:space="0" w:color="BFBFBF"/>
              <w:bottom w:val="single" w:sz="4" w:space="0" w:color="BFBFBF"/>
              <w:right w:val="single" w:sz="4" w:space="0" w:color="BFBFBF"/>
            </w:tcBorders>
            <w:shd w:val="clear" w:color="auto" w:fill="C55A11"/>
            <w:vAlign w:val="center"/>
          </w:tcPr>
          <w:p w14:paraId="12905D14" w14:textId="77777777" w:rsidR="007B616E" w:rsidRPr="00286E13" w:rsidRDefault="007B616E" w:rsidP="00A33349">
            <w:pPr>
              <w:spacing w:line="360" w:lineRule="auto"/>
              <w:jc w:val="center"/>
              <w:rPr>
                <w:rFonts w:ascii="Arial" w:hAnsi="Arial" w:cs="Arial"/>
                <w:sz w:val="24"/>
                <w:szCs w:val="24"/>
              </w:rPr>
            </w:pPr>
            <w:r>
              <w:rPr>
                <w:rFonts w:ascii="Arial" w:hAnsi="Arial" w:cs="Arial"/>
                <w:b/>
                <w:bCs/>
                <w:color w:val="FFFFFF"/>
                <w:sz w:val="24"/>
                <w:szCs w:val="24"/>
              </w:rPr>
              <w:t>Società di vendita gas/energia Nessun uso delle reti</w:t>
            </w:r>
          </w:p>
        </w:tc>
      </w:tr>
      <w:tr w:rsidR="007B616E" w:rsidRPr="00286E13" w14:paraId="4F0B1FCF"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4E22E704"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t>Cosa passa nella rete</w:t>
            </w:r>
          </w:p>
        </w:tc>
        <w:tc>
          <w:tcPr>
            <w:tcW w:w="3617" w:type="dxa"/>
            <w:tcBorders>
              <w:bottom w:val="single" w:sz="4" w:space="0" w:color="BFBFBF"/>
              <w:right w:val="single" w:sz="4" w:space="0" w:color="BFBFBF"/>
            </w:tcBorders>
            <w:shd w:val="clear" w:color="auto" w:fill="D6E4F0"/>
            <w:vAlign w:val="center"/>
          </w:tcPr>
          <w:p w14:paraId="2C056051"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Oltre al segnale del concessionario, anche il segnale delle altre società operatori (Wind, Vodafone, FASTWEB ecc.)</w:t>
            </w:r>
          </w:p>
        </w:tc>
        <w:tc>
          <w:tcPr>
            <w:tcW w:w="2994" w:type="dxa"/>
            <w:tcBorders>
              <w:bottom w:val="single" w:sz="4" w:space="0" w:color="BFBFBF"/>
              <w:right w:val="single" w:sz="4" w:space="0" w:color="BFBFBF"/>
            </w:tcBorders>
            <w:shd w:val="clear" w:color="auto" w:fill="FCE4D6"/>
            <w:vAlign w:val="center"/>
          </w:tcPr>
          <w:p w14:paraId="654CD16D"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Gas riconducibile solo al gestore della rete</w:t>
            </w:r>
          </w:p>
        </w:tc>
      </w:tr>
      <w:tr w:rsidR="007B616E" w:rsidRPr="00286E13" w14:paraId="111D71BE"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78D02089"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t>Titolarità del contenuto trasportato</w:t>
            </w:r>
          </w:p>
        </w:tc>
        <w:tc>
          <w:tcPr>
            <w:tcW w:w="3617" w:type="dxa"/>
            <w:tcBorders>
              <w:bottom w:val="single" w:sz="4" w:space="0" w:color="BFBFBF"/>
              <w:right w:val="single" w:sz="4" w:space="0" w:color="BFBFBF"/>
            </w:tcBorders>
            <w:shd w:val="clear" w:color="auto" w:fill="D6E4F0"/>
            <w:vAlign w:val="center"/>
          </w:tcPr>
          <w:p w14:paraId="637D2DE4"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Società Telefoniche (Wind, Vodafone, FASTWEB ecc.)</w:t>
            </w:r>
          </w:p>
        </w:tc>
        <w:tc>
          <w:tcPr>
            <w:tcW w:w="2994" w:type="dxa"/>
            <w:tcBorders>
              <w:bottom w:val="single" w:sz="4" w:space="0" w:color="BFBFBF"/>
              <w:right w:val="single" w:sz="4" w:space="0" w:color="BFBFBF"/>
            </w:tcBorders>
            <w:shd w:val="clear" w:color="auto" w:fill="FCE4D6"/>
            <w:vAlign w:val="center"/>
          </w:tcPr>
          <w:p w14:paraId="545662E9"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Gestore della rete</w:t>
            </w:r>
          </w:p>
        </w:tc>
      </w:tr>
      <w:tr w:rsidR="007B616E" w:rsidRPr="00286E13" w14:paraId="3F4A8BC4"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31A14B7C"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t>Ruolo del soggetto</w:t>
            </w:r>
          </w:p>
        </w:tc>
        <w:tc>
          <w:tcPr>
            <w:tcW w:w="3617" w:type="dxa"/>
            <w:tcBorders>
              <w:bottom w:val="single" w:sz="4" w:space="0" w:color="BFBFBF"/>
              <w:right w:val="single" w:sz="4" w:space="0" w:color="BFBFBF"/>
            </w:tcBorders>
            <w:shd w:val="clear" w:color="auto" w:fill="D6E4F0"/>
            <w:vAlign w:val="center"/>
          </w:tcPr>
          <w:p w14:paraId="13D99623"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Fornitore del servizio e utilizzatore dell’infrastruttura</w:t>
            </w:r>
          </w:p>
        </w:tc>
        <w:tc>
          <w:tcPr>
            <w:tcW w:w="2994" w:type="dxa"/>
            <w:tcBorders>
              <w:bottom w:val="single" w:sz="4" w:space="0" w:color="BFBFBF"/>
              <w:right w:val="single" w:sz="4" w:space="0" w:color="BFBFBF"/>
            </w:tcBorders>
            <w:shd w:val="clear" w:color="auto" w:fill="FCE4D6"/>
            <w:vAlign w:val="center"/>
          </w:tcPr>
          <w:p w14:paraId="1D617823"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Venditore commerciale del prodotto</w:t>
            </w:r>
          </w:p>
        </w:tc>
      </w:tr>
      <w:tr w:rsidR="007B616E" w:rsidRPr="00286E13" w14:paraId="4B9A8273"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29E0A8C2"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t>Rapporto con il suolo pubblico</w:t>
            </w:r>
          </w:p>
        </w:tc>
        <w:tc>
          <w:tcPr>
            <w:tcW w:w="3617" w:type="dxa"/>
            <w:tcBorders>
              <w:bottom w:val="single" w:sz="4" w:space="0" w:color="BFBFBF"/>
              <w:right w:val="single" w:sz="4" w:space="0" w:color="BFBFBF"/>
            </w:tcBorders>
            <w:shd w:val="clear" w:color="auto" w:fill="D6E4F0"/>
            <w:vAlign w:val="center"/>
          </w:tcPr>
          <w:p w14:paraId="2AB6EA0D"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Concreto, funzionale, strumentale</w:t>
            </w:r>
          </w:p>
        </w:tc>
        <w:tc>
          <w:tcPr>
            <w:tcW w:w="2994" w:type="dxa"/>
            <w:tcBorders>
              <w:bottom w:val="single" w:sz="4" w:space="0" w:color="BFBFBF"/>
              <w:right w:val="single" w:sz="4" w:space="0" w:color="BFBFBF"/>
            </w:tcBorders>
            <w:shd w:val="clear" w:color="auto" w:fill="FCE4D6"/>
            <w:vAlign w:val="center"/>
          </w:tcPr>
          <w:p w14:paraId="463DCAD1"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Assente</w:t>
            </w:r>
          </w:p>
        </w:tc>
      </w:tr>
      <w:tr w:rsidR="007B616E" w:rsidRPr="00286E13" w14:paraId="1A2CEA76"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018B5D68"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t>Tipo di attività</w:t>
            </w:r>
          </w:p>
        </w:tc>
        <w:tc>
          <w:tcPr>
            <w:tcW w:w="3617" w:type="dxa"/>
            <w:tcBorders>
              <w:bottom w:val="single" w:sz="4" w:space="0" w:color="BFBFBF"/>
              <w:right w:val="single" w:sz="4" w:space="0" w:color="BFBFBF"/>
            </w:tcBorders>
            <w:shd w:val="clear" w:color="auto" w:fill="D6E4F0"/>
            <w:vAlign w:val="center"/>
          </w:tcPr>
          <w:p w14:paraId="5A8B1A46"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Tecnica + commerciale</w:t>
            </w:r>
          </w:p>
        </w:tc>
        <w:tc>
          <w:tcPr>
            <w:tcW w:w="2994" w:type="dxa"/>
            <w:tcBorders>
              <w:bottom w:val="single" w:sz="4" w:space="0" w:color="BFBFBF"/>
              <w:right w:val="single" w:sz="4" w:space="0" w:color="BFBFBF"/>
            </w:tcBorders>
            <w:shd w:val="clear" w:color="auto" w:fill="FCE4D6"/>
            <w:vAlign w:val="center"/>
          </w:tcPr>
          <w:p w14:paraId="257BD1D0"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Solo commerciale</w:t>
            </w:r>
          </w:p>
        </w:tc>
      </w:tr>
      <w:tr w:rsidR="007B616E" w:rsidRPr="00286E13" w14:paraId="7E5478AC"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482B78CC"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t>Uso della rete</w:t>
            </w:r>
          </w:p>
        </w:tc>
        <w:tc>
          <w:tcPr>
            <w:tcW w:w="3617" w:type="dxa"/>
            <w:tcBorders>
              <w:bottom w:val="single" w:sz="4" w:space="0" w:color="BFBFBF"/>
              <w:right w:val="single" w:sz="4" w:space="0" w:color="BFBFBF"/>
            </w:tcBorders>
            <w:shd w:val="clear" w:color="auto" w:fill="D6E4F0"/>
            <w:vAlign w:val="center"/>
          </w:tcPr>
          <w:p w14:paraId="46C61256"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SÌ</w:t>
            </w:r>
          </w:p>
        </w:tc>
        <w:tc>
          <w:tcPr>
            <w:tcW w:w="2994" w:type="dxa"/>
            <w:tcBorders>
              <w:bottom w:val="single" w:sz="4" w:space="0" w:color="BFBFBF"/>
              <w:right w:val="single" w:sz="4" w:space="0" w:color="BFBFBF"/>
            </w:tcBorders>
            <w:shd w:val="clear" w:color="auto" w:fill="FCE4D6"/>
            <w:vAlign w:val="center"/>
          </w:tcPr>
          <w:p w14:paraId="37BA3A1F"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NO</w:t>
            </w:r>
          </w:p>
        </w:tc>
      </w:tr>
      <w:tr w:rsidR="007B616E" w:rsidRPr="00286E13" w14:paraId="792DF8A1" w14:textId="77777777" w:rsidTr="007B616E">
        <w:tc>
          <w:tcPr>
            <w:tcW w:w="2593" w:type="dxa"/>
            <w:tcBorders>
              <w:left w:val="single" w:sz="4" w:space="0" w:color="BFBFBF"/>
              <w:bottom w:val="single" w:sz="4" w:space="0" w:color="BFBFBF"/>
              <w:right w:val="single" w:sz="4" w:space="0" w:color="BFBFBF"/>
            </w:tcBorders>
            <w:shd w:val="clear" w:color="auto" w:fill="DEEAF1"/>
            <w:vAlign w:val="center"/>
          </w:tcPr>
          <w:p w14:paraId="09A64E48" w14:textId="77777777" w:rsidR="007B616E" w:rsidRPr="00286E13" w:rsidRDefault="007B616E" w:rsidP="00A33349">
            <w:pPr>
              <w:spacing w:line="360" w:lineRule="auto"/>
              <w:rPr>
                <w:rFonts w:ascii="Arial" w:hAnsi="Arial" w:cs="Arial"/>
                <w:sz w:val="24"/>
                <w:szCs w:val="24"/>
              </w:rPr>
            </w:pPr>
            <w:r>
              <w:rPr>
                <w:rFonts w:ascii="Arial" w:hAnsi="Arial" w:cs="Arial"/>
                <w:b/>
                <w:bCs/>
                <w:color w:val="1F4E79"/>
                <w:sz w:val="24"/>
                <w:szCs w:val="24"/>
              </w:rPr>
              <w:lastRenderedPageBreak/>
              <w:t>Qualificazione giuridica</w:t>
            </w:r>
          </w:p>
        </w:tc>
        <w:tc>
          <w:tcPr>
            <w:tcW w:w="3617" w:type="dxa"/>
            <w:tcBorders>
              <w:bottom w:val="single" w:sz="4" w:space="0" w:color="BFBFBF"/>
              <w:right w:val="single" w:sz="4" w:space="0" w:color="BFBFBF"/>
            </w:tcBorders>
            <w:shd w:val="clear" w:color="auto" w:fill="D6E4F0"/>
            <w:vAlign w:val="center"/>
          </w:tcPr>
          <w:p w14:paraId="4C15D3EE"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1F4E79"/>
                <w:sz w:val="24"/>
                <w:szCs w:val="24"/>
              </w:rPr>
              <w:t>Uso mediato della rete → soggettività passiva CUP</w:t>
            </w:r>
          </w:p>
        </w:tc>
        <w:tc>
          <w:tcPr>
            <w:tcW w:w="2994" w:type="dxa"/>
            <w:tcBorders>
              <w:bottom w:val="single" w:sz="4" w:space="0" w:color="BFBFBF"/>
              <w:right w:val="single" w:sz="4" w:space="0" w:color="BFBFBF"/>
            </w:tcBorders>
            <w:shd w:val="clear" w:color="auto" w:fill="FCE4D6"/>
            <w:vAlign w:val="center"/>
          </w:tcPr>
          <w:p w14:paraId="7C703F01" w14:textId="77777777" w:rsidR="007B616E" w:rsidRPr="00286E13" w:rsidRDefault="007B616E" w:rsidP="00A33349">
            <w:pPr>
              <w:spacing w:line="360" w:lineRule="auto"/>
              <w:jc w:val="center"/>
              <w:rPr>
                <w:rFonts w:ascii="Arial" w:hAnsi="Arial" w:cs="Arial"/>
                <w:sz w:val="24"/>
                <w:szCs w:val="24"/>
              </w:rPr>
            </w:pPr>
            <w:r>
              <w:rPr>
                <w:rFonts w:ascii="Arial" w:hAnsi="Arial" w:cs="Arial"/>
                <w:color w:val="843D03"/>
                <w:sz w:val="24"/>
                <w:szCs w:val="24"/>
              </w:rPr>
              <w:t>Nessun uso della rete → escluso dalla soggettività passiva</w:t>
            </w:r>
          </w:p>
        </w:tc>
      </w:tr>
    </w:tbl>
    <w:p w14:paraId="73A82EA6" w14:textId="77777777" w:rsidR="007B616E" w:rsidRPr="00286E13" w:rsidRDefault="007B616E" w:rsidP="007B616E">
      <w:pPr>
        <w:spacing w:line="360" w:lineRule="auto"/>
        <w:rPr>
          <w:rFonts w:ascii="Arial" w:hAnsi="Arial" w:cs="Arial"/>
          <w:sz w:val="24"/>
          <w:szCs w:val="24"/>
        </w:rPr>
      </w:pPr>
    </w:p>
    <w:p w14:paraId="16128161" w14:textId="77777777" w:rsidR="007B616E" w:rsidRPr="00842FBA" w:rsidRDefault="007B616E" w:rsidP="007B616E">
      <w:pPr>
        <w:spacing w:line="360" w:lineRule="auto"/>
        <w:ind w:firstLine="708"/>
        <w:contextualSpacing/>
        <w:jc w:val="both"/>
        <w:rPr>
          <w:rFonts w:ascii="Arial" w:hAnsi="Arial" w:cs="Arial"/>
          <w:sz w:val="24"/>
          <w:szCs w:val="24"/>
        </w:rPr>
      </w:pPr>
      <w:r>
        <w:rPr>
          <w:rFonts w:ascii="Arial" w:hAnsi="Arial" w:cs="Arial"/>
          <w:sz w:val="24"/>
          <w:szCs w:val="24"/>
        </w:rPr>
        <w:t xml:space="preserve">Prima della recente pronuncia della Corte di Cassazione, innanzi richiamata, già confermava quanto fin qui rilevato la più recente giurisprudenza in materia nell’ambito delle telecomunicazioni; fra tante si richiama la recentissima sentenza resa dal </w:t>
      </w:r>
      <w:r>
        <w:rPr>
          <w:rFonts w:ascii="Arial" w:hAnsi="Arial" w:cs="Arial"/>
          <w:b/>
          <w:bCs/>
          <w:sz w:val="24"/>
          <w:szCs w:val="24"/>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5EFA2F71" w14:textId="77777777" w:rsidR="007B616E" w:rsidRPr="00842FBA" w:rsidRDefault="007B616E" w:rsidP="007B616E">
      <w:pPr>
        <w:spacing w:line="360" w:lineRule="auto"/>
        <w:ind w:firstLine="708"/>
        <w:contextualSpacing/>
        <w:rPr>
          <w:rFonts w:ascii="Arial" w:eastAsia="Arial" w:hAnsi="Arial" w:cs="Arial"/>
          <w:sz w:val="24"/>
          <w:szCs w:val="24"/>
        </w:rPr>
      </w:pPr>
      <w:r>
        <w:rPr>
          <w:rFonts w:ascii="Arial" w:eastAsia="Arial" w:hAnsi="Arial" w:cs="Arial"/>
          <w:sz w:val="24"/>
          <w:szCs w:val="24"/>
        </w:rPr>
        <w:t>Il Giudice di Bergamo ha così precisato:</w:t>
      </w:r>
    </w:p>
    <w:p w14:paraId="3EFAEDA6" w14:textId="77777777" w:rsidR="007B616E" w:rsidRPr="00C576B3" w:rsidRDefault="007B616E" w:rsidP="007B616E">
      <w:pPr>
        <w:spacing w:line="360" w:lineRule="auto"/>
        <w:ind w:firstLine="709"/>
        <w:contextualSpacing/>
        <w:jc w:val="both"/>
        <w:rPr>
          <w:rFonts w:ascii="Arial" w:eastAsia="Arial" w:hAnsi="Arial" w:cs="Arial"/>
          <w:iCs/>
          <w:sz w:val="24"/>
          <w:szCs w:val="24"/>
        </w:rPr>
      </w:pPr>
      <w:r>
        <w:rPr>
          <w:rFonts w:ascii="Arial" w:eastAsia="Arial" w:hAnsi="Arial" w:cs="Arial"/>
          <w:i/>
          <w:iCs/>
          <w:sz w:val="24"/>
          <w:szCs w:val="24"/>
        </w:rPr>
        <w:t xml:space="preserve">“La norma nel testo attualmente vigente dispone: il canone è dovuto dal soggetto titolare dell’atto di concessione dell’occupazione del suolo pubblico e dai soggetti che occupano il suolo pubblico, </w:t>
      </w:r>
      <w:r>
        <w:rPr>
          <w:rFonts w:ascii="Arial" w:eastAsia="Arial" w:hAnsi="Arial" w:cs="Arial"/>
          <w:b/>
          <w:bCs/>
          <w:i/>
          <w:iCs/>
          <w:sz w:val="24"/>
          <w:szCs w:val="24"/>
        </w:rPr>
        <w:t>anche in via mediata, attraverso l’utilizzo materiale delle infrastrutture del soggetto titolare della concessione</w:t>
      </w:r>
      <w:r>
        <w:rPr>
          <w:rFonts w:ascii="Arial" w:eastAsia="Arial" w:hAnsi="Arial" w:cs="Arial"/>
          <w:i/>
          <w:iCs/>
          <w:sz w:val="24"/>
          <w:szCs w:val="24"/>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rFonts w:ascii="Arial" w:eastAsia="Arial" w:hAnsi="Arial" w:cs="Arial"/>
          <w:iCs/>
          <w:sz w:val="24"/>
          <w:szCs w:val="24"/>
        </w:rPr>
        <w:t>(</w:t>
      </w:r>
      <w:r>
        <w:rPr>
          <w:rFonts w:ascii="Arial" w:eastAsia="Arial" w:hAnsi="Arial" w:cs="Arial"/>
          <w:b/>
          <w:bCs/>
          <w:iCs/>
          <w:sz w:val="24"/>
          <w:szCs w:val="24"/>
        </w:rPr>
        <w:t>doc. 12</w:t>
      </w:r>
      <w:r>
        <w:rPr>
          <w:rFonts w:ascii="Arial" w:eastAsia="Arial" w:hAnsi="Arial" w:cs="Arial"/>
          <w:iCs/>
          <w:sz w:val="24"/>
          <w:szCs w:val="24"/>
        </w:rPr>
        <w:t>).</w:t>
      </w:r>
    </w:p>
    <w:p w14:paraId="3B7BCCDA" w14:textId="77777777" w:rsidR="007B616E" w:rsidRPr="00842FBA" w:rsidRDefault="007B616E" w:rsidP="007B616E">
      <w:pPr>
        <w:spacing w:line="360" w:lineRule="auto"/>
        <w:ind w:firstLine="709"/>
        <w:contextualSpacing/>
        <w:jc w:val="both"/>
        <w:rPr>
          <w:rFonts w:ascii="Arial" w:eastAsia="Arial" w:hAnsi="Arial" w:cs="Arial"/>
          <w:iCs/>
          <w:sz w:val="24"/>
          <w:szCs w:val="24"/>
        </w:rPr>
      </w:pPr>
      <w:r>
        <w:rPr>
          <w:rFonts w:ascii="Arial" w:eastAsia="Arial" w:hAnsi="Arial" w:cs="Arial"/>
          <w:iCs/>
          <w:sz w:val="24"/>
          <w:szCs w:val="24"/>
        </w:rPr>
        <w:t xml:space="preserve">Sempre il </w:t>
      </w:r>
      <w:r>
        <w:rPr>
          <w:rFonts w:ascii="Arial" w:eastAsia="Arial" w:hAnsi="Arial" w:cs="Arial"/>
          <w:b/>
          <w:bCs/>
          <w:iCs/>
          <w:sz w:val="24"/>
          <w:szCs w:val="24"/>
        </w:rPr>
        <w:t>Tribunale di Bergamo con la sentenza 289/2026 ha ribadito</w:t>
      </w:r>
      <w:r>
        <w:rPr>
          <w:rFonts w:ascii="Arial" w:eastAsia="Arial" w:hAnsi="Arial" w:cs="Arial"/>
          <w:iCs/>
          <w:sz w:val="24"/>
          <w:szCs w:val="24"/>
        </w:rPr>
        <w:t>:</w:t>
      </w:r>
    </w:p>
    <w:p w14:paraId="176E8EFB" w14:textId="77777777" w:rsidR="007B616E" w:rsidRPr="00842FBA" w:rsidRDefault="007B616E" w:rsidP="007B616E">
      <w:pPr>
        <w:autoSpaceDE w:val="0"/>
        <w:autoSpaceDN w:val="0"/>
        <w:adjustRightInd w:val="0"/>
        <w:spacing w:line="360" w:lineRule="auto"/>
        <w:jc w:val="both"/>
        <w:rPr>
          <w:rFonts w:ascii="Arial" w:hAnsi="Arial" w:cs="Arial"/>
          <w:i/>
          <w:iCs/>
          <w:color w:val="000000"/>
          <w:sz w:val="24"/>
          <w:szCs w:val="24"/>
        </w:rPr>
      </w:pPr>
      <w:r>
        <w:rPr>
          <w:rFonts w:ascii="Arial" w:eastAsia="Arial" w:hAnsi="Arial" w:cs="Arial"/>
          <w:iCs/>
          <w:color w:val="000000"/>
          <w:sz w:val="24"/>
          <w:szCs w:val="24"/>
        </w:rPr>
        <w:t>“</w:t>
      </w:r>
      <w:r>
        <w:rPr>
          <w:rFonts w:ascii="Arial" w:hAnsi="Arial" w:cs="Arial"/>
          <w:i/>
          <w:iCs/>
          <w:color w:val="000000"/>
          <w:sz w:val="24"/>
          <w:szCs w:val="24"/>
        </w:rPr>
        <w:t xml:space="preserve">le attuali normative fanno riferimento ad un nuovo concetto basato sull’occupazione in via </w:t>
      </w:r>
      <w:proofErr w:type="gramStart"/>
      <w:r>
        <w:rPr>
          <w:rFonts w:ascii="Arial" w:hAnsi="Arial" w:cs="Arial"/>
          <w:i/>
          <w:iCs/>
          <w:color w:val="000000"/>
          <w:sz w:val="24"/>
          <w:szCs w:val="24"/>
        </w:rPr>
        <w:t>mediata ,</w:t>
      </w:r>
      <w:proofErr w:type="gramEnd"/>
      <w:r>
        <w:rPr>
          <w:rFonts w:ascii="Arial" w:hAnsi="Arial" w:cs="Arial"/>
          <w:i/>
          <w:iCs/>
          <w:color w:val="000000"/>
          <w:sz w:val="24"/>
          <w:szCs w:val="24"/>
        </w:rPr>
        <w:t xml:space="preserve"> dove sussistono una pluralità di soggetti </w:t>
      </w:r>
      <w:proofErr w:type="gramStart"/>
      <w:r>
        <w:rPr>
          <w:rFonts w:ascii="Arial" w:hAnsi="Arial" w:cs="Arial"/>
          <w:i/>
          <w:iCs/>
          <w:color w:val="000000"/>
          <w:sz w:val="24"/>
          <w:szCs w:val="24"/>
        </w:rPr>
        <w:t>passivi ,</w:t>
      </w:r>
      <w:proofErr w:type="gramEnd"/>
      <w:r>
        <w:rPr>
          <w:rFonts w:ascii="Arial" w:hAnsi="Arial" w:cs="Arial"/>
          <w:i/>
          <w:iCs/>
          <w:color w:val="000000"/>
          <w:sz w:val="24"/>
          <w:szCs w:val="24"/>
        </w:rPr>
        <w:t xml:space="preserve"> costituiti dal soggetto titolare e dai soggetti che occupano ed utilizzano </w:t>
      </w:r>
      <w:proofErr w:type="gramStart"/>
      <w:r>
        <w:rPr>
          <w:rFonts w:ascii="Arial" w:hAnsi="Arial" w:cs="Arial"/>
          <w:i/>
          <w:iCs/>
          <w:color w:val="000000"/>
          <w:sz w:val="24"/>
          <w:szCs w:val="24"/>
        </w:rPr>
        <w:t>l’area .</w:t>
      </w:r>
      <w:proofErr w:type="gramEnd"/>
      <w:r>
        <w:rPr>
          <w:rFonts w:ascii="Arial" w:hAnsi="Arial" w:cs="Arial"/>
          <w:i/>
          <w:iCs/>
          <w:color w:val="000000"/>
          <w:sz w:val="24"/>
          <w:szCs w:val="24"/>
        </w:rPr>
        <w:t xml:space="preserve"> </w:t>
      </w:r>
    </w:p>
    <w:p w14:paraId="076FE71D" w14:textId="73AF5912" w:rsidR="007B616E" w:rsidRPr="00842FBA" w:rsidRDefault="007B616E" w:rsidP="007B616E">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lastRenderedPageBreak/>
        <w:t>Pi</w:t>
      </w:r>
      <w:r w:rsidR="008E73DA">
        <w:rPr>
          <w:rFonts w:ascii="Arial" w:hAnsi="Arial" w:cs="Arial"/>
          <w:i/>
          <w:iCs/>
          <w:color w:val="000000"/>
          <w:sz w:val="24"/>
          <w:szCs w:val="24"/>
        </w:rPr>
        <w:t>ù</w:t>
      </w:r>
      <w:r>
        <w:rPr>
          <w:rFonts w:ascii="Arial" w:hAnsi="Arial" w:cs="Arial"/>
          <w:i/>
          <w:iCs/>
          <w:color w:val="000000"/>
          <w:sz w:val="24"/>
          <w:szCs w:val="24"/>
        </w:rPr>
        <w:t xml:space="preserve"> precisamente, risulta aggiornata e superata la precedente normativa, che considerava il solo concessionario quale unico soggetto </w:t>
      </w:r>
      <w:proofErr w:type="gramStart"/>
      <w:r>
        <w:rPr>
          <w:rFonts w:ascii="Arial" w:hAnsi="Arial" w:cs="Arial"/>
          <w:i/>
          <w:iCs/>
          <w:color w:val="000000"/>
          <w:sz w:val="24"/>
          <w:szCs w:val="24"/>
        </w:rPr>
        <w:t>passivo ,</w:t>
      </w:r>
      <w:proofErr w:type="gramEnd"/>
      <w:r>
        <w:rPr>
          <w:rFonts w:ascii="Arial" w:hAnsi="Arial" w:cs="Arial"/>
          <w:i/>
          <w:iCs/>
          <w:color w:val="000000"/>
          <w:sz w:val="24"/>
          <w:szCs w:val="24"/>
        </w:rPr>
        <w:t xml:space="preserve"> rendendo adeguata la normativa ad una tipologia relativa ad un mercato liberalizzato, dove vi sono più operatori che utilizzano la stessa infrastruttura per la fornitura del proprio servizio di </w:t>
      </w:r>
      <w:proofErr w:type="gramStart"/>
      <w:r>
        <w:rPr>
          <w:rFonts w:ascii="Arial" w:hAnsi="Arial" w:cs="Arial"/>
          <w:i/>
          <w:iCs/>
          <w:color w:val="000000"/>
          <w:sz w:val="24"/>
          <w:szCs w:val="24"/>
        </w:rPr>
        <w:t>telefonia .</w:t>
      </w:r>
      <w:proofErr w:type="gramEnd"/>
      <w:r>
        <w:rPr>
          <w:rFonts w:ascii="Arial" w:hAnsi="Arial" w:cs="Arial"/>
          <w:i/>
          <w:iCs/>
          <w:color w:val="000000"/>
          <w:sz w:val="24"/>
          <w:szCs w:val="24"/>
        </w:rPr>
        <w:t xml:space="preserve"> </w:t>
      </w:r>
    </w:p>
    <w:p w14:paraId="6B01F24A" w14:textId="77777777" w:rsidR="007B616E" w:rsidRPr="00842FBA" w:rsidRDefault="007B616E" w:rsidP="007B616E">
      <w:pPr>
        <w:spacing w:line="360" w:lineRule="auto"/>
        <w:ind w:firstLine="709"/>
        <w:jc w:val="both"/>
        <w:rPr>
          <w:rFonts w:ascii="Arial" w:hAnsi="Arial" w:cs="Arial"/>
          <w:i/>
          <w:iCs/>
          <w:sz w:val="24"/>
          <w:szCs w:val="24"/>
        </w:rPr>
      </w:pPr>
      <w:r>
        <w:rPr>
          <w:rFonts w:ascii="Arial" w:hAnsi="Arial" w:cs="Arial"/>
          <w:i/>
          <w:iCs/>
          <w:sz w:val="24"/>
          <w:szCs w:val="24"/>
        </w:rPr>
        <w:t xml:space="preserve">Inoltre, diversamente da quanto affermato da parte attrice, gli accordi </w:t>
      </w:r>
      <w:proofErr w:type="spellStart"/>
      <w:r>
        <w:rPr>
          <w:rFonts w:ascii="Arial" w:hAnsi="Arial" w:cs="Arial"/>
          <w:i/>
          <w:iCs/>
          <w:sz w:val="24"/>
          <w:szCs w:val="24"/>
        </w:rPr>
        <w:t>wholesale</w:t>
      </w:r>
      <w:proofErr w:type="spellEnd"/>
      <w:r>
        <w:rPr>
          <w:rFonts w:ascii="Arial" w:hAnsi="Arial" w:cs="Arial"/>
          <w:i/>
          <w:iCs/>
          <w:sz w:val="24"/>
          <w:szCs w:val="24"/>
        </w:rPr>
        <w:t xml:space="preserve"> sono pienamente riferibile alla fattispecie connessa” all’utilizzo materiale “.</w:t>
      </w:r>
    </w:p>
    <w:p w14:paraId="44B8E7E9" w14:textId="77777777" w:rsidR="007B616E" w:rsidRPr="00842FBA" w:rsidRDefault="007B616E" w:rsidP="007B616E">
      <w:pPr>
        <w:autoSpaceDE w:val="0"/>
        <w:autoSpaceDN w:val="0"/>
        <w:adjustRightInd w:val="0"/>
        <w:spacing w:line="360" w:lineRule="auto"/>
        <w:jc w:val="both"/>
        <w:rPr>
          <w:rFonts w:ascii="Arial" w:hAnsi="Arial" w:cs="Arial"/>
          <w:i/>
          <w:iCs/>
          <w:color w:val="000000"/>
          <w:sz w:val="24"/>
          <w:szCs w:val="24"/>
        </w:rPr>
      </w:pPr>
      <w:proofErr w:type="gramStart"/>
      <w:r>
        <w:rPr>
          <w:rFonts w:ascii="Arial" w:hAnsi="Arial" w:cs="Arial"/>
          <w:i/>
          <w:iCs/>
          <w:color w:val="000000"/>
          <w:sz w:val="24"/>
          <w:szCs w:val="24"/>
        </w:rPr>
        <w:t>Infatti</w:t>
      </w:r>
      <w:proofErr w:type="gramEnd"/>
      <w:r>
        <w:rPr>
          <w:rFonts w:ascii="Arial" w:hAnsi="Arial" w:cs="Arial"/>
          <w:i/>
          <w:iCs/>
          <w:color w:val="000000"/>
          <w:sz w:val="24"/>
          <w:szCs w:val="24"/>
        </w:rPr>
        <w:t xml:space="preserve"> gli accordi </w:t>
      </w:r>
      <w:proofErr w:type="spellStart"/>
      <w:r>
        <w:rPr>
          <w:rFonts w:ascii="Arial" w:hAnsi="Arial" w:cs="Arial"/>
          <w:i/>
          <w:iCs/>
          <w:color w:val="000000"/>
          <w:sz w:val="24"/>
          <w:szCs w:val="24"/>
        </w:rPr>
        <w:t>wholesale</w:t>
      </w:r>
      <w:proofErr w:type="spellEnd"/>
      <w:r>
        <w:rPr>
          <w:rFonts w:ascii="Arial" w:hAnsi="Arial" w:cs="Arial"/>
          <w:i/>
          <w:iCs/>
          <w:color w:val="000000"/>
          <w:sz w:val="24"/>
          <w:szCs w:val="24"/>
        </w:rPr>
        <w:t xml:space="preserve"> VULA </w:t>
      </w:r>
      <w:proofErr w:type="gramStart"/>
      <w:r>
        <w:rPr>
          <w:rFonts w:ascii="Arial" w:hAnsi="Arial" w:cs="Arial"/>
          <w:i/>
          <w:iCs/>
          <w:color w:val="000000"/>
          <w:sz w:val="24"/>
          <w:szCs w:val="24"/>
        </w:rPr>
        <w:t>( Virtual</w:t>
      </w:r>
      <w:proofErr w:type="gramEnd"/>
      <w:r>
        <w:rPr>
          <w:rFonts w:ascii="Arial" w:hAnsi="Arial" w:cs="Arial"/>
          <w:i/>
          <w:iCs/>
          <w:color w:val="000000"/>
          <w:sz w:val="24"/>
          <w:szCs w:val="24"/>
        </w:rPr>
        <w:t xml:space="preserve"> </w:t>
      </w:r>
      <w:proofErr w:type="spellStart"/>
      <w:r>
        <w:rPr>
          <w:rFonts w:ascii="Arial" w:hAnsi="Arial" w:cs="Arial"/>
          <w:i/>
          <w:iCs/>
          <w:color w:val="000000"/>
          <w:sz w:val="24"/>
          <w:szCs w:val="24"/>
        </w:rPr>
        <w:t>Unbundled</w:t>
      </w:r>
      <w:proofErr w:type="spellEnd"/>
      <w:r>
        <w:rPr>
          <w:rFonts w:ascii="Arial" w:hAnsi="Arial" w:cs="Arial"/>
          <w:i/>
          <w:iCs/>
          <w:color w:val="000000"/>
          <w:sz w:val="24"/>
          <w:szCs w:val="24"/>
        </w:rPr>
        <w:t xml:space="preserve"> Local </w:t>
      </w:r>
      <w:proofErr w:type="gramStart"/>
      <w:r>
        <w:rPr>
          <w:rFonts w:ascii="Arial" w:hAnsi="Arial" w:cs="Arial"/>
          <w:i/>
          <w:iCs/>
          <w:color w:val="000000"/>
          <w:sz w:val="24"/>
          <w:szCs w:val="24"/>
        </w:rPr>
        <w:t>Access )</w:t>
      </w:r>
      <w:proofErr w:type="gramEnd"/>
      <w:r>
        <w:rPr>
          <w:rFonts w:ascii="Arial" w:hAnsi="Arial" w:cs="Arial"/>
          <w:i/>
          <w:iCs/>
          <w:color w:val="000000"/>
          <w:sz w:val="24"/>
          <w:szCs w:val="24"/>
        </w:rPr>
        <w:t xml:space="preserve"> sono accordi commerciali tra operatori di telecomunicazioni che permettono l’accesso alle reti di accesso locali </w:t>
      </w:r>
      <w:proofErr w:type="gramStart"/>
      <w:r>
        <w:rPr>
          <w:rFonts w:ascii="Arial" w:hAnsi="Arial" w:cs="Arial"/>
          <w:i/>
          <w:iCs/>
          <w:color w:val="000000"/>
          <w:sz w:val="24"/>
          <w:szCs w:val="24"/>
        </w:rPr>
        <w:t>( reti</w:t>
      </w:r>
      <w:proofErr w:type="gramEnd"/>
      <w:r>
        <w:rPr>
          <w:rFonts w:ascii="Arial" w:hAnsi="Arial" w:cs="Arial"/>
          <w:i/>
          <w:iCs/>
          <w:color w:val="000000"/>
          <w:sz w:val="24"/>
          <w:szCs w:val="24"/>
        </w:rPr>
        <w:t xml:space="preserve"> di fibra ottica o di </w:t>
      </w:r>
      <w:proofErr w:type="gramStart"/>
      <w:r>
        <w:rPr>
          <w:rFonts w:ascii="Arial" w:hAnsi="Arial" w:cs="Arial"/>
          <w:i/>
          <w:iCs/>
          <w:color w:val="000000"/>
          <w:sz w:val="24"/>
          <w:szCs w:val="24"/>
        </w:rPr>
        <w:t>rame )</w:t>
      </w:r>
      <w:proofErr w:type="gramEnd"/>
      <w:r>
        <w:rPr>
          <w:rFonts w:ascii="Arial" w:hAnsi="Arial" w:cs="Arial"/>
          <w:i/>
          <w:iCs/>
          <w:color w:val="000000"/>
          <w:sz w:val="24"/>
          <w:szCs w:val="24"/>
        </w:rPr>
        <w:t xml:space="preserve"> di un operatore dominante a un altro </w:t>
      </w:r>
      <w:proofErr w:type="gramStart"/>
      <w:r>
        <w:rPr>
          <w:rFonts w:ascii="Arial" w:hAnsi="Arial" w:cs="Arial"/>
          <w:i/>
          <w:iCs/>
          <w:color w:val="000000"/>
          <w:sz w:val="24"/>
          <w:szCs w:val="24"/>
        </w:rPr>
        <w:t>operatore ,</w:t>
      </w:r>
      <w:proofErr w:type="gramEnd"/>
      <w:r>
        <w:rPr>
          <w:rFonts w:ascii="Arial" w:hAnsi="Arial" w:cs="Arial"/>
          <w:i/>
          <w:iCs/>
          <w:color w:val="000000"/>
          <w:sz w:val="24"/>
          <w:szCs w:val="24"/>
        </w:rPr>
        <w:t xml:space="preserve"> a condizioni eque e non </w:t>
      </w:r>
      <w:proofErr w:type="gramStart"/>
      <w:r>
        <w:rPr>
          <w:rFonts w:ascii="Arial" w:hAnsi="Arial" w:cs="Arial"/>
          <w:i/>
          <w:iCs/>
          <w:color w:val="000000"/>
          <w:sz w:val="24"/>
          <w:szCs w:val="24"/>
        </w:rPr>
        <w:t>discriminatorie .</w:t>
      </w:r>
      <w:proofErr w:type="gramEnd"/>
      <w:r>
        <w:rPr>
          <w:rFonts w:ascii="Arial" w:hAnsi="Arial" w:cs="Arial"/>
          <w:i/>
          <w:iCs/>
          <w:color w:val="000000"/>
          <w:sz w:val="24"/>
          <w:szCs w:val="24"/>
        </w:rPr>
        <w:t xml:space="preserve"> </w:t>
      </w:r>
    </w:p>
    <w:p w14:paraId="04A5A632" w14:textId="77777777" w:rsidR="007B616E" w:rsidRPr="00842FBA" w:rsidRDefault="007B616E" w:rsidP="007B616E">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t xml:space="preserve">In </w:t>
      </w:r>
      <w:proofErr w:type="gramStart"/>
      <w:r>
        <w:rPr>
          <w:rFonts w:ascii="Arial" w:hAnsi="Arial" w:cs="Arial"/>
          <w:i/>
          <w:iCs/>
          <w:color w:val="000000"/>
          <w:sz w:val="24"/>
          <w:szCs w:val="24"/>
        </w:rPr>
        <w:t>pratica ,</w:t>
      </w:r>
      <w:proofErr w:type="gramEnd"/>
      <w:r>
        <w:rPr>
          <w:rFonts w:ascii="Arial" w:hAnsi="Arial" w:cs="Arial"/>
          <w:i/>
          <w:iCs/>
          <w:color w:val="000000"/>
          <w:sz w:val="24"/>
          <w:szCs w:val="24"/>
        </w:rPr>
        <w:t xml:space="preserve"> un operatore che non ha una rete di accesso propria può utilizzare la rete di un altro operatore per offrire servizi di accesso a internet e voce ai propri </w:t>
      </w:r>
      <w:proofErr w:type="gramStart"/>
      <w:r>
        <w:rPr>
          <w:rFonts w:ascii="Arial" w:hAnsi="Arial" w:cs="Arial"/>
          <w:i/>
          <w:iCs/>
          <w:color w:val="000000"/>
          <w:sz w:val="24"/>
          <w:szCs w:val="24"/>
        </w:rPr>
        <w:t>clienti .</w:t>
      </w:r>
      <w:proofErr w:type="gramEnd"/>
      <w:r>
        <w:rPr>
          <w:rFonts w:ascii="Arial" w:hAnsi="Arial" w:cs="Arial"/>
          <w:i/>
          <w:iCs/>
          <w:color w:val="000000"/>
          <w:sz w:val="24"/>
          <w:szCs w:val="24"/>
        </w:rPr>
        <w:t xml:space="preserve"> </w:t>
      </w:r>
    </w:p>
    <w:p w14:paraId="61E589C1" w14:textId="77777777" w:rsidR="007B616E" w:rsidRPr="00842FBA" w:rsidRDefault="007B616E" w:rsidP="007B616E">
      <w:pPr>
        <w:autoSpaceDE w:val="0"/>
        <w:autoSpaceDN w:val="0"/>
        <w:adjustRightInd w:val="0"/>
        <w:spacing w:line="360" w:lineRule="auto"/>
        <w:jc w:val="both"/>
        <w:rPr>
          <w:rFonts w:ascii="Arial" w:hAnsi="Arial" w:cs="Arial"/>
          <w:i/>
          <w:iCs/>
          <w:color w:val="000000"/>
          <w:sz w:val="24"/>
          <w:szCs w:val="24"/>
        </w:rPr>
      </w:pPr>
      <w:r>
        <w:rPr>
          <w:rFonts w:ascii="Arial" w:hAnsi="Arial" w:cs="Arial"/>
          <w:i/>
          <w:iCs/>
          <w:color w:val="000000"/>
          <w:sz w:val="24"/>
          <w:szCs w:val="24"/>
        </w:rPr>
        <w:t xml:space="preserve">Anche se l’accesso è definito </w:t>
      </w:r>
      <w:proofErr w:type="gramStart"/>
      <w:r>
        <w:rPr>
          <w:rFonts w:ascii="Arial" w:hAnsi="Arial" w:cs="Arial"/>
          <w:i/>
          <w:iCs/>
          <w:color w:val="000000"/>
          <w:sz w:val="24"/>
          <w:szCs w:val="24"/>
        </w:rPr>
        <w:t>“ virtuale</w:t>
      </w:r>
      <w:proofErr w:type="gramEnd"/>
      <w:r>
        <w:rPr>
          <w:rFonts w:ascii="Arial" w:hAnsi="Arial" w:cs="Arial"/>
          <w:i/>
          <w:iCs/>
          <w:color w:val="000000"/>
          <w:sz w:val="24"/>
          <w:szCs w:val="24"/>
        </w:rPr>
        <w:t xml:space="preserve"> </w:t>
      </w:r>
      <w:proofErr w:type="gramStart"/>
      <w:r>
        <w:rPr>
          <w:rFonts w:ascii="Arial" w:hAnsi="Arial" w:cs="Arial"/>
          <w:i/>
          <w:iCs/>
          <w:color w:val="000000"/>
          <w:sz w:val="24"/>
          <w:szCs w:val="24"/>
        </w:rPr>
        <w:t>“ in</w:t>
      </w:r>
      <w:proofErr w:type="gramEnd"/>
      <w:r>
        <w:rPr>
          <w:rFonts w:ascii="Arial" w:hAnsi="Arial" w:cs="Arial"/>
          <w:i/>
          <w:iCs/>
          <w:color w:val="000000"/>
          <w:sz w:val="24"/>
          <w:szCs w:val="24"/>
        </w:rPr>
        <w:t xml:space="preserve"> ambito tecnico – </w:t>
      </w:r>
      <w:proofErr w:type="gramStart"/>
      <w:r>
        <w:rPr>
          <w:rFonts w:ascii="Arial" w:hAnsi="Arial" w:cs="Arial"/>
          <w:i/>
          <w:iCs/>
          <w:color w:val="000000"/>
          <w:sz w:val="24"/>
          <w:szCs w:val="24"/>
        </w:rPr>
        <w:t>commerciale ,</w:t>
      </w:r>
      <w:proofErr w:type="gramEnd"/>
      <w:r>
        <w:rPr>
          <w:rFonts w:ascii="Arial" w:hAnsi="Arial" w:cs="Arial"/>
          <w:i/>
          <w:iCs/>
          <w:color w:val="000000"/>
          <w:sz w:val="24"/>
          <w:szCs w:val="24"/>
        </w:rPr>
        <w:t xml:space="preserve"> lo stesso comporta un flusso fisico di dati che transita comunque mediante cavi e condutture esistenti sul suolo pubblico </w:t>
      </w:r>
      <w:proofErr w:type="gramStart"/>
      <w:r>
        <w:rPr>
          <w:rFonts w:ascii="Arial" w:hAnsi="Arial" w:cs="Arial"/>
          <w:i/>
          <w:iCs/>
          <w:color w:val="000000"/>
          <w:sz w:val="24"/>
          <w:szCs w:val="24"/>
        </w:rPr>
        <w:t>comunale .</w:t>
      </w:r>
      <w:proofErr w:type="gramEnd"/>
      <w:r>
        <w:rPr>
          <w:rFonts w:ascii="Arial" w:hAnsi="Arial" w:cs="Arial"/>
          <w:i/>
          <w:iCs/>
          <w:color w:val="000000"/>
          <w:sz w:val="24"/>
          <w:szCs w:val="24"/>
        </w:rPr>
        <w:t xml:space="preserve"> </w:t>
      </w:r>
    </w:p>
    <w:p w14:paraId="3DE296CB" w14:textId="77777777" w:rsidR="007B616E" w:rsidRPr="00842FBA" w:rsidRDefault="007B616E" w:rsidP="007B616E">
      <w:pPr>
        <w:spacing w:line="360" w:lineRule="auto"/>
        <w:ind w:firstLine="709"/>
        <w:jc w:val="both"/>
        <w:rPr>
          <w:rFonts w:ascii="Arial" w:hAnsi="Arial" w:cs="Arial"/>
          <w:b/>
          <w:bCs/>
          <w:sz w:val="24"/>
          <w:szCs w:val="24"/>
        </w:rPr>
      </w:pPr>
      <w:r>
        <w:rPr>
          <w:rFonts w:ascii="Arial" w:hAnsi="Arial" w:cs="Arial"/>
          <w:i/>
          <w:iCs/>
          <w:sz w:val="24"/>
          <w:szCs w:val="24"/>
        </w:rPr>
        <w:t xml:space="preserve">In base alle numerose sentenze di merito sull’argomento in </w:t>
      </w:r>
      <w:proofErr w:type="gramStart"/>
      <w:r>
        <w:rPr>
          <w:rFonts w:ascii="Arial" w:hAnsi="Arial" w:cs="Arial"/>
          <w:i/>
          <w:iCs/>
          <w:sz w:val="24"/>
          <w:szCs w:val="24"/>
        </w:rPr>
        <w:t>questione ,</w:t>
      </w:r>
      <w:proofErr w:type="gramEnd"/>
      <w:r>
        <w:rPr>
          <w:rFonts w:ascii="Arial" w:hAnsi="Arial" w:cs="Arial"/>
          <w:i/>
          <w:iCs/>
          <w:sz w:val="24"/>
          <w:szCs w:val="24"/>
        </w:rPr>
        <w:t xml:space="preserve"> il criterio legato alla materialità dell’uso dell’infrastruttura di altro </w:t>
      </w:r>
      <w:proofErr w:type="gramStart"/>
      <w:r>
        <w:rPr>
          <w:rFonts w:ascii="Arial" w:hAnsi="Arial" w:cs="Arial"/>
          <w:i/>
          <w:iCs/>
          <w:sz w:val="24"/>
          <w:szCs w:val="24"/>
        </w:rPr>
        <w:t>operatore ,</w:t>
      </w:r>
      <w:proofErr w:type="gramEnd"/>
      <w:r>
        <w:rPr>
          <w:rFonts w:ascii="Arial" w:hAnsi="Arial" w:cs="Arial"/>
          <w:i/>
          <w:iCs/>
          <w:sz w:val="24"/>
          <w:szCs w:val="24"/>
        </w:rPr>
        <w:t xml:space="preserve"> risulta compreso anche quello legato alla modalità di accesso </w:t>
      </w:r>
      <w:proofErr w:type="gramStart"/>
      <w:r>
        <w:rPr>
          <w:rFonts w:ascii="Arial" w:hAnsi="Arial" w:cs="Arial"/>
          <w:i/>
          <w:iCs/>
          <w:sz w:val="24"/>
          <w:szCs w:val="24"/>
        </w:rPr>
        <w:t>virtuale ,legata</w:t>
      </w:r>
      <w:proofErr w:type="gramEnd"/>
      <w:r>
        <w:rPr>
          <w:rFonts w:ascii="Arial" w:hAnsi="Arial" w:cs="Arial"/>
          <w:i/>
          <w:iCs/>
          <w:sz w:val="24"/>
          <w:szCs w:val="24"/>
        </w:rPr>
        <w:t xml:space="preserve"> all’evoluzione ed al progresso tecnologico nell’ambito della </w:t>
      </w:r>
      <w:proofErr w:type="gramStart"/>
      <w:r>
        <w:rPr>
          <w:rFonts w:ascii="Arial" w:hAnsi="Arial" w:cs="Arial"/>
          <w:i/>
          <w:iCs/>
          <w:sz w:val="24"/>
          <w:szCs w:val="24"/>
        </w:rPr>
        <w:t>telefonia .</w:t>
      </w:r>
      <w:proofErr w:type="gramEnd"/>
      <w:r>
        <w:rPr>
          <w:rFonts w:ascii="Arial" w:hAnsi="Arial" w:cs="Arial"/>
          <w:i/>
          <w:iCs/>
          <w:sz w:val="24"/>
          <w:szCs w:val="24"/>
        </w:rPr>
        <w:t xml:space="preserve"> </w:t>
      </w:r>
      <w:r>
        <w:rPr>
          <w:rFonts w:ascii="Arial" w:hAnsi="Arial" w:cs="Arial"/>
          <w:sz w:val="24"/>
          <w:szCs w:val="24"/>
        </w:rPr>
        <w:t xml:space="preserve">Tribunale di Bergamo n. 289 del 21.3.2026 </w:t>
      </w:r>
      <w:r>
        <w:rPr>
          <w:rFonts w:ascii="Arial" w:hAnsi="Arial" w:cs="Arial"/>
          <w:b/>
          <w:bCs/>
          <w:sz w:val="24"/>
          <w:szCs w:val="24"/>
        </w:rPr>
        <w:t>(doc. 13).</w:t>
      </w:r>
    </w:p>
    <w:p w14:paraId="38BFAFE1" w14:textId="77777777" w:rsidR="007B616E" w:rsidRPr="00842FBA" w:rsidRDefault="007B616E" w:rsidP="007B616E">
      <w:pPr>
        <w:spacing w:line="360" w:lineRule="auto"/>
        <w:ind w:firstLine="708"/>
        <w:jc w:val="both"/>
        <w:rPr>
          <w:sz w:val="24"/>
          <w:szCs w:val="24"/>
        </w:rPr>
      </w:pPr>
      <w:r>
        <w:rPr>
          <w:rFonts w:ascii="Arial" w:eastAsia="Arial" w:hAnsi="Arial" w:cs="Arial"/>
          <w:sz w:val="24"/>
          <w:szCs w:val="24"/>
        </w:rPr>
        <w:t xml:space="preserve">Di particolare rilievo sistematico è la recentissima </w:t>
      </w:r>
      <w:r>
        <w:rPr>
          <w:rFonts w:ascii="Arial" w:eastAsia="Arial" w:hAnsi="Arial" w:cs="Arial"/>
          <w:b/>
          <w:bCs/>
          <w:sz w:val="24"/>
          <w:szCs w:val="24"/>
        </w:rPr>
        <w:t>sentenza del Tribunale di Napoli n. 5948 del 13.04.2026 (RG 16629/2025)</w:t>
      </w:r>
      <w:r>
        <w:rPr>
          <w:rFonts w:ascii="Arial" w:eastAsia="Arial" w:hAnsi="Arial" w:cs="Arial"/>
          <w:sz w:val="24"/>
          <w:szCs w:val="24"/>
        </w:rPr>
        <w:t xml:space="preserve"> (doc. 14), pronunciata – con riferimento a una controversia analoga avente ad oggetto un avviso di accertamento CUP per gli anni 2021-2024 </w:t>
      </w:r>
      <w:r>
        <w:rPr>
          <w:rFonts w:ascii="Arial" w:eastAsia="Arial" w:hAnsi="Arial" w:cs="Arial"/>
          <w:b/>
          <w:bCs/>
          <w:sz w:val="24"/>
          <w:szCs w:val="24"/>
        </w:rPr>
        <w:t>proposto proprio da Wind Tre</w:t>
      </w:r>
      <w:r>
        <w:rPr>
          <w:rFonts w:ascii="Arial" w:eastAsia="Arial" w:hAnsi="Arial" w:cs="Arial"/>
          <w:sz w:val="24"/>
          <w:szCs w:val="24"/>
        </w:rPr>
        <w:t xml:space="preserve"> – che ha confermato la piena legittimità dell’accertamento su tutti i profili di merito contestati, rendendo una motivazione di particolare rilievo e </w:t>
      </w:r>
      <w:r>
        <w:rPr>
          <w:rFonts w:ascii="Arial" w:hAnsi="Arial" w:cs="Arial"/>
          <w:sz w:val="24"/>
          <w:szCs w:val="24"/>
        </w:rPr>
        <w:t xml:space="preserve">ben chiarendo il concetto di </w:t>
      </w:r>
      <w:r>
        <w:rPr>
          <w:rFonts w:ascii="Arial" w:hAnsi="Arial" w:cs="Arial"/>
          <w:i/>
          <w:iCs/>
          <w:sz w:val="24"/>
          <w:szCs w:val="24"/>
        </w:rPr>
        <w:t xml:space="preserve">“utilizzo materiale” </w:t>
      </w:r>
      <w:r>
        <w:rPr>
          <w:rFonts w:ascii="Arial" w:hAnsi="Arial" w:cs="Arial"/>
          <w:sz w:val="24"/>
          <w:szCs w:val="24"/>
        </w:rPr>
        <w:t>(</w:t>
      </w:r>
      <w:r>
        <w:rPr>
          <w:rFonts w:ascii="Arial" w:hAnsi="Arial" w:cs="Arial"/>
          <w:b/>
          <w:bCs/>
          <w:sz w:val="24"/>
          <w:szCs w:val="24"/>
        </w:rPr>
        <w:t xml:space="preserve">Tribunale Napoli n.5948 del 13.4.2026): </w:t>
      </w:r>
    </w:p>
    <w:p w14:paraId="2CCB252E" w14:textId="77777777" w:rsidR="007B616E" w:rsidRPr="00842FBA" w:rsidRDefault="007B616E" w:rsidP="007B616E">
      <w:pPr>
        <w:spacing w:line="360" w:lineRule="auto"/>
        <w:ind w:firstLine="709"/>
        <w:jc w:val="both"/>
        <w:rPr>
          <w:rFonts w:ascii="Arial" w:hAnsi="Arial" w:cs="Arial"/>
          <w:i/>
          <w:iCs/>
          <w:sz w:val="24"/>
          <w:szCs w:val="24"/>
        </w:rPr>
      </w:pPr>
      <w:r>
        <w:rPr>
          <w:rFonts w:ascii="Arial" w:hAnsi="Arial" w:cs="Arial"/>
          <w:i/>
          <w:iCs/>
          <w:sz w:val="24"/>
          <w:szCs w:val="24"/>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w:t>
      </w:r>
      <w:r>
        <w:rPr>
          <w:rFonts w:ascii="Arial" w:hAnsi="Arial" w:cs="Arial"/>
          <w:i/>
          <w:iCs/>
          <w:sz w:val="24"/>
          <w:szCs w:val="24"/>
        </w:rPr>
        <w:lastRenderedPageBreak/>
        <w:t>Diversamente, la previsione normativa finirebbe per essere priva di effettiva portata applicativa nel settore in cui l'utilizzo della rete altrui è tecnicamente fisiologico.”</w:t>
      </w:r>
    </w:p>
    <w:p w14:paraId="085E1268" w14:textId="77777777" w:rsidR="007B616E" w:rsidRPr="00842FBA" w:rsidRDefault="007B616E" w:rsidP="007B616E">
      <w:pPr>
        <w:spacing w:line="360" w:lineRule="auto"/>
        <w:ind w:firstLine="708"/>
        <w:jc w:val="both"/>
        <w:rPr>
          <w:sz w:val="24"/>
          <w:szCs w:val="24"/>
        </w:rPr>
      </w:pPr>
      <w:r>
        <w:rPr>
          <w:rFonts w:ascii="Arial" w:eastAsia="Arial" w:hAnsi="Arial" w:cs="Arial"/>
          <w:sz w:val="24"/>
          <w:szCs w:val="24"/>
        </w:rPr>
        <w:t>Il Tribunale di Napoli ha altresì chiarito l’inapplicabilità dell’art. 5, comma 14-</w:t>
      </w:r>
      <w:r>
        <w:rPr>
          <w:rFonts w:ascii="Arial" w:eastAsia="Arial" w:hAnsi="Arial" w:cs="Arial"/>
          <w:i/>
          <w:iCs/>
          <w:sz w:val="24"/>
          <w:szCs w:val="24"/>
        </w:rPr>
        <w:t>quinquies</w:t>
      </w:r>
      <w:r>
        <w:rPr>
          <w:rFonts w:ascii="Arial" w:eastAsia="Arial" w:hAnsi="Arial" w:cs="Arial"/>
          <w:sz w:val="24"/>
          <w:szCs w:val="24"/>
        </w:rPr>
        <w:t>, D.L. 146/2021 al settore delle telecomunicazioni, osservando che “</w:t>
      </w:r>
      <w:r>
        <w:rPr>
          <w:rFonts w:ascii="Arial" w:eastAsia="Arial" w:hAnsi="Arial" w:cs="Arial"/>
          <w:i/>
          <w:iCs/>
          <w:sz w:val="24"/>
          <w:szCs w:val="24"/>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rPr>
          <w:rFonts w:ascii="Arial" w:eastAsia="Arial" w:hAnsi="Arial" w:cs="Arial"/>
          <w:sz w:val="24"/>
          <w:szCs w:val="24"/>
        </w:rPr>
        <w:t>”.</w:t>
      </w:r>
    </w:p>
    <w:p w14:paraId="5F6B727A" w14:textId="77777777" w:rsidR="007B616E" w:rsidRPr="00842FBA" w:rsidRDefault="007B616E" w:rsidP="007B616E">
      <w:pPr>
        <w:spacing w:line="360" w:lineRule="auto"/>
        <w:ind w:firstLine="708"/>
        <w:contextualSpacing/>
        <w:jc w:val="both"/>
        <w:rPr>
          <w:rFonts w:ascii="Arial" w:eastAsia="Arial" w:hAnsi="Arial" w:cs="Arial"/>
          <w:sz w:val="24"/>
          <w:szCs w:val="24"/>
        </w:rPr>
      </w:pPr>
      <w:r>
        <w:rPr>
          <w:rFonts w:ascii="Arial" w:eastAsia="Arial" w:hAnsi="Arial" w:cs="Arial"/>
          <w:sz w:val="24"/>
          <w:szCs w:val="24"/>
        </w:rPr>
        <w:t xml:space="preserve">Ed ancora, i giudici del </w:t>
      </w:r>
      <w:r>
        <w:rPr>
          <w:rFonts w:ascii="Arial" w:eastAsia="Arial" w:hAnsi="Arial" w:cs="Arial"/>
          <w:b/>
          <w:bCs/>
          <w:sz w:val="24"/>
          <w:szCs w:val="24"/>
        </w:rPr>
        <w:t>Tribunale di TREVISO</w:t>
      </w:r>
      <w:r>
        <w:rPr>
          <w:rFonts w:ascii="Arial" w:eastAsia="Arial" w:hAnsi="Arial" w:cs="Arial"/>
          <w:sz w:val="24"/>
          <w:szCs w:val="24"/>
        </w:rPr>
        <w:t xml:space="preserve"> hanno rigettato, ancora una volta, l’appello di una primaria compagnia telefonica che insisteva nel ritenersi estranea alla soggettività passiva mediata in relazione alla fornitura del servizio di telecomunicazioni.</w:t>
      </w:r>
    </w:p>
    <w:p w14:paraId="38139946" w14:textId="77777777" w:rsidR="007B616E" w:rsidRPr="00842FBA" w:rsidRDefault="007B616E" w:rsidP="007B616E">
      <w:pPr>
        <w:spacing w:line="360" w:lineRule="auto"/>
        <w:ind w:firstLine="708"/>
        <w:contextualSpacing/>
        <w:jc w:val="both"/>
        <w:rPr>
          <w:rFonts w:ascii="Arial" w:eastAsia="Arial" w:hAnsi="Arial" w:cs="Arial"/>
          <w:sz w:val="24"/>
          <w:szCs w:val="24"/>
        </w:rPr>
      </w:pPr>
      <w:r>
        <w:rPr>
          <w:rFonts w:ascii="Arial" w:eastAsia="Arial" w:hAnsi="Arial" w:cs="Arial"/>
          <w:sz w:val="24"/>
          <w:szCs w:val="24"/>
        </w:rPr>
        <w:t>Si legge nella sentenza:</w:t>
      </w:r>
    </w:p>
    <w:p w14:paraId="62EBDBEF" w14:textId="77777777" w:rsidR="007B616E" w:rsidRPr="00842FBA" w:rsidRDefault="007B616E" w:rsidP="007B616E">
      <w:pPr>
        <w:spacing w:line="360" w:lineRule="auto"/>
        <w:ind w:firstLine="709"/>
        <w:contextualSpacing/>
        <w:jc w:val="both"/>
        <w:rPr>
          <w:rFonts w:ascii="Arial" w:eastAsia="Arial" w:hAnsi="Arial" w:cs="Arial"/>
          <w:sz w:val="24"/>
          <w:szCs w:val="24"/>
        </w:rPr>
      </w:pPr>
      <w:r>
        <w:rPr>
          <w:rFonts w:ascii="Arial" w:eastAsia="Arial" w:hAnsi="Arial" w:cs="Arial"/>
          <w:i/>
          <w:iCs/>
          <w:sz w:val="24"/>
          <w:szCs w:val="24"/>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Pr>
          <w:rFonts w:ascii="Arial" w:eastAsia="Arial" w:hAnsi="Arial" w:cs="Arial"/>
          <w:i/>
          <w:iCs/>
          <w:sz w:val="24"/>
          <w:szCs w:val="24"/>
        </w:rPr>
        <w:t>voluntas</w:t>
      </w:r>
      <w:proofErr w:type="spellEnd"/>
      <w:r>
        <w:rPr>
          <w:rFonts w:ascii="Arial" w:eastAsia="Arial" w:hAnsi="Arial" w:cs="Arial"/>
          <w:i/>
          <w:iCs/>
          <w:sz w:val="24"/>
          <w:szCs w:val="24"/>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Pr>
          <w:rFonts w:ascii="Arial" w:eastAsia="Arial" w:hAnsi="Arial" w:cs="Arial"/>
          <w:b/>
          <w:bCs/>
          <w:i/>
          <w:iCs/>
          <w:sz w:val="24"/>
          <w:szCs w:val="24"/>
        </w:rPr>
        <w:t xml:space="preserve">Tribunale di Treviso n. 240/2025 del 20/02/2025, resa in appello </w:t>
      </w:r>
      <w:r>
        <w:rPr>
          <w:rFonts w:ascii="Arial" w:eastAsia="Arial" w:hAnsi="Arial" w:cs="Arial"/>
          <w:iCs/>
          <w:sz w:val="24"/>
          <w:szCs w:val="24"/>
        </w:rPr>
        <w:t>(</w:t>
      </w:r>
      <w:r>
        <w:rPr>
          <w:rFonts w:ascii="Arial" w:eastAsia="Arial" w:hAnsi="Arial" w:cs="Arial"/>
          <w:b/>
          <w:bCs/>
          <w:iCs/>
          <w:sz w:val="24"/>
          <w:szCs w:val="24"/>
        </w:rPr>
        <w:t>doc. 15</w:t>
      </w:r>
      <w:r>
        <w:rPr>
          <w:rFonts w:ascii="Arial" w:eastAsia="Arial" w:hAnsi="Arial" w:cs="Arial"/>
          <w:iCs/>
          <w:sz w:val="24"/>
          <w:szCs w:val="24"/>
        </w:rPr>
        <w:t>)</w:t>
      </w:r>
      <w:r>
        <w:rPr>
          <w:rFonts w:ascii="Arial" w:eastAsia="Arial" w:hAnsi="Arial" w:cs="Arial"/>
          <w:i/>
          <w:iCs/>
          <w:sz w:val="24"/>
          <w:szCs w:val="24"/>
        </w:rPr>
        <w:t>.</w:t>
      </w:r>
    </w:p>
    <w:p w14:paraId="0D6140EF" w14:textId="77777777" w:rsidR="007B616E" w:rsidRPr="00842FBA" w:rsidRDefault="007B616E" w:rsidP="007B616E">
      <w:pPr>
        <w:spacing w:line="360" w:lineRule="auto"/>
        <w:ind w:firstLine="709"/>
        <w:contextualSpacing/>
        <w:jc w:val="both"/>
        <w:rPr>
          <w:rFonts w:ascii="Arial" w:eastAsia="Arial" w:hAnsi="Arial" w:cs="Arial"/>
          <w:sz w:val="24"/>
          <w:szCs w:val="24"/>
        </w:rPr>
      </w:pPr>
      <w:r>
        <w:rPr>
          <w:rFonts w:ascii="Arial" w:eastAsia="Arial" w:hAnsi="Arial" w:cs="Arial"/>
          <w:sz w:val="24"/>
          <w:szCs w:val="24"/>
        </w:rPr>
        <w:t xml:space="preserve">Il Tribunale di </w:t>
      </w:r>
      <w:r>
        <w:rPr>
          <w:rFonts w:ascii="Arial" w:eastAsia="Arial" w:hAnsi="Arial" w:cs="Arial"/>
          <w:b/>
          <w:bCs/>
          <w:sz w:val="24"/>
          <w:szCs w:val="24"/>
        </w:rPr>
        <w:t>PIACENZA,</w:t>
      </w:r>
      <w:r>
        <w:rPr>
          <w:rFonts w:ascii="Arial" w:eastAsia="Arial" w:hAnsi="Arial" w:cs="Arial"/>
          <w:sz w:val="24"/>
          <w:szCs w:val="24"/>
        </w:rPr>
        <w:t xml:space="preserve"> poi, rigettando l’opposizione di Vodafone, ha sempre posto l’accento sul concetto di occupazione mediata e sulla </w:t>
      </w:r>
      <w:r>
        <w:rPr>
          <w:rFonts w:ascii="Arial" w:eastAsia="Arial" w:hAnsi="Arial" w:cs="Arial"/>
          <w:i/>
          <w:iCs/>
          <w:sz w:val="24"/>
          <w:szCs w:val="24"/>
        </w:rPr>
        <w:t>ratio</w:t>
      </w:r>
      <w:r>
        <w:rPr>
          <w:rFonts w:ascii="Arial" w:eastAsia="Arial" w:hAnsi="Arial" w:cs="Arial"/>
          <w:sz w:val="24"/>
          <w:szCs w:val="24"/>
        </w:rPr>
        <w:t xml:space="preserve"> della norma di interpretazione autentica.</w:t>
      </w:r>
    </w:p>
    <w:p w14:paraId="6704D3E2" w14:textId="77777777" w:rsidR="007B616E" w:rsidRPr="00842FBA" w:rsidRDefault="007B616E" w:rsidP="007B616E">
      <w:pPr>
        <w:spacing w:line="360" w:lineRule="auto"/>
        <w:ind w:firstLine="708"/>
        <w:contextualSpacing/>
        <w:jc w:val="both"/>
        <w:rPr>
          <w:rFonts w:ascii="Arial" w:eastAsia="Arial" w:hAnsi="Arial" w:cs="Arial"/>
          <w:sz w:val="24"/>
          <w:szCs w:val="24"/>
        </w:rPr>
      </w:pPr>
      <w:r>
        <w:rPr>
          <w:rFonts w:ascii="Arial" w:eastAsia="Arial" w:hAnsi="Arial" w:cs="Arial"/>
          <w:sz w:val="24"/>
          <w:szCs w:val="24"/>
        </w:rPr>
        <w:t>Si legge in sentenza:</w:t>
      </w:r>
    </w:p>
    <w:p w14:paraId="3F4174BF" w14:textId="77777777" w:rsidR="007B616E" w:rsidRPr="00842FBA" w:rsidRDefault="007B616E" w:rsidP="007B616E">
      <w:pPr>
        <w:spacing w:line="360" w:lineRule="auto"/>
        <w:ind w:firstLine="709"/>
        <w:contextualSpacing/>
        <w:jc w:val="both"/>
        <w:rPr>
          <w:rFonts w:ascii="Arial" w:eastAsia="Arial" w:hAnsi="Arial" w:cs="Arial"/>
          <w:b/>
          <w:bCs/>
          <w:sz w:val="24"/>
          <w:szCs w:val="24"/>
        </w:rPr>
      </w:pPr>
      <w:r>
        <w:rPr>
          <w:rFonts w:ascii="Arial" w:eastAsia="Arial" w:hAnsi="Arial" w:cs="Arial"/>
          <w:i/>
          <w:iCs/>
          <w:sz w:val="24"/>
          <w:szCs w:val="24"/>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w:t>
      </w:r>
      <w:r>
        <w:rPr>
          <w:rFonts w:ascii="Arial" w:eastAsia="Arial" w:hAnsi="Arial" w:cs="Arial"/>
          <w:i/>
          <w:iCs/>
          <w:sz w:val="24"/>
          <w:szCs w:val="24"/>
        </w:rPr>
        <w:lastRenderedPageBreak/>
        <w:t xml:space="preserve">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w:t>
      </w:r>
      <w:r>
        <w:rPr>
          <w:rFonts w:ascii="Arial" w:eastAsia="Arial" w:hAnsi="Arial" w:cs="Arial"/>
          <w:i/>
          <w:iCs/>
          <w:sz w:val="24"/>
          <w:szCs w:val="24"/>
        </w:rPr>
        <w:lastRenderedPageBreak/>
        <w:t xml:space="preserve">essere ritenuta soggetto passivo ai fini del CUP”. </w:t>
      </w:r>
      <w:r>
        <w:rPr>
          <w:rFonts w:ascii="Arial" w:eastAsia="Arial" w:hAnsi="Arial" w:cs="Arial"/>
          <w:b/>
          <w:bCs/>
          <w:i/>
          <w:iCs/>
          <w:sz w:val="24"/>
          <w:szCs w:val="24"/>
        </w:rPr>
        <w:t>Tribunale di Piacenza n. 207 del 06.05.2025</w:t>
      </w:r>
      <w:r>
        <w:rPr>
          <w:rFonts w:ascii="Arial" w:eastAsia="Arial" w:hAnsi="Arial" w:cs="Arial"/>
          <w:b/>
          <w:bCs/>
          <w:iCs/>
          <w:sz w:val="24"/>
          <w:szCs w:val="24"/>
        </w:rPr>
        <w:t xml:space="preserve"> (doc. 16)</w:t>
      </w:r>
      <w:r>
        <w:rPr>
          <w:rFonts w:ascii="Arial" w:eastAsia="Arial" w:hAnsi="Arial" w:cs="Arial"/>
          <w:b/>
          <w:bCs/>
          <w:i/>
          <w:iCs/>
          <w:sz w:val="24"/>
          <w:szCs w:val="24"/>
        </w:rPr>
        <w:t>.</w:t>
      </w:r>
    </w:p>
    <w:p w14:paraId="4D288F97" w14:textId="77777777" w:rsidR="007B616E" w:rsidRPr="00842FBA" w:rsidRDefault="007B616E" w:rsidP="007B616E">
      <w:pPr>
        <w:spacing w:line="360" w:lineRule="auto"/>
        <w:ind w:firstLine="360"/>
        <w:contextualSpacing/>
        <w:jc w:val="both"/>
        <w:rPr>
          <w:rFonts w:ascii="Arial" w:eastAsia="Arial" w:hAnsi="Arial" w:cs="Arial"/>
          <w:b/>
          <w:bCs/>
          <w:i/>
          <w:iCs/>
          <w:sz w:val="24"/>
          <w:szCs w:val="24"/>
        </w:rPr>
      </w:pPr>
      <w:r>
        <w:rPr>
          <w:rFonts w:ascii="Arial" w:eastAsia="Arial" w:hAnsi="Arial" w:cs="Arial"/>
          <w:sz w:val="24"/>
          <w:szCs w:val="24"/>
        </w:rPr>
        <w:t xml:space="preserve">Anche con successiva pronuncia, il </w:t>
      </w:r>
      <w:r>
        <w:rPr>
          <w:rFonts w:ascii="Arial" w:eastAsia="Arial" w:hAnsi="Arial" w:cs="Arial"/>
          <w:b/>
          <w:bCs/>
          <w:sz w:val="24"/>
          <w:szCs w:val="24"/>
        </w:rPr>
        <w:t>Tribunale di Piacenza – i</w:t>
      </w:r>
      <w:r>
        <w:rPr>
          <w:rFonts w:ascii="Arial" w:eastAsia="Arial" w:hAnsi="Arial" w:cs="Arial"/>
          <w:b/>
          <w:bCs/>
          <w:sz w:val="24"/>
          <w:szCs w:val="24"/>
          <w:u w:val="single"/>
        </w:rPr>
        <w:t>n funzione di giudice di secondo grado (</w:t>
      </w:r>
      <w:proofErr w:type="spellStart"/>
      <w:r>
        <w:rPr>
          <w:rFonts w:ascii="Arial" w:eastAsia="Arial" w:hAnsi="Arial" w:cs="Arial"/>
          <w:b/>
          <w:bCs/>
          <w:sz w:val="24"/>
          <w:szCs w:val="24"/>
          <w:u w:val="single"/>
        </w:rPr>
        <w:t>sent</w:t>
      </w:r>
      <w:proofErr w:type="spellEnd"/>
      <w:r>
        <w:rPr>
          <w:rFonts w:ascii="Arial" w:eastAsia="Arial" w:hAnsi="Arial" w:cs="Arial"/>
          <w:b/>
          <w:bCs/>
          <w:sz w:val="24"/>
          <w:szCs w:val="24"/>
          <w:u w:val="single"/>
        </w:rPr>
        <w:t>. 350 del 16.07.2025, R.G. 1562/2024) (doc. 17</w:t>
      </w:r>
      <w:r>
        <w:rPr>
          <w:rFonts w:ascii="Arial" w:eastAsia="Arial" w:hAnsi="Arial" w:cs="Arial"/>
          <w:sz w:val="24"/>
          <w:szCs w:val="24"/>
          <w:u w:val="single"/>
        </w:rPr>
        <w:t xml:space="preserve">) </w:t>
      </w:r>
      <w:r>
        <w:rPr>
          <w:rFonts w:ascii="Arial" w:eastAsia="Arial" w:hAnsi="Arial" w:cs="Arial"/>
          <w:sz w:val="24"/>
          <w:szCs w:val="24"/>
        </w:rPr>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Pr>
          <w:rFonts w:ascii="Arial" w:eastAsia="Arial" w:hAnsi="Arial" w:cs="Arial"/>
          <w:b/>
          <w:bCs/>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28196348" w14:textId="77777777" w:rsidR="007B616E" w:rsidRPr="00842FBA" w:rsidRDefault="007B616E" w:rsidP="007B616E">
      <w:pPr>
        <w:numPr>
          <w:ilvl w:val="0"/>
          <w:numId w:val="9"/>
        </w:numPr>
        <w:spacing w:line="360" w:lineRule="auto"/>
        <w:contextualSpacing/>
        <w:jc w:val="both"/>
        <w:rPr>
          <w:rFonts w:ascii="Arial" w:eastAsia="Arial" w:hAnsi="Arial" w:cs="Arial"/>
          <w:b/>
          <w:bCs/>
          <w:i/>
          <w:iCs/>
          <w:sz w:val="24"/>
          <w:szCs w:val="24"/>
        </w:rPr>
      </w:pPr>
      <w:r>
        <w:rPr>
          <w:rFonts w:ascii="Arial" w:eastAsia="Arial" w:hAnsi="Arial" w:cs="Arial"/>
          <w:b/>
          <w:bCs/>
          <w:i/>
          <w:iCs/>
          <w:sz w:val="24"/>
          <w:szCs w:val="24"/>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7102894F" w14:textId="77777777" w:rsidR="007B616E" w:rsidRPr="00842FBA" w:rsidRDefault="007B616E" w:rsidP="007B616E">
      <w:pPr>
        <w:numPr>
          <w:ilvl w:val="0"/>
          <w:numId w:val="9"/>
        </w:numPr>
        <w:spacing w:line="360" w:lineRule="auto"/>
        <w:contextualSpacing/>
        <w:jc w:val="both"/>
        <w:rPr>
          <w:rFonts w:ascii="Arial" w:eastAsia="Arial" w:hAnsi="Arial" w:cs="Arial"/>
          <w:i/>
          <w:iCs/>
          <w:sz w:val="24"/>
          <w:szCs w:val="24"/>
        </w:rPr>
      </w:pPr>
      <w:r>
        <w:rPr>
          <w:rFonts w:ascii="Arial" w:eastAsia="Arial" w:hAnsi="Arial" w:cs="Arial"/>
          <w:i/>
          <w:iCs/>
          <w:sz w:val="24"/>
          <w:szCs w:val="24"/>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95A98D5" w14:textId="77777777" w:rsidR="007B616E" w:rsidRPr="00842FBA" w:rsidRDefault="007B616E" w:rsidP="007B616E">
      <w:pPr>
        <w:numPr>
          <w:ilvl w:val="0"/>
          <w:numId w:val="9"/>
        </w:numPr>
        <w:spacing w:line="360" w:lineRule="auto"/>
        <w:contextualSpacing/>
        <w:jc w:val="both"/>
        <w:rPr>
          <w:rFonts w:ascii="Arial" w:eastAsia="Arial" w:hAnsi="Arial" w:cs="Arial"/>
          <w:i/>
          <w:iCs/>
          <w:sz w:val="24"/>
          <w:szCs w:val="24"/>
        </w:rPr>
      </w:pPr>
      <w:proofErr w:type="gramStart"/>
      <w:r>
        <w:rPr>
          <w:rFonts w:ascii="Arial" w:eastAsia="Arial" w:hAnsi="Arial" w:cs="Arial"/>
          <w:i/>
          <w:iCs/>
          <w:sz w:val="24"/>
          <w:szCs w:val="24"/>
        </w:rPr>
        <w:t>Peraltro</w:t>
      </w:r>
      <w:proofErr w:type="gramEnd"/>
      <w:r>
        <w:rPr>
          <w:rFonts w:ascii="Arial" w:eastAsia="Arial" w:hAnsi="Arial" w:cs="Arial"/>
          <w:i/>
          <w:iCs/>
          <w:sz w:val="24"/>
          <w:szCs w:val="24"/>
        </w:rPr>
        <w:t xml:space="preserve"> nel criterio di materialità dell’uso dell’infrastruttura altrui deve intendersi incluso anche quello con modalità virtuale considerata l’evoluzione tecnologica nel campo della telefonia.” </w:t>
      </w:r>
    </w:p>
    <w:p w14:paraId="73A5E3E4" w14:textId="77777777" w:rsidR="007B616E" w:rsidRPr="00842FBA" w:rsidRDefault="007B616E" w:rsidP="007B616E">
      <w:pPr>
        <w:spacing w:line="360" w:lineRule="auto"/>
        <w:ind w:firstLine="709"/>
        <w:contextualSpacing/>
        <w:jc w:val="both"/>
        <w:rPr>
          <w:rFonts w:ascii="Arial" w:eastAsia="Arial" w:hAnsi="Arial" w:cs="Arial"/>
          <w:sz w:val="24"/>
          <w:szCs w:val="24"/>
        </w:rPr>
      </w:pPr>
      <w:r>
        <w:rPr>
          <w:rFonts w:ascii="Arial" w:eastAsia="Arial" w:hAnsi="Arial" w:cs="Arial"/>
          <w:sz w:val="24"/>
          <w:szCs w:val="24"/>
        </w:rPr>
        <w:t xml:space="preserve">Ancora, il Tribunale di </w:t>
      </w:r>
      <w:r>
        <w:rPr>
          <w:rFonts w:ascii="Arial" w:eastAsia="Arial" w:hAnsi="Arial" w:cs="Arial"/>
          <w:b/>
          <w:bCs/>
          <w:sz w:val="24"/>
          <w:szCs w:val="24"/>
        </w:rPr>
        <w:t xml:space="preserve">IVREA </w:t>
      </w:r>
      <w:r>
        <w:rPr>
          <w:rFonts w:ascii="Arial" w:eastAsia="Arial" w:hAnsi="Arial" w:cs="Arial"/>
          <w:sz w:val="24"/>
          <w:szCs w:val="24"/>
        </w:rPr>
        <w:t xml:space="preserve">– </w:t>
      </w:r>
      <w:r>
        <w:rPr>
          <w:rFonts w:ascii="Arial" w:eastAsia="Arial" w:hAnsi="Arial" w:cs="Arial"/>
          <w:b/>
          <w:bCs/>
          <w:sz w:val="24"/>
          <w:szCs w:val="24"/>
        </w:rPr>
        <w:t>in funzione di giudice di secondo grado (</w:t>
      </w:r>
      <w:proofErr w:type="spellStart"/>
      <w:r>
        <w:rPr>
          <w:rFonts w:ascii="Arial" w:eastAsia="Arial" w:hAnsi="Arial" w:cs="Arial"/>
          <w:b/>
          <w:bCs/>
          <w:sz w:val="24"/>
          <w:szCs w:val="24"/>
        </w:rPr>
        <w:t>sent</w:t>
      </w:r>
      <w:proofErr w:type="spellEnd"/>
      <w:r>
        <w:rPr>
          <w:rFonts w:ascii="Arial" w:eastAsia="Arial" w:hAnsi="Arial" w:cs="Arial"/>
          <w:b/>
          <w:bCs/>
          <w:sz w:val="24"/>
          <w:szCs w:val="24"/>
        </w:rPr>
        <w:t>. 29.09.2025, n. 1255)</w:t>
      </w:r>
      <w:r>
        <w:rPr>
          <w:rFonts w:ascii="Arial" w:eastAsia="Arial" w:hAnsi="Arial" w:cs="Arial"/>
          <w:sz w:val="24"/>
          <w:szCs w:val="24"/>
        </w:rPr>
        <w:t xml:space="preserve"> </w:t>
      </w:r>
      <w:r>
        <w:rPr>
          <w:rFonts w:ascii="Arial" w:eastAsia="Arial" w:hAnsi="Arial" w:cs="Arial"/>
          <w:b/>
          <w:bCs/>
          <w:sz w:val="24"/>
          <w:szCs w:val="24"/>
        </w:rPr>
        <w:t>(doc. 18)</w:t>
      </w:r>
      <w:r>
        <w:rPr>
          <w:rFonts w:ascii="Arial" w:eastAsia="Arial" w:hAnsi="Arial" w:cs="Arial"/>
          <w:sz w:val="24"/>
          <w:szCs w:val="24"/>
        </w:rPr>
        <w:t xml:space="preserve"> – ha rigettato l’appello proposto da un primario operatore </w:t>
      </w:r>
      <w:r>
        <w:rPr>
          <w:rFonts w:ascii="Arial" w:eastAsia="Arial" w:hAnsi="Arial" w:cs="Arial"/>
          <w:sz w:val="24"/>
          <w:szCs w:val="24"/>
        </w:rPr>
        <w:lastRenderedPageBreak/>
        <w:t>telefonico avverso una decisione favorevole al Comune impositore, chiarendo che “</w:t>
      </w:r>
      <w:r>
        <w:rPr>
          <w:rFonts w:ascii="Arial" w:eastAsia="Arial" w:hAnsi="Arial" w:cs="Arial"/>
          <w:i/>
          <w:iCs/>
          <w:sz w:val="24"/>
          <w:szCs w:val="24"/>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Pr>
          <w:rFonts w:ascii="Arial" w:eastAsia="Arial" w:hAnsi="Arial" w:cs="Arial"/>
          <w:sz w:val="24"/>
          <w:szCs w:val="24"/>
        </w:rPr>
        <w:t>”, con la conseguenza che “</w:t>
      </w:r>
      <w:r>
        <w:rPr>
          <w:rFonts w:ascii="Arial" w:eastAsia="Arial" w:hAnsi="Arial" w:cs="Arial"/>
          <w:i/>
          <w:iCs/>
          <w:sz w:val="24"/>
          <w:szCs w:val="24"/>
        </w:rPr>
        <w:t>l’occupazione mediata del suolo pubblico è ravvisabile anche quando l’operatore accede alle infrastrutture del concessionario mediante sistemi tecnologici quali VULA, WS, FTTH OS, risultando irrilevante l’assenza di una materiale posa in opera di nuovi cav</w:t>
      </w:r>
      <w:r>
        <w:rPr>
          <w:rFonts w:ascii="Arial" w:eastAsia="Arial" w:hAnsi="Arial" w:cs="Arial"/>
          <w:sz w:val="24"/>
          <w:szCs w:val="24"/>
        </w:rPr>
        <w:t>i”.</w:t>
      </w:r>
    </w:p>
    <w:p w14:paraId="3E248ABA" w14:textId="77777777" w:rsidR="007B616E" w:rsidRPr="00842FBA" w:rsidRDefault="007B616E" w:rsidP="007B616E">
      <w:pPr>
        <w:spacing w:line="360" w:lineRule="auto"/>
        <w:ind w:firstLine="709"/>
        <w:contextualSpacing/>
        <w:jc w:val="both"/>
        <w:rPr>
          <w:rFonts w:ascii="Arial" w:eastAsia="Arial" w:hAnsi="Arial" w:cs="Arial"/>
          <w:sz w:val="24"/>
          <w:szCs w:val="24"/>
        </w:rPr>
      </w:pPr>
      <w:r>
        <w:rPr>
          <w:rFonts w:ascii="Arial" w:eastAsia="Arial" w:hAnsi="Arial" w:cs="Arial"/>
          <w:sz w:val="24"/>
          <w:szCs w:val="24"/>
        </w:rPr>
        <w:t xml:space="preserve">Ancora, il </w:t>
      </w:r>
      <w:r>
        <w:rPr>
          <w:rFonts w:ascii="Arial" w:eastAsia="Arial" w:hAnsi="Arial" w:cs="Arial"/>
          <w:b/>
          <w:bCs/>
          <w:sz w:val="24"/>
          <w:szCs w:val="24"/>
        </w:rPr>
        <w:t>Tribunale di</w:t>
      </w:r>
      <w:r>
        <w:rPr>
          <w:rFonts w:ascii="Arial" w:eastAsia="Arial" w:hAnsi="Arial" w:cs="Arial"/>
          <w:sz w:val="24"/>
          <w:szCs w:val="24"/>
        </w:rPr>
        <w:t xml:space="preserve"> </w:t>
      </w:r>
      <w:r>
        <w:rPr>
          <w:rFonts w:ascii="Arial" w:eastAsia="Arial" w:hAnsi="Arial" w:cs="Arial"/>
          <w:b/>
          <w:bCs/>
          <w:sz w:val="24"/>
          <w:szCs w:val="24"/>
        </w:rPr>
        <w:t>BOLZANO (</w:t>
      </w:r>
      <w:proofErr w:type="spellStart"/>
      <w:r>
        <w:rPr>
          <w:rFonts w:ascii="Arial" w:eastAsia="Arial" w:hAnsi="Arial" w:cs="Arial"/>
          <w:b/>
          <w:bCs/>
          <w:sz w:val="24"/>
          <w:szCs w:val="24"/>
        </w:rPr>
        <w:t>sent</w:t>
      </w:r>
      <w:proofErr w:type="spellEnd"/>
      <w:r>
        <w:rPr>
          <w:rFonts w:ascii="Arial" w:eastAsia="Arial" w:hAnsi="Arial" w:cs="Arial"/>
          <w:b/>
          <w:bCs/>
          <w:sz w:val="24"/>
          <w:szCs w:val="24"/>
        </w:rPr>
        <w:t>. 08.04.2024, n. 431) (doc. 19)</w:t>
      </w:r>
      <w:r>
        <w:rPr>
          <w:rFonts w:ascii="Arial" w:eastAsia="Arial" w:hAnsi="Arial" w:cs="Arial"/>
          <w:sz w:val="24"/>
          <w:szCs w:val="24"/>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rFonts w:ascii="Arial" w:eastAsia="Arial" w:hAnsi="Arial" w:cs="Arial"/>
          <w:i/>
          <w:iCs/>
          <w:sz w:val="24"/>
          <w:szCs w:val="24"/>
        </w:rPr>
        <w:t>parte da una premessa errata, confondendo un contratto di accesso o condivisione della rete con una separazione funzionale delle attività che non è rinvenibile nella realtà tecnica e normativa del settore TLC</w:t>
      </w:r>
      <w:r>
        <w:rPr>
          <w:rFonts w:ascii="Arial" w:eastAsia="Arial" w:hAnsi="Arial" w:cs="Arial"/>
          <w:sz w:val="24"/>
          <w:szCs w:val="24"/>
        </w:rPr>
        <w:t>”; ha ulteriormente affermato che “</w:t>
      </w:r>
      <w:r>
        <w:rPr>
          <w:rFonts w:ascii="Arial" w:eastAsia="Arial" w:hAnsi="Arial" w:cs="Arial"/>
          <w:i/>
          <w:iCs/>
          <w:sz w:val="24"/>
          <w:szCs w:val="24"/>
        </w:rPr>
        <w:t>sono soggetti passivi del canone tutti gli operatori che utilizzano, anche in via mediata, la rete del concessionario</w:t>
      </w:r>
      <w:r>
        <w:rPr>
          <w:rFonts w:ascii="Arial" w:eastAsia="Arial" w:hAnsi="Arial" w:cs="Arial"/>
          <w:sz w:val="24"/>
          <w:szCs w:val="24"/>
        </w:rPr>
        <w:t>” e che “</w:t>
      </w:r>
      <w:r>
        <w:rPr>
          <w:rFonts w:ascii="Arial" w:eastAsia="Arial" w:hAnsi="Arial" w:cs="Arial"/>
          <w:i/>
          <w:iCs/>
          <w:sz w:val="24"/>
          <w:szCs w:val="24"/>
        </w:rPr>
        <w:t>l’uso materiale dell’infrastruttura non richiede l’installazione fisica di cavi e include anche l’utilizzo virtuale, coerentemente con l’evoluzione tecnologica</w:t>
      </w:r>
      <w:r>
        <w:rPr>
          <w:rFonts w:ascii="Arial" w:eastAsia="Arial" w:hAnsi="Arial" w:cs="Arial"/>
          <w:sz w:val="24"/>
          <w:szCs w:val="24"/>
        </w:rPr>
        <w:t>”.</w:t>
      </w:r>
    </w:p>
    <w:p w14:paraId="1AEAE6CD" w14:textId="77777777" w:rsidR="007B616E" w:rsidRPr="00842FBA" w:rsidRDefault="007B616E" w:rsidP="007B616E">
      <w:pPr>
        <w:spacing w:line="360" w:lineRule="auto"/>
        <w:ind w:firstLine="709"/>
        <w:jc w:val="both"/>
        <w:rPr>
          <w:rFonts w:ascii="Arial" w:hAnsi="Arial" w:cs="Arial"/>
          <w:i/>
          <w:iCs/>
          <w:kern w:val="1"/>
          <w:sz w:val="24"/>
          <w:szCs w:val="24"/>
          <w:lang w:eastAsia="ar-SA"/>
        </w:rPr>
      </w:pPr>
      <w:r>
        <w:rPr>
          <w:rFonts w:ascii="Arial" w:hAnsi="Arial" w:cs="Arial"/>
          <w:kern w:val="1"/>
          <w:sz w:val="24"/>
          <w:szCs w:val="24"/>
          <w:lang w:eastAsia="ar-SA"/>
        </w:rPr>
        <w:t xml:space="preserve">Si menziona, anche, la sentenza resa dal </w:t>
      </w:r>
      <w:r>
        <w:rPr>
          <w:rFonts w:ascii="Arial" w:hAnsi="Arial" w:cs="Arial"/>
          <w:b/>
          <w:bCs/>
          <w:kern w:val="1"/>
          <w:sz w:val="24"/>
          <w:szCs w:val="24"/>
          <w:lang w:eastAsia="ar-SA"/>
        </w:rPr>
        <w:t>Tribunale di Bolzano n. 908/2025 del 15.10.2025</w:t>
      </w:r>
      <w:r>
        <w:rPr>
          <w:rFonts w:ascii="Arial" w:hAnsi="Arial" w:cs="Arial"/>
          <w:kern w:val="1"/>
          <w:sz w:val="24"/>
          <w:szCs w:val="24"/>
          <w:lang w:eastAsia="ar-SA"/>
        </w:rPr>
        <w:t xml:space="preserve">, che si produce </w:t>
      </w:r>
      <w:r>
        <w:rPr>
          <w:rFonts w:ascii="Arial" w:hAnsi="Arial" w:cs="Arial"/>
          <w:b/>
          <w:bCs/>
          <w:kern w:val="1"/>
          <w:sz w:val="24"/>
          <w:szCs w:val="24"/>
          <w:lang w:eastAsia="ar-SA"/>
        </w:rPr>
        <w:t>(doc. 20)</w:t>
      </w:r>
      <w:r>
        <w:rPr>
          <w:rFonts w:ascii="Arial" w:hAnsi="Arial" w:cs="Arial"/>
          <w:kern w:val="1"/>
          <w:sz w:val="24"/>
          <w:szCs w:val="24"/>
          <w:lang w:eastAsia="ar-SA"/>
        </w:rPr>
        <w:t xml:space="preserve">, che ha precisato: </w:t>
      </w:r>
      <w:r>
        <w:rPr>
          <w:rFonts w:ascii="Arial" w:hAnsi="Arial" w:cs="Arial"/>
          <w:i/>
          <w:iCs/>
          <w:kern w:val="1"/>
          <w:sz w:val="24"/>
          <w:szCs w:val="24"/>
          <w:lang w:eastAsia="ar-SA"/>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Pr>
          <w:rFonts w:ascii="Arial" w:hAnsi="Arial" w:cs="Arial"/>
          <w:i/>
          <w:iCs/>
          <w:kern w:val="1"/>
          <w:sz w:val="24"/>
          <w:szCs w:val="24"/>
          <w:lang w:eastAsia="ar-SA"/>
        </w:rPr>
        <w:t>nn</w:t>
      </w:r>
      <w:proofErr w:type="spellEnd"/>
      <w:r>
        <w:rPr>
          <w:rFonts w:ascii="Arial" w:hAnsi="Arial" w:cs="Arial"/>
          <w:i/>
          <w:iCs/>
          <w:kern w:val="1"/>
          <w:sz w:val="24"/>
          <w:szCs w:val="24"/>
          <w:lang w:eastAsia="ar-SA"/>
        </w:rPr>
        <w:t>. 431 e 649/2024).</w:t>
      </w:r>
    </w:p>
    <w:p w14:paraId="40A50929" w14:textId="77777777" w:rsidR="007B616E" w:rsidRPr="00842FBA" w:rsidRDefault="007B616E" w:rsidP="007B616E">
      <w:pPr>
        <w:spacing w:line="360" w:lineRule="auto"/>
        <w:ind w:firstLine="709"/>
        <w:jc w:val="both"/>
        <w:rPr>
          <w:rFonts w:ascii="Arial" w:hAnsi="Arial" w:cs="Arial"/>
          <w:kern w:val="1"/>
          <w:sz w:val="24"/>
          <w:szCs w:val="24"/>
          <w:lang w:eastAsia="ar-SA"/>
        </w:rPr>
      </w:pPr>
      <w:r>
        <w:rPr>
          <w:rFonts w:ascii="Arial" w:hAnsi="Arial" w:cs="Arial"/>
          <w:i/>
          <w:iCs/>
          <w:kern w:val="1"/>
          <w:sz w:val="24"/>
          <w:szCs w:val="24"/>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Pr>
          <w:rFonts w:ascii="Arial" w:hAnsi="Arial" w:cs="Arial"/>
          <w:kern w:val="1"/>
          <w:sz w:val="24"/>
          <w:szCs w:val="24"/>
          <w:lang w:eastAsia="ar-SA"/>
        </w:rPr>
        <w:t>."</w:t>
      </w:r>
    </w:p>
    <w:p w14:paraId="165D36B3" w14:textId="77777777" w:rsidR="007B616E" w:rsidRPr="00842FBA" w:rsidRDefault="007B616E" w:rsidP="007B616E">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Tale sentenza è stata preceduta già da:</w:t>
      </w:r>
    </w:p>
    <w:p w14:paraId="11082B79" w14:textId="77777777" w:rsidR="007B616E" w:rsidRPr="00842FBA" w:rsidRDefault="007B616E" w:rsidP="007B616E">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Tribunale di Bolzano Sentenza N. 431/2024</w:t>
      </w:r>
    </w:p>
    <w:p w14:paraId="01788E83" w14:textId="77777777" w:rsidR="007B616E" w:rsidRPr="00842FBA" w:rsidRDefault="007B616E" w:rsidP="007B616E">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Tribunale di Bolzano Sentenza N. 649/2024</w:t>
      </w:r>
    </w:p>
    <w:p w14:paraId="08FFEAFF" w14:textId="77777777" w:rsidR="007B616E" w:rsidRPr="00842FBA" w:rsidRDefault="007B616E" w:rsidP="007B616E">
      <w:pPr>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Tribunale di Padova Sentenza N. 1341/2024</w:t>
      </w:r>
    </w:p>
    <w:p w14:paraId="5CE6DCFA"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1409/2023</w:t>
      </w:r>
    </w:p>
    <w:p w14:paraId="1FB84BD6"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1410/2023</w:t>
      </w:r>
    </w:p>
    <w:p w14:paraId="7C4206E9"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1407/2023</w:t>
      </w:r>
    </w:p>
    <w:p w14:paraId="0C10255D"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1411/2023</w:t>
      </w:r>
    </w:p>
    <w:p w14:paraId="627618E8"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lastRenderedPageBreak/>
        <w:t>- Giudice di Pace di Treviso Sentenza N. 1414/2023</w:t>
      </w:r>
    </w:p>
    <w:p w14:paraId="67A657FE"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167/2024</w:t>
      </w:r>
    </w:p>
    <w:p w14:paraId="738A91B3"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168/2024</w:t>
      </w:r>
    </w:p>
    <w:p w14:paraId="2604657B"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Sentenza N. 294/2024</w:t>
      </w:r>
    </w:p>
    <w:p w14:paraId="11B5F747"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RG 5618/2023</w:t>
      </w:r>
    </w:p>
    <w:p w14:paraId="0CDC1F3C"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RG 5744/2023</w:t>
      </w:r>
    </w:p>
    <w:p w14:paraId="73A6FC5D"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Treviso RG 5434/2023</w:t>
      </w:r>
    </w:p>
    <w:p w14:paraId="682C6522"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1511/2023</w:t>
      </w:r>
    </w:p>
    <w:p w14:paraId="0A30B208"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1550/2023</w:t>
      </w:r>
    </w:p>
    <w:p w14:paraId="092A86DF"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454/2024</w:t>
      </w:r>
    </w:p>
    <w:p w14:paraId="3F84C1B3"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6795/2024</w:t>
      </w:r>
    </w:p>
    <w:p w14:paraId="6307BBB4"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Sentenza N. 1058/2024</w:t>
      </w:r>
    </w:p>
    <w:p w14:paraId="3AB8D3C3"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RG 5385/2023</w:t>
      </w:r>
    </w:p>
    <w:p w14:paraId="5FA0C4D7"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Padova RG 4099/2023</w:t>
      </w:r>
    </w:p>
    <w:p w14:paraId="35AC669D"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Sentenza N. 665/2023</w:t>
      </w:r>
    </w:p>
    <w:p w14:paraId="31E96E33"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Sentenza N. 666/2023</w:t>
      </w:r>
    </w:p>
    <w:p w14:paraId="63357A35"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RG 5588/2023</w:t>
      </w:r>
    </w:p>
    <w:p w14:paraId="159E41BC"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RG 5949/2023</w:t>
      </w:r>
    </w:p>
    <w:p w14:paraId="734C9426"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Rovigo Sentenza N. 219/2024</w:t>
      </w:r>
    </w:p>
    <w:p w14:paraId="5BDC6140"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Viterbo RG 1716/2023</w:t>
      </w:r>
    </w:p>
    <w:p w14:paraId="308BC039"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Ancona Sentenza N. 80/2024</w:t>
      </w:r>
    </w:p>
    <w:p w14:paraId="7C5A1ABA"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Monza RG 6910/2023</w:t>
      </w:r>
    </w:p>
    <w:p w14:paraId="27C0517A" w14:textId="77777777" w:rsidR="007B616E" w:rsidRPr="00842FBA" w:rsidRDefault="007B616E" w:rsidP="007B616E">
      <w:pPr>
        <w:shd w:val="clear" w:color="auto" w:fill="FFFFFF"/>
        <w:spacing w:line="360" w:lineRule="auto"/>
        <w:ind w:firstLine="709"/>
        <w:jc w:val="both"/>
        <w:rPr>
          <w:rFonts w:ascii="Arial" w:hAnsi="Arial" w:cs="Arial"/>
          <w:kern w:val="1"/>
          <w:sz w:val="24"/>
          <w:szCs w:val="24"/>
          <w:lang w:eastAsia="ar-SA"/>
        </w:rPr>
      </w:pPr>
      <w:r>
        <w:rPr>
          <w:rFonts w:ascii="Arial" w:hAnsi="Arial" w:cs="Arial"/>
          <w:kern w:val="1"/>
          <w:sz w:val="24"/>
          <w:szCs w:val="24"/>
          <w:lang w:eastAsia="ar-SA"/>
        </w:rPr>
        <w:t>- Giudice di Pace di Portoferraio Sentenza N. 17/2024</w:t>
      </w:r>
    </w:p>
    <w:p w14:paraId="18026B32" w14:textId="77777777" w:rsidR="007B616E" w:rsidRPr="00842FBA" w:rsidRDefault="007B616E" w:rsidP="007B616E">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Parma RG 3192/2023</w:t>
      </w:r>
    </w:p>
    <w:p w14:paraId="2FD727A5" w14:textId="77777777" w:rsidR="007B616E" w:rsidRPr="00842FBA" w:rsidRDefault="007B616E" w:rsidP="007B616E">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Novara Sentenza N. 4824/2023</w:t>
      </w:r>
    </w:p>
    <w:p w14:paraId="6C18AD8B" w14:textId="77777777" w:rsidR="007B616E" w:rsidRPr="00842FBA" w:rsidRDefault="007B616E" w:rsidP="007B616E">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Lanciano RG 639/2023</w:t>
      </w:r>
    </w:p>
    <w:p w14:paraId="09C6AE14" w14:textId="77777777" w:rsidR="007B616E" w:rsidRPr="00842FBA" w:rsidRDefault="007B616E" w:rsidP="007B616E">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Ivrea RG 2842/2023</w:t>
      </w:r>
    </w:p>
    <w:p w14:paraId="2610DD0E" w14:textId="77777777" w:rsidR="007B616E" w:rsidRPr="00842FBA" w:rsidRDefault="007B616E" w:rsidP="007B616E">
      <w:pPr>
        <w:shd w:val="clear" w:color="auto" w:fill="FFFFFF"/>
        <w:spacing w:line="360" w:lineRule="auto"/>
        <w:ind w:firstLine="709"/>
        <w:jc w:val="both"/>
        <w:rPr>
          <w:rFonts w:ascii="Arial" w:eastAsia="Calibri" w:hAnsi="Arial" w:cs="Arial"/>
          <w:kern w:val="2"/>
          <w:sz w:val="24"/>
          <w:szCs w:val="24"/>
          <w:lang w:eastAsia="en-US"/>
        </w:rPr>
      </w:pPr>
      <w:r>
        <w:rPr>
          <w:rFonts w:ascii="Arial" w:eastAsia="Calibri" w:hAnsi="Arial" w:cs="Arial"/>
          <w:kern w:val="2"/>
          <w:sz w:val="24"/>
          <w:szCs w:val="24"/>
          <w:lang w:eastAsia="en-US"/>
        </w:rPr>
        <w:t>- Giudice di Pace di Sondrio Sentenza N. 117/2024</w:t>
      </w:r>
    </w:p>
    <w:p w14:paraId="6FFD26DE" w14:textId="77777777" w:rsidR="007B616E" w:rsidRPr="00286E13" w:rsidRDefault="007B616E" w:rsidP="007B616E">
      <w:pPr>
        <w:spacing w:line="360" w:lineRule="auto"/>
        <w:ind w:firstLine="708"/>
        <w:jc w:val="both"/>
        <w:rPr>
          <w:rFonts w:ascii="Arial" w:hAnsi="Arial" w:cs="Arial"/>
          <w:sz w:val="24"/>
          <w:szCs w:val="24"/>
        </w:rPr>
      </w:pPr>
      <w:r>
        <w:rPr>
          <w:rFonts w:ascii="Arial" w:hAnsi="Arial" w:cs="Arial"/>
          <w:b/>
          <w:bCs/>
          <w:sz w:val="24"/>
          <w:szCs w:val="24"/>
          <w:u w:val="single"/>
        </w:rPr>
        <w:t>Sull’illegittimità del metodo di determinazione del tributo.</w:t>
      </w:r>
    </w:p>
    <w:p w14:paraId="5DC9091C" w14:textId="77777777" w:rsidR="007B616E" w:rsidRDefault="007B616E" w:rsidP="007B616E">
      <w:pPr>
        <w:spacing w:line="360" w:lineRule="auto"/>
        <w:ind w:firstLine="708"/>
        <w:jc w:val="both"/>
      </w:pPr>
      <w:r>
        <w:rPr>
          <w:rFonts w:ascii="Arial" w:hAnsi="Arial" w:cs="Arial"/>
          <w:sz w:val="24"/>
          <w:szCs w:val="24"/>
        </w:rPr>
        <w:t>Wind Tre contesta altresì il metodo di calcolo adottato dal Comune, sostenendo che l’art. 1, comma 831, L. 160/2019 prevederebbe quale unico criterio di quantificazione l’autodichiarazione dell’operatore e che, di conseguenza, il ricorso al metodo induttivo fondato sui dati AGCOM sarebbe privo di base normativa. L’eccezione è infondata.</w:t>
      </w:r>
    </w:p>
    <w:p w14:paraId="046F57C2" w14:textId="77777777" w:rsidR="007B616E" w:rsidRDefault="007B616E" w:rsidP="007B616E">
      <w:pPr>
        <w:spacing w:line="360" w:lineRule="auto"/>
        <w:ind w:firstLine="708"/>
        <w:jc w:val="both"/>
      </w:pPr>
      <w:r>
        <w:rPr>
          <w:rFonts w:ascii="Arial" w:hAnsi="Arial" w:cs="Arial"/>
          <w:sz w:val="24"/>
          <w:szCs w:val="24"/>
        </w:rPr>
        <w:t xml:space="preserve">Il metodo induttivo non costituisce un criterio alternativo ed arbitrario rispetto a quello legale, bensì lo strumento ricostruttivo di carattere residuale al quale l’Ente è legittimato a ricorrere ogniqualvolta l’operatore ometta la dichiarazione delle utenze </w:t>
      </w:r>
      <w:r>
        <w:rPr>
          <w:rFonts w:ascii="Arial" w:hAnsi="Arial" w:cs="Arial"/>
          <w:sz w:val="24"/>
          <w:szCs w:val="24"/>
        </w:rPr>
        <w:lastRenderedPageBreak/>
        <w:t xml:space="preserve">ovvero renda una dichiarazione palesemente inattendibile. Nel caso di specie, come esposto, le dichiarazioni prodotte da Wind Tre (4 utenze per il 2023, 0 utenze per il 2024 e per il 2025, a fronte di un Comune di oltre 75.000 abitanti) sono manifestamente inveritiere, sicché il Comune, non potendo fare affidamento su di esse, ha correttamente proceduto alla ricostruzione del presupposto impositivo sulla base delle quote di mercato del settore rilevate dall’Osservatorio sulle Comunicazioni AGCOM, integrate dalle risultanze di </w:t>
      </w:r>
      <w:proofErr w:type="spellStart"/>
      <w:r>
        <w:rPr>
          <w:rFonts w:ascii="Arial" w:hAnsi="Arial" w:cs="Arial"/>
          <w:sz w:val="24"/>
          <w:szCs w:val="24"/>
        </w:rPr>
        <w:t>PuntoFisco</w:t>
      </w:r>
      <w:proofErr w:type="spellEnd"/>
      <w:r>
        <w:rPr>
          <w:rFonts w:ascii="Arial" w:hAnsi="Arial" w:cs="Arial"/>
          <w:sz w:val="24"/>
          <w:szCs w:val="24"/>
        </w:rPr>
        <w:t>.</w:t>
      </w:r>
    </w:p>
    <w:p w14:paraId="3E86661F" w14:textId="77777777" w:rsidR="007B616E" w:rsidRDefault="007B616E" w:rsidP="007B616E">
      <w:pPr>
        <w:spacing w:line="360" w:lineRule="auto"/>
        <w:ind w:firstLine="708"/>
        <w:jc w:val="both"/>
      </w:pPr>
      <w:r>
        <w:rPr>
          <w:rFonts w:ascii="Arial" w:hAnsi="Arial" w:cs="Arial"/>
          <w:sz w:val="24"/>
          <w:szCs w:val="24"/>
        </w:rPr>
        <w:t xml:space="preserve">La piena legittimità di tale modalità ricostruttiva è stata di recente affermata dal Tribunale di Napoli con la sentenza n. 5948 del 13.04.2026, resa proprio nei confronti di Wind Tre, secondo cui </w:t>
      </w:r>
      <w:r>
        <w:rPr>
          <w:rFonts w:ascii="Arial" w:hAnsi="Arial" w:cs="Arial"/>
          <w:i/>
          <w:iCs/>
          <w:sz w:val="24"/>
          <w:szCs w:val="24"/>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Pr>
          <w:rFonts w:ascii="Arial" w:hAnsi="Arial" w:cs="Arial"/>
          <w:sz w:val="24"/>
          <w:szCs w:val="24"/>
        </w:rPr>
        <w:t>.</w:t>
      </w:r>
    </w:p>
    <w:p w14:paraId="45089964" w14:textId="77777777" w:rsidR="007B616E" w:rsidRDefault="007B616E" w:rsidP="007B616E">
      <w:pPr>
        <w:spacing w:line="360" w:lineRule="auto"/>
        <w:ind w:firstLine="708"/>
        <w:jc w:val="both"/>
      </w:pPr>
      <w:r>
        <w:rPr>
          <w:rFonts w:ascii="Arial" w:hAnsi="Arial" w:cs="Arial"/>
          <w:sz w:val="24"/>
          <w:szCs w:val="24"/>
        </w:rPr>
        <w:t xml:space="preserve">Il medesimo Tribunale ha altresì chiarito che </w:t>
      </w:r>
      <w:r>
        <w:rPr>
          <w:rFonts w:ascii="Arial" w:hAnsi="Arial" w:cs="Arial"/>
          <w:i/>
          <w:iCs/>
          <w:sz w:val="24"/>
          <w:szCs w:val="24"/>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rPr>
          <w:rFonts w:ascii="Arial" w:hAnsi="Arial" w:cs="Arial"/>
          <w:sz w:val="24"/>
          <w:szCs w:val="24"/>
        </w:rPr>
        <w:t>.</w:t>
      </w:r>
    </w:p>
    <w:p w14:paraId="75F15AE8" w14:textId="5BE581D3" w:rsidR="007B616E" w:rsidRDefault="007B616E" w:rsidP="007B616E">
      <w:pPr>
        <w:spacing w:line="360" w:lineRule="auto"/>
        <w:ind w:firstLine="708"/>
        <w:jc w:val="both"/>
      </w:pPr>
      <w:r>
        <w:rPr>
          <w:rFonts w:ascii="Arial" w:hAnsi="Arial" w:cs="Arial"/>
          <w:sz w:val="24"/>
          <w:szCs w:val="24"/>
        </w:rPr>
        <w:t xml:space="preserve">Ne consegue che, avendo Wind Tre reso dichiarazioni radicalmente inattendibili e reso in tal modo impossibile la quantificazione su base dichiarativa, il ricorso al metodo induttivo era non soltanto legittimo, ma doveroso, restando a carico della Società l’onere di fornire la prova contraria in ordine all’effettiva consistenza delle utenze servite. </w:t>
      </w:r>
    </w:p>
    <w:p w14:paraId="061806E4" w14:textId="0EB274F7" w:rsidR="007B616E" w:rsidRDefault="00C864A5" w:rsidP="005C39E1">
      <w:pPr>
        <w:spacing w:line="360" w:lineRule="auto"/>
        <w:ind w:firstLine="709"/>
        <w:jc w:val="both"/>
        <w:rPr>
          <w:rFonts w:ascii="Arial" w:hAnsi="Arial" w:cs="Arial"/>
          <w:sz w:val="24"/>
          <w:szCs w:val="24"/>
        </w:rPr>
      </w:pPr>
      <w:r>
        <w:rPr>
          <w:rFonts w:ascii="Arial" w:hAnsi="Arial" w:cs="Arial"/>
          <w:sz w:val="24"/>
          <w:szCs w:val="24"/>
        </w:rPr>
        <w:t>L’eccezione deve pertanto essere respinta.</w:t>
      </w:r>
    </w:p>
    <w:p w14:paraId="6663B667" w14:textId="42E93E4A" w:rsidR="00420F1E" w:rsidRDefault="007B616E">
      <w:pPr>
        <w:spacing w:line="360" w:lineRule="auto"/>
        <w:ind w:firstLine="708"/>
        <w:jc w:val="both"/>
        <w:rPr>
          <w:rFonts w:ascii="Arial" w:hAnsi="Arial" w:cs="Arial"/>
          <w:b/>
          <w:bCs/>
          <w:sz w:val="24"/>
          <w:szCs w:val="24"/>
          <w:u w:val="single"/>
        </w:rPr>
      </w:pPr>
      <w:r>
        <w:rPr>
          <w:rFonts w:ascii="Arial" w:hAnsi="Arial" w:cs="Arial"/>
          <w:b/>
          <w:bCs/>
          <w:sz w:val="24"/>
          <w:szCs w:val="24"/>
          <w:u w:val="single"/>
        </w:rPr>
        <w:t>5) Sull’eccepito avvenuto versamento del CUP e sulla dedotta comunicazione delle utenze attive.</w:t>
      </w:r>
    </w:p>
    <w:p w14:paraId="51AD1156" w14:textId="77777777" w:rsidR="005F367B" w:rsidRDefault="003710A5">
      <w:pPr>
        <w:spacing w:line="360" w:lineRule="auto"/>
        <w:ind w:firstLine="708"/>
        <w:jc w:val="both"/>
        <w:rPr>
          <w:rFonts w:ascii="Arial" w:hAnsi="Arial" w:cs="Arial"/>
          <w:sz w:val="24"/>
          <w:szCs w:val="24"/>
        </w:rPr>
      </w:pPr>
      <w:r>
        <w:rPr>
          <w:rFonts w:ascii="Arial" w:hAnsi="Arial" w:cs="Arial"/>
          <w:sz w:val="24"/>
          <w:szCs w:val="24"/>
        </w:rPr>
        <w:t xml:space="preserve">Wind Tre deduce di aver regolarmente comunicato le utenze attive e di aver conseguentemente versato quanto dovuto a titolo di CUP per le annualità in verifica, con conseguente insussistenza di qualsiasi debenza. </w:t>
      </w:r>
    </w:p>
    <w:p w14:paraId="1A59806F" w14:textId="593B4403" w:rsidR="00420F1E" w:rsidRDefault="003710A5">
      <w:pPr>
        <w:spacing w:line="360" w:lineRule="auto"/>
        <w:ind w:firstLine="708"/>
        <w:jc w:val="both"/>
      </w:pPr>
      <w:r>
        <w:rPr>
          <w:rFonts w:ascii="Arial" w:hAnsi="Arial" w:cs="Arial"/>
          <w:sz w:val="24"/>
          <w:szCs w:val="24"/>
        </w:rPr>
        <w:t>L’eccezione è infondata.</w:t>
      </w:r>
    </w:p>
    <w:p w14:paraId="5E2893CB" w14:textId="77777777" w:rsidR="005F367B" w:rsidRDefault="003710A5">
      <w:pPr>
        <w:spacing w:line="360" w:lineRule="auto"/>
        <w:ind w:firstLine="708"/>
        <w:jc w:val="both"/>
        <w:rPr>
          <w:rFonts w:ascii="Arial" w:hAnsi="Arial" w:cs="Arial"/>
          <w:sz w:val="24"/>
          <w:szCs w:val="24"/>
        </w:rPr>
      </w:pPr>
      <w:r>
        <w:rPr>
          <w:rFonts w:ascii="Arial" w:hAnsi="Arial" w:cs="Arial"/>
          <w:sz w:val="24"/>
          <w:szCs w:val="24"/>
        </w:rPr>
        <w:t xml:space="preserve">Come già esposto, le dichiarazioni delle utenze prodotte dalla Società sono palesemente inattendibili (4 utenze per il 2023, 0 utenze per il 2024 e per il 2025), e su di esse Wind Tre ha commisurato un versamento ancorato alla sola quota minima di legge. </w:t>
      </w:r>
    </w:p>
    <w:p w14:paraId="76A0F531" w14:textId="777EFFCF" w:rsidR="00420F1E" w:rsidRDefault="003710A5">
      <w:pPr>
        <w:spacing w:line="360" w:lineRule="auto"/>
        <w:ind w:firstLine="708"/>
        <w:jc w:val="both"/>
      </w:pPr>
      <w:r>
        <w:rPr>
          <w:rFonts w:ascii="Arial" w:hAnsi="Arial" w:cs="Arial"/>
          <w:sz w:val="24"/>
          <w:szCs w:val="24"/>
        </w:rPr>
        <w:lastRenderedPageBreak/>
        <w:t>Sennonché, il versamento del minimo forfettario non è idoneo ad estinguere l’obbligazione tributaria nella sua effettiva consistenza, ove la dichiarazione delle utenze su cui esso si fonda sia incompleta o non veritiera.</w:t>
      </w:r>
    </w:p>
    <w:p w14:paraId="7A4A10CF" w14:textId="77777777" w:rsidR="005F367B" w:rsidRDefault="0053298C">
      <w:pPr>
        <w:spacing w:line="360" w:lineRule="auto"/>
        <w:ind w:firstLine="708"/>
        <w:jc w:val="both"/>
        <w:rPr>
          <w:rFonts w:ascii="Arial" w:hAnsi="Arial" w:cs="Arial"/>
          <w:sz w:val="24"/>
          <w:szCs w:val="24"/>
        </w:rPr>
      </w:pPr>
      <w:r w:rsidRPr="0053298C">
        <w:rPr>
          <w:rFonts w:ascii="Arial" w:hAnsi="Arial" w:cs="Arial"/>
          <w:sz w:val="24"/>
          <w:szCs w:val="24"/>
        </w:rPr>
        <w:t>Come già osservato al precedente punto 4), il versamento del solo minimo forfettario non è idoneo ad estinguere l'obbligazione tributaria nella sua effettiva consistenza ove la dichiarazione delle utenze su cui esso si fonda sia incompleta o non veritiera (cfr. Trib. Napoli n. 5948/2026, doc. 14)</w:t>
      </w:r>
      <w:r>
        <w:rPr>
          <w:rFonts w:ascii="Arial" w:hAnsi="Arial" w:cs="Arial"/>
          <w:sz w:val="24"/>
          <w:szCs w:val="24"/>
        </w:rPr>
        <w:t xml:space="preserve">. </w:t>
      </w:r>
    </w:p>
    <w:p w14:paraId="3A271418" w14:textId="55BACCA7" w:rsidR="00420F1E" w:rsidRDefault="0053298C">
      <w:pPr>
        <w:spacing w:line="360" w:lineRule="auto"/>
        <w:ind w:firstLine="708"/>
        <w:jc w:val="both"/>
      </w:pPr>
      <w:r>
        <w:rPr>
          <w:rFonts w:ascii="Arial" w:hAnsi="Arial" w:cs="Arial"/>
          <w:sz w:val="24"/>
          <w:szCs w:val="24"/>
        </w:rPr>
        <w:t>Il versamento parziale eseguito da Wind Tre, pertanto, lungi dal comprovare l’adempimento, conferma semmai la fondatezza della pretesa comunale, avendo la Società versato somme non commisurate all’effettivo numero delle utenze servite. L’eccezione deve pertanto essere respinta.</w:t>
      </w:r>
    </w:p>
    <w:p w14:paraId="4F4F3F8F" w14:textId="77777777" w:rsidR="007672B0" w:rsidRPr="00F0621C" w:rsidRDefault="007672B0" w:rsidP="00286E13">
      <w:pPr>
        <w:spacing w:line="360" w:lineRule="auto"/>
        <w:ind w:firstLine="708"/>
        <w:jc w:val="both"/>
        <w:rPr>
          <w:rFonts w:ascii="Arial" w:hAnsi="Arial" w:cs="Arial"/>
          <w:b/>
          <w:bCs/>
          <w:sz w:val="24"/>
          <w:szCs w:val="24"/>
          <w:u w:val="single"/>
        </w:rPr>
      </w:pPr>
      <w:r>
        <w:rPr>
          <w:rFonts w:ascii="Arial" w:hAnsi="Arial" w:cs="Arial"/>
          <w:b/>
          <w:bCs/>
          <w:sz w:val="24"/>
          <w:szCs w:val="24"/>
          <w:u w:val="single"/>
        </w:rPr>
        <w:t>6) Sull’eccepita inesigibilità del CUP per il periodo d’imposta 2025.</w:t>
      </w:r>
    </w:p>
    <w:p w14:paraId="2E4641CB" w14:textId="77777777" w:rsidR="003D5190" w:rsidRDefault="003710A5" w:rsidP="00286E13">
      <w:pPr>
        <w:spacing w:line="360" w:lineRule="auto"/>
        <w:ind w:firstLine="708"/>
        <w:jc w:val="both"/>
        <w:rPr>
          <w:rFonts w:ascii="Arial" w:hAnsi="Arial" w:cs="Arial"/>
          <w:sz w:val="24"/>
          <w:szCs w:val="24"/>
        </w:rPr>
      </w:pPr>
      <w:r>
        <w:rPr>
          <w:rFonts w:ascii="Arial" w:hAnsi="Arial" w:cs="Arial"/>
          <w:sz w:val="24"/>
          <w:szCs w:val="24"/>
        </w:rPr>
        <w:t>Wind Tre sostiene che la pretesa impositiva relativa all’annualità 2025 sarebbe prematura, in quanto il termine per il versamento del CUP (30 aprile 2026) non era ancora scaduto alla data di notifica dell’avviso (24 marzo 2026).</w:t>
      </w:r>
    </w:p>
    <w:p w14:paraId="3D1FBFD7" w14:textId="77777777" w:rsidR="0050257F" w:rsidRDefault="003D5190" w:rsidP="003D5190">
      <w:pPr>
        <w:spacing w:line="360" w:lineRule="auto"/>
        <w:ind w:firstLine="708"/>
        <w:jc w:val="both"/>
        <w:rPr>
          <w:rFonts w:ascii="Arial" w:hAnsi="Arial" w:cs="Arial"/>
          <w:sz w:val="24"/>
          <w:szCs w:val="24"/>
        </w:rPr>
      </w:pPr>
      <w:r>
        <w:rPr>
          <w:rFonts w:ascii="Arial" w:hAnsi="Arial" w:cs="Arial"/>
          <w:sz w:val="24"/>
          <w:szCs w:val="24"/>
        </w:rPr>
        <w:t xml:space="preserve">L'eccezione è destituita di fondamento. L'art. 1, comma 831, L. 160/2019 stabilisce che il versamento del CUP è dovuto entro il 30 aprile </w:t>
      </w:r>
      <w:r>
        <w:rPr>
          <w:rFonts w:ascii="Arial" w:hAnsi="Arial" w:cs="Arial"/>
          <w:b/>
          <w:bCs/>
          <w:sz w:val="24"/>
          <w:szCs w:val="24"/>
        </w:rPr>
        <w:t>di ciascun anno</w:t>
      </w:r>
      <w:r>
        <w:rPr>
          <w:rFonts w:ascii="Arial" w:hAnsi="Arial" w:cs="Arial"/>
          <w:sz w:val="24"/>
          <w:szCs w:val="24"/>
        </w:rPr>
        <w:t xml:space="preserve"> — il che significa che il canone per l'anno 2025 andava versato entro il </w:t>
      </w:r>
      <w:r>
        <w:rPr>
          <w:rFonts w:ascii="Arial" w:hAnsi="Arial" w:cs="Arial"/>
          <w:b/>
          <w:bCs/>
          <w:sz w:val="24"/>
          <w:szCs w:val="24"/>
        </w:rPr>
        <w:t>30 aprile 2025</w:t>
      </w:r>
      <w:r>
        <w:rPr>
          <w:rFonts w:ascii="Arial" w:hAnsi="Arial" w:cs="Arial"/>
          <w:sz w:val="24"/>
          <w:szCs w:val="24"/>
        </w:rPr>
        <w:t xml:space="preserve">. </w:t>
      </w:r>
    </w:p>
    <w:p w14:paraId="11A9A8A0" w14:textId="3C927C53" w:rsidR="0050257F" w:rsidRDefault="003D5190" w:rsidP="003D5190">
      <w:pPr>
        <w:spacing w:line="360" w:lineRule="auto"/>
        <w:ind w:firstLine="708"/>
        <w:jc w:val="both"/>
        <w:rPr>
          <w:rFonts w:ascii="Arial" w:hAnsi="Arial" w:cs="Arial"/>
          <w:sz w:val="24"/>
          <w:szCs w:val="24"/>
        </w:rPr>
      </w:pPr>
      <w:r>
        <w:rPr>
          <w:rFonts w:ascii="Arial" w:hAnsi="Arial" w:cs="Arial"/>
          <w:sz w:val="24"/>
          <w:szCs w:val="24"/>
        </w:rPr>
        <w:t>Alla data di notifica dell'avviso di accertamento (24 marzo 2026), tale termine era già scaduto da quasi un anno</w:t>
      </w:r>
      <w:r w:rsidR="0050257F">
        <w:rPr>
          <w:rFonts w:ascii="Arial" w:hAnsi="Arial" w:cs="Arial"/>
          <w:sz w:val="24"/>
          <w:szCs w:val="24"/>
        </w:rPr>
        <w:t xml:space="preserve"> e i</w:t>
      </w:r>
      <w:r>
        <w:rPr>
          <w:rFonts w:ascii="Arial" w:hAnsi="Arial" w:cs="Arial"/>
          <w:sz w:val="24"/>
          <w:szCs w:val="24"/>
        </w:rPr>
        <w:t xml:space="preserve">l potere accertativo del Comune era dunque pienamente maturato. </w:t>
      </w:r>
    </w:p>
    <w:p w14:paraId="5856D15A" w14:textId="17181350" w:rsidR="00297929" w:rsidRPr="00286E13" w:rsidRDefault="003D5190" w:rsidP="003D5190">
      <w:pPr>
        <w:spacing w:line="360" w:lineRule="auto"/>
        <w:ind w:firstLine="708"/>
        <w:jc w:val="both"/>
        <w:rPr>
          <w:rFonts w:ascii="Arial" w:hAnsi="Arial" w:cs="Arial"/>
          <w:sz w:val="24"/>
          <w:szCs w:val="24"/>
        </w:rPr>
      </w:pPr>
      <w:r>
        <w:rPr>
          <w:rFonts w:ascii="Arial" w:hAnsi="Arial" w:cs="Arial"/>
          <w:sz w:val="24"/>
          <w:szCs w:val="24"/>
        </w:rPr>
        <w:t>L'eccezione deve pertanto essere respinta.</w:t>
      </w:r>
    </w:p>
    <w:p w14:paraId="588D6DA0" w14:textId="77777777" w:rsidR="00297929" w:rsidRPr="00286E13" w:rsidRDefault="003710A5" w:rsidP="00286E13">
      <w:pPr>
        <w:spacing w:line="360" w:lineRule="auto"/>
        <w:jc w:val="center"/>
        <w:rPr>
          <w:rFonts w:ascii="Arial" w:hAnsi="Arial" w:cs="Arial"/>
          <w:sz w:val="24"/>
          <w:szCs w:val="24"/>
        </w:rPr>
      </w:pPr>
      <w:r>
        <w:rPr>
          <w:rFonts w:ascii="Arial" w:hAnsi="Arial" w:cs="Arial"/>
          <w:sz w:val="24"/>
          <w:szCs w:val="24"/>
        </w:rPr>
        <w:t>* * *</w:t>
      </w:r>
    </w:p>
    <w:p w14:paraId="44B381CB" w14:textId="77777777" w:rsidR="00DF57A0" w:rsidRPr="00DF57A0" w:rsidRDefault="00DF57A0" w:rsidP="00DF57A0">
      <w:pPr>
        <w:spacing w:before="120" w:after="120" w:line="360" w:lineRule="auto"/>
        <w:ind w:firstLine="708"/>
        <w:jc w:val="both"/>
        <w:rPr>
          <w:rFonts w:ascii="Arial" w:hAnsi="Arial" w:cs="Arial"/>
          <w:sz w:val="24"/>
          <w:szCs w:val="24"/>
        </w:rPr>
      </w:pPr>
      <w:r>
        <w:rPr>
          <w:rFonts w:ascii="Arial" w:hAnsi="Arial" w:cs="Arial"/>
          <w:sz w:val="24"/>
          <w:szCs w:val="24"/>
        </w:rPr>
        <w:t>Per tutto quanto sopra esposto, il Comune di Cinisello Balsamo, in persona del Sindaco e legale rappresentante pro tempore, come in epigrafe rappresentato e domiciliato, con espressa riserva di ogni integrazione, anche istruttoria, che dovesse rendersi necessaria,</w:t>
      </w:r>
    </w:p>
    <w:p w14:paraId="35872D73" w14:textId="77777777" w:rsidR="00DF57A0" w:rsidRPr="00DF57A0" w:rsidRDefault="00DF57A0" w:rsidP="00DF57A0">
      <w:pPr>
        <w:spacing w:before="120" w:after="120" w:line="360" w:lineRule="auto"/>
        <w:jc w:val="center"/>
        <w:rPr>
          <w:rFonts w:ascii="Arial" w:hAnsi="Arial" w:cs="Arial"/>
          <w:sz w:val="24"/>
          <w:szCs w:val="24"/>
        </w:rPr>
      </w:pPr>
      <w:r>
        <w:rPr>
          <w:rFonts w:ascii="Arial" w:hAnsi="Arial" w:cs="Arial"/>
          <w:b/>
          <w:bCs/>
          <w:sz w:val="24"/>
          <w:szCs w:val="24"/>
        </w:rPr>
        <w:t>conclude</w:t>
      </w:r>
    </w:p>
    <w:p w14:paraId="1DE7736A" w14:textId="77777777" w:rsidR="00420F1E" w:rsidRDefault="003710A5">
      <w:pPr>
        <w:spacing w:line="360" w:lineRule="auto"/>
        <w:ind w:firstLine="708"/>
        <w:jc w:val="both"/>
      </w:pPr>
      <w:r>
        <w:rPr>
          <w:rFonts w:ascii="Arial" w:hAnsi="Arial" w:cs="Arial"/>
          <w:sz w:val="24"/>
          <w:szCs w:val="24"/>
        </w:rPr>
        <w:t>affinché l’Ill.ma Corte di Giustizia Tributaria di Primo Grado di Milano, disattesa ogni contraria istanza ed eccezione, voglia:</w:t>
      </w:r>
    </w:p>
    <w:p w14:paraId="53436CCB" w14:textId="77777777" w:rsidR="00420F1E" w:rsidRDefault="003710A5">
      <w:pPr>
        <w:spacing w:line="360" w:lineRule="auto"/>
        <w:ind w:firstLine="708"/>
        <w:jc w:val="both"/>
      </w:pPr>
      <w:r w:rsidRPr="00EB71F6">
        <w:rPr>
          <w:rFonts w:ascii="Arial" w:hAnsi="Arial" w:cs="Arial"/>
          <w:b/>
          <w:bCs/>
          <w:sz w:val="24"/>
          <w:szCs w:val="24"/>
        </w:rPr>
        <w:t>rigettare il ricorso proposto,</w:t>
      </w:r>
      <w:r>
        <w:rPr>
          <w:rFonts w:ascii="Arial" w:hAnsi="Arial" w:cs="Arial"/>
          <w:sz w:val="24"/>
          <w:szCs w:val="24"/>
        </w:rPr>
        <w:t xml:space="preserve"> confermando la legittimità della pretesa dell’Ente con ogni conseguenziale statuizione di legge.</w:t>
      </w:r>
    </w:p>
    <w:p w14:paraId="5CB185EE" w14:textId="77777777" w:rsidR="00420F1E" w:rsidRDefault="003710A5">
      <w:pPr>
        <w:spacing w:line="360" w:lineRule="auto"/>
        <w:ind w:firstLine="708"/>
        <w:jc w:val="both"/>
      </w:pPr>
      <w:r>
        <w:rPr>
          <w:rFonts w:ascii="Arial" w:hAnsi="Arial" w:cs="Arial"/>
          <w:sz w:val="24"/>
          <w:szCs w:val="24"/>
        </w:rPr>
        <w:t>In via gradata, rideterminare il Canone e la sanzione nella misura che risulterà a seguito dell’eventuale fase istruttoria sulla base delle prove offerte dal ricorrente.</w:t>
      </w:r>
    </w:p>
    <w:p w14:paraId="216BE1AA" w14:textId="77777777" w:rsidR="00420F1E" w:rsidRDefault="003710A5">
      <w:pPr>
        <w:spacing w:line="360" w:lineRule="auto"/>
        <w:ind w:firstLine="708"/>
        <w:jc w:val="both"/>
      </w:pPr>
      <w:r>
        <w:rPr>
          <w:rFonts w:ascii="Arial" w:hAnsi="Arial" w:cs="Arial"/>
          <w:sz w:val="24"/>
          <w:szCs w:val="24"/>
        </w:rPr>
        <w:t>Con vittoria di spese e competenze di giudizio.</w:t>
      </w:r>
    </w:p>
    <w:p w14:paraId="42BD074E" w14:textId="77777777" w:rsidR="00420F1E" w:rsidRDefault="003710A5">
      <w:pPr>
        <w:spacing w:line="360" w:lineRule="auto"/>
        <w:ind w:firstLine="708"/>
        <w:jc w:val="both"/>
      </w:pPr>
      <w:r>
        <w:rPr>
          <w:rFonts w:ascii="Arial" w:hAnsi="Arial" w:cs="Arial"/>
          <w:sz w:val="24"/>
          <w:szCs w:val="24"/>
        </w:rPr>
        <w:lastRenderedPageBreak/>
        <w:t>Si chiede di essere autorizzati alla trattazione della controversia con collegamento da remoto.</w:t>
      </w:r>
    </w:p>
    <w:p w14:paraId="68CE1F4A" w14:textId="77777777" w:rsidR="00420F1E" w:rsidRDefault="003710A5">
      <w:pPr>
        <w:spacing w:line="360" w:lineRule="auto"/>
        <w:ind w:firstLine="708"/>
        <w:jc w:val="both"/>
        <w:rPr>
          <w:rFonts w:ascii="Arial" w:hAnsi="Arial" w:cs="Arial"/>
          <w:sz w:val="24"/>
          <w:szCs w:val="24"/>
        </w:rPr>
      </w:pPr>
      <w:r>
        <w:rPr>
          <w:rFonts w:ascii="Arial" w:hAnsi="Arial" w:cs="Arial"/>
          <w:sz w:val="24"/>
          <w:szCs w:val="24"/>
        </w:rPr>
        <w:t>Con ogni riserva.</w:t>
      </w:r>
    </w:p>
    <w:p w14:paraId="1153D17E" w14:textId="77777777" w:rsidR="0051103E" w:rsidRDefault="0051103E">
      <w:pPr>
        <w:spacing w:line="360" w:lineRule="auto"/>
        <w:ind w:firstLine="708"/>
        <w:jc w:val="both"/>
        <w:rPr>
          <w:rFonts w:ascii="Arial" w:hAnsi="Arial" w:cs="Arial"/>
          <w:sz w:val="24"/>
          <w:szCs w:val="24"/>
        </w:rPr>
      </w:pPr>
    </w:p>
    <w:p w14:paraId="104848BF" w14:textId="77777777" w:rsidR="0051103E" w:rsidRDefault="0051103E">
      <w:pPr>
        <w:spacing w:line="360" w:lineRule="auto"/>
        <w:ind w:firstLine="708"/>
        <w:jc w:val="both"/>
      </w:pPr>
    </w:p>
    <w:p w14:paraId="46933F8F" w14:textId="77777777" w:rsidR="00420F1E" w:rsidRDefault="003710A5" w:rsidP="00EB71F6">
      <w:pPr>
        <w:spacing w:line="360" w:lineRule="auto"/>
        <w:jc w:val="center"/>
      </w:pPr>
      <w:r>
        <w:rPr>
          <w:rFonts w:ascii="Arial" w:hAnsi="Arial" w:cs="Arial"/>
          <w:b/>
          <w:bCs/>
          <w:sz w:val="24"/>
          <w:szCs w:val="24"/>
        </w:rPr>
        <w:t>Attestazione conformità degli atti depositati</w:t>
      </w:r>
    </w:p>
    <w:p w14:paraId="19FA3D73" w14:textId="39A40E71" w:rsidR="00420F1E" w:rsidRDefault="003710A5">
      <w:pPr>
        <w:spacing w:line="360" w:lineRule="auto"/>
        <w:jc w:val="both"/>
        <w:rPr>
          <w:rFonts w:ascii="Arial" w:hAnsi="Arial" w:cs="Arial"/>
          <w:sz w:val="24"/>
          <w:szCs w:val="24"/>
        </w:rPr>
      </w:pPr>
      <w:r>
        <w:rPr>
          <w:rFonts w:ascii="Arial" w:hAnsi="Arial" w:cs="Arial"/>
          <w:sz w:val="24"/>
          <w:szCs w:val="24"/>
        </w:rPr>
        <w:t>Io sottoscritt</w:t>
      </w:r>
      <w:r w:rsidR="0050257F">
        <w:rPr>
          <w:rFonts w:ascii="Arial" w:hAnsi="Arial" w:cs="Arial"/>
          <w:sz w:val="24"/>
          <w:szCs w:val="24"/>
        </w:rPr>
        <w:t>o ……………………</w:t>
      </w:r>
      <w:proofErr w:type="gramStart"/>
      <w:r w:rsidR="0050257F">
        <w:rPr>
          <w:rFonts w:ascii="Arial" w:hAnsi="Arial" w:cs="Arial"/>
          <w:sz w:val="24"/>
          <w:szCs w:val="24"/>
        </w:rPr>
        <w:t>…….</w:t>
      </w:r>
      <w:proofErr w:type="gramEnd"/>
      <w:r>
        <w:rPr>
          <w:rFonts w:ascii="Arial" w:hAnsi="Arial" w:cs="Arial"/>
          <w:sz w:val="24"/>
          <w:szCs w:val="24"/>
        </w:rPr>
        <w:t>, in qualità di difensore nominato nel presente procedimento, attesto, ai sensi dell’art. 22, co. 2, d.lgs. 82/2005, la conformità con gli originali delle copie per immagine dei seguenti documenti depositati:</w:t>
      </w:r>
    </w:p>
    <w:p w14:paraId="783FADB9" w14:textId="77777777" w:rsidR="0051103E" w:rsidRDefault="0051103E">
      <w:pPr>
        <w:spacing w:line="360" w:lineRule="auto"/>
        <w:jc w:val="both"/>
      </w:pPr>
    </w:p>
    <w:p w14:paraId="0E0A4641" w14:textId="65CAE1BC" w:rsidR="00420F1E" w:rsidRDefault="003710A5">
      <w:pPr>
        <w:spacing w:line="360" w:lineRule="auto"/>
        <w:jc w:val="both"/>
      </w:pPr>
      <w:r>
        <w:rPr>
          <w:rFonts w:ascii="Arial" w:hAnsi="Arial" w:cs="Arial"/>
          <w:b/>
          <w:bCs/>
          <w:sz w:val="24"/>
          <w:szCs w:val="24"/>
        </w:rPr>
        <w:t xml:space="preserve">A) </w:t>
      </w:r>
      <w:r>
        <w:rPr>
          <w:rFonts w:ascii="Arial" w:hAnsi="Arial" w:cs="Arial"/>
          <w:sz w:val="24"/>
          <w:szCs w:val="24"/>
        </w:rPr>
        <w:t xml:space="preserve">Ricorso di WIND TRE S.P.A. </w:t>
      </w:r>
    </w:p>
    <w:p w14:paraId="3B35E409" w14:textId="77777777" w:rsidR="00420F1E" w:rsidRDefault="003710A5">
      <w:pPr>
        <w:spacing w:line="360" w:lineRule="auto"/>
        <w:jc w:val="both"/>
        <w:rPr>
          <w:rFonts w:ascii="Arial" w:hAnsi="Arial" w:cs="Arial"/>
          <w:sz w:val="24"/>
          <w:szCs w:val="24"/>
        </w:rPr>
      </w:pPr>
      <w:r>
        <w:rPr>
          <w:rFonts w:ascii="Arial" w:hAnsi="Arial" w:cs="Arial"/>
          <w:b/>
          <w:bCs/>
          <w:sz w:val="24"/>
          <w:szCs w:val="24"/>
        </w:rPr>
        <w:t xml:space="preserve">B) </w:t>
      </w:r>
      <w:r>
        <w:rPr>
          <w:rFonts w:ascii="Arial" w:hAnsi="Arial" w:cs="Arial"/>
          <w:sz w:val="24"/>
          <w:szCs w:val="24"/>
        </w:rPr>
        <w:t>Delibera di Costituzione in giudizio del Comune di Cinisello Balsamo</w:t>
      </w:r>
    </w:p>
    <w:p w14:paraId="1D79FE7F" w14:textId="77777777" w:rsidR="00420F1E" w:rsidRDefault="003710A5">
      <w:pPr>
        <w:spacing w:line="360" w:lineRule="auto"/>
        <w:jc w:val="both"/>
      </w:pPr>
      <w:r>
        <w:rPr>
          <w:rFonts w:ascii="Arial" w:hAnsi="Arial" w:cs="Arial"/>
          <w:b/>
          <w:bCs/>
          <w:sz w:val="24"/>
          <w:szCs w:val="24"/>
        </w:rPr>
        <w:t xml:space="preserve">1) </w:t>
      </w:r>
      <w:r>
        <w:rPr>
          <w:rFonts w:ascii="Arial" w:hAnsi="Arial" w:cs="Arial"/>
          <w:sz w:val="24"/>
          <w:szCs w:val="24"/>
        </w:rPr>
        <w:t>Regolamento per l’applicazione del Canone Unico Patrimoniale del Comune di Cinisello Balsamo (Delibera di Consiglio Comunale n. 18 del 15.04.2021, modificato con Delibera di Consiglio Comunale n. 24 del 23.05.2022)</w:t>
      </w:r>
    </w:p>
    <w:p w14:paraId="6C24FDB7" w14:textId="77777777" w:rsidR="00420F1E" w:rsidRDefault="003710A5">
      <w:pPr>
        <w:spacing w:line="360" w:lineRule="auto"/>
        <w:jc w:val="both"/>
      </w:pPr>
      <w:r>
        <w:rPr>
          <w:rFonts w:ascii="Arial" w:hAnsi="Arial" w:cs="Arial"/>
          <w:b/>
          <w:bCs/>
          <w:sz w:val="24"/>
          <w:szCs w:val="24"/>
        </w:rPr>
        <w:t xml:space="preserve">2) </w:t>
      </w:r>
      <w:r>
        <w:rPr>
          <w:rFonts w:ascii="Arial" w:hAnsi="Arial" w:cs="Arial"/>
          <w:sz w:val="24"/>
          <w:szCs w:val="24"/>
        </w:rPr>
        <w:t>Determinazione di affidamento del servizio di supporto ad Archivia Solution S.p.A. n. 709 dell’11.06.2025</w:t>
      </w:r>
    </w:p>
    <w:p w14:paraId="62263C6E" w14:textId="77777777" w:rsidR="00420F1E" w:rsidRDefault="003710A5">
      <w:pPr>
        <w:spacing w:line="360" w:lineRule="auto"/>
        <w:jc w:val="both"/>
      </w:pPr>
      <w:r>
        <w:rPr>
          <w:rFonts w:ascii="Arial" w:hAnsi="Arial" w:cs="Arial"/>
          <w:b/>
          <w:bCs/>
          <w:sz w:val="24"/>
          <w:szCs w:val="24"/>
        </w:rPr>
        <w:t xml:space="preserve">3) </w:t>
      </w:r>
      <w:r>
        <w:rPr>
          <w:rFonts w:ascii="Arial" w:hAnsi="Arial" w:cs="Arial"/>
          <w:sz w:val="24"/>
          <w:szCs w:val="24"/>
        </w:rPr>
        <w:t>Richiesta di dichiarazione utenze dell’11.11.2025 (Archivia Solution S.p.A.) e ricevute di accettazione e di consegna</w:t>
      </w:r>
    </w:p>
    <w:p w14:paraId="6FE937D4" w14:textId="77777777" w:rsidR="00420F1E" w:rsidRDefault="003710A5">
      <w:pPr>
        <w:spacing w:line="360" w:lineRule="auto"/>
        <w:jc w:val="both"/>
      </w:pPr>
      <w:r>
        <w:rPr>
          <w:rFonts w:ascii="Arial" w:hAnsi="Arial" w:cs="Arial"/>
          <w:b/>
          <w:bCs/>
          <w:sz w:val="24"/>
          <w:szCs w:val="24"/>
        </w:rPr>
        <w:t xml:space="preserve">4) </w:t>
      </w:r>
      <w:r>
        <w:rPr>
          <w:rFonts w:ascii="Arial" w:hAnsi="Arial" w:cs="Arial"/>
          <w:sz w:val="24"/>
          <w:szCs w:val="24"/>
        </w:rPr>
        <w:t>Avviso di Accertamento Esecutivo n. 13 del 26.02.2026 e ricevuta di consegna PEC del 24.03.2026</w:t>
      </w:r>
    </w:p>
    <w:p w14:paraId="610FA11F" w14:textId="77777777" w:rsidR="00420F1E" w:rsidRDefault="003710A5">
      <w:pPr>
        <w:spacing w:line="360" w:lineRule="auto"/>
        <w:jc w:val="both"/>
      </w:pPr>
      <w:r>
        <w:rPr>
          <w:rFonts w:ascii="Arial" w:hAnsi="Arial" w:cs="Arial"/>
          <w:b/>
          <w:bCs/>
          <w:sz w:val="24"/>
          <w:szCs w:val="24"/>
        </w:rPr>
        <w:t xml:space="preserve">5) </w:t>
      </w:r>
      <w:r>
        <w:rPr>
          <w:rFonts w:ascii="Arial" w:hAnsi="Arial" w:cs="Arial"/>
          <w:sz w:val="24"/>
          <w:szCs w:val="24"/>
        </w:rPr>
        <w:t>Istanza di annullamento in autotutela di Wind Tre S.p.A. (PEC del 31.03.2026)</w:t>
      </w:r>
    </w:p>
    <w:p w14:paraId="2FA50BB0" w14:textId="77777777" w:rsidR="00420F1E" w:rsidRDefault="003710A5">
      <w:pPr>
        <w:spacing w:line="360" w:lineRule="auto"/>
        <w:jc w:val="both"/>
      </w:pPr>
      <w:r>
        <w:rPr>
          <w:rFonts w:ascii="Arial" w:hAnsi="Arial" w:cs="Arial"/>
          <w:b/>
          <w:bCs/>
          <w:sz w:val="24"/>
          <w:szCs w:val="24"/>
        </w:rPr>
        <w:t xml:space="preserve">6) </w:t>
      </w:r>
      <w:r>
        <w:rPr>
          <w:rFonts w:ascii="Arial" w:hAnsi="Arial" w:cs="Arial"/>
          <w:sz w:val="24"/>
          <w:szCs w:val="24"/>
        </w:rPr>
        <w:t>Provvedimento di rigetto dell’istanza di autotutela del Comune di Cinisello Balsamo, notificato a mezzo PEC il 03.04.2026, con ricevute di accettazione e di consegna</w:t>
      </w:r>
    </w:p>
    <w:p w14:paraId="69BE2837" w14:textId="77777777" w:rsidR="00420F1E" w:rsidRDefault="003710A5">
      <w:pPr>
        <w:spacing w:line="360" w:lineRule="auto"/>
        <w:jc w:val="both"/>
      </w:pPr>
      <w:r>
        <w:rPr>
          <w:rFonts w:ascii="Arial" w:hAnsi="Arial" w:cs="Arial"/>
          <w:b/>
          <w:bCs/>
          <w:sz w:val="24"/>
          <w:szCs w:val="24"/>
        </w:rPr>
        <w:t xml:space="preserve">7) </w:t>
      </w:r>
      <w:r>
        <w:rPr>
          <w:rFonts w:ascii="Arial" w:hAnsi="Arial" w:cs="Arial"/>
          <w:sz w:val="24"/>
          <w:szCs w:val="24"/>
        </w:rPr>
        <w:t>Corte di Cassazione, SS.UU., sentenza n. 12225 del 1° maggio 2026</w:t>
      </w:r>
    </w:p>
    <w:p w14:paraId="3F19B88C" w14:textId="77777777" w:rsidR="00420F1E" w:rsidRDefault="003710A5">
      <w:pPr>
        <w:spacing w:line="360" w:lineRule="auto"/>
        <w:jc w:val="both"/>
      </w:pPr>
      <w:r>
        <w:rPr>
          <w:rFonts w:ascii="Arial" w:hAnsi="Arial" w:cs="Arial"/>
          <w:b/>
          <w:bCs/>
          <w:sz w:val="24"/>
          <w:szCs w:val="24"/>
        </w:rPr>
        <w:t xml:space="preserve">8) </w:t>
      </w:r>
      <w:r>
        <w:rPr>
          <w:rFonts w:ascii="Arial" w:hAnsi="Arial" w:cs="Arial"/>
          <w:sz w:val="24"/>
          <w:szCs w:val="24"/>
        </w:rPr>
        <w:t>Circolare MEF n. 1/DF del 22.05.2026</w:t>
      </w:r>
    </w:p>
    <w:p w14:paraId="58C9A248" w14:textId="77777777" w:rsidR="00420F1E" w:rsidRDefault="003710A5">
      <w:pPr>
        <w:spacing w:line="360" w:lineRule="auto"/>
        <w:jc w:val="both"/>
      </w:pPr>
      <w:r>
        <w:rPr>
          <w:rFonts w:ascii="Arial" w:hAnsi="Arial" w:cs="Arial"/>
          <w:b/>
          <w:bCs/>
          <w:sz w:val="24"/>
          <w:szCs w:val="24"/>
        </w:rPr>
        <w:t xml:space="preserve">9) </w:t>
      </w:r>
      <w:r>
        <w:rPr>
          <w:rFonts w:ascii="Arial" w:hAnsi="Arial" w:cs="Arial"/>
          <w:sz w:val="24"/>
          <w:szCs w:val="24"/>
        </w:rPr>
        <w:t>Corte di Cassazione, Sez. III Civile, sentenza n. 11479 del 28.04.2026</w:t>
      </w:r>
    </w:p>
    <w:p w14:paraId="4A6392AD" w14:textId="77777777" w:rsidR="00420F1E" w:rsidRDefault="003710A5">
      <w:pPr>
        <w:spacing w:line="360" w:lineRule="auto"/>
        <w:jc w:val="both"/>
      </w:pPr>
      <w:r>
        <w:rPr>
          <w:rFonts w:ascii="Arial" w:hAnsi="Arial" w:cs="Arial"/>
          <w:b/>
          <w:bCs/>
          <w:sz w:val="24"/>
          <w:szCs w:val="24"/>
        </w:rPr>
        <w:t xml:space="preserve">10) </w:t>
      </w:r>
      <w:r>
        <w:rPr>
          <w:rFonts w:ascii="Arial" w:hAnsi="Arial" w:cs="Arial"/>
          <w:sz w:val="24"/>
          <w:szCs w:val="24"/>
        </w:rPr>
        <w:t>Circolare MEF n. 1/DF del 20.01.2009</w:t>
      </w:r>
    </w:p>
    <w:p w14:paraId="68FECD9D" w14:textId="77777777" w:rsidR="00420F1E" w:rsidRDefault="003710A5">
      <w:pPr>
        <w:spacing w:line="360" w:lineRule="auto"/>
        <w:jc w:val="both"/>
      </w:pPr>
      <w:r>
        <w:rPr>
          <w:rFonts w:ascii="Arial" w:hAnsi="Arial" w:cs="Arial"/>
          <w:b/>
          <w:bCs/>
          <w:sz w:val="24"/>
          <w:szCs w:val="24"/>
        </w:rPr>
        <w:t xml:space="preserve">11) </w:t>
      </w:r>
      <w:r>
        <w:rPr>
          <w:rFonts w:ascii="Arial" w:hAnsi="Arial" w:cs="Arial"/>
          <w:sz w:val="24"/>
          <w:szCs w:val="24"/>
        </w:rPr>
        <w:t>Dati Osservatorio sulle Comunicazioni AGCOM</w:t>
      </w:r>
    </w:p>
    <w:p w14:paraId="1222E6EA" w14:textId="77777777" w:rsidR="00420F1E" w:rsidRDefault="003710A5">
      <w:pPr>
        <w:spacing w:line="360" w:lineRule="auto"/>
        <w:jc w:val="both"/>
      </w:pPr>
      <w:r>
        <w:rPr>
          <w:rFonts w:ascii="Arial" w:hAnsi="Arial" w:cs="Arial"/>
          <w:b/>
          <w:bCs/>
          <w:sz w:val="24"/>
          <w:szCs w:val="24"/>
        </w:rPr>
        <w:t xml:space="preserve">12) </w:t>
      </w:r>
      <w:r>
        <w:rPr>
          <w:rFonts w:ascii="Arial" w:hAnsi="Arial" w:cs="Arial"/>
          <w:sz w:val="24"/>
          <w:szCs w:val="24"/>
        </w:rPr>
        <w:t>Sentenza Tribunale di Bergamo n. 1523/2025 del 25.11.2025</w:t>
      </w:r>
    </w:p>
    <w:p w14:paraId="6001618B" w14:textId="77777777" w:rsidR="00420F1E" w:rsidRDefault="003710A5">
      <w:pPr>
        <w:spacing w:line="360" w:lineRule="auto"/>
        <w:jc w:val="both"/>
      </w:pPr>
      <w:r>
        <w:rPr>
          <w:rFonts w:ascii="Arial" w:hAnsi="Arial" w:cs="Arial"/>
          <w:b/>
          <w:bCs/>
          <w:sz w:val="24"/>
          <w:szCs w:val="24"/>
        </w:rPr>
        <w:t xml:space="preserve">13) </w:t>
      </w:r>
      <w:r>
        <w:rPr>
          <w:rFonts w:ascii="Arial" w:hAnsi="Arial" w:cs="Arial"/>
          <w:sz w:val="24"/>
          <w:szCs w:val="24"/>
        </w:rPr>
        <w:t>Sentenza Tribunale di Bergamo n. 289/2026 del 21.03.2026</w:t>
      </w:r>
    </w:p>
    <w:p w14:paraId="3007F6BA" w14:textId="77777777" w:rsidR="00420F1E" w:rsidRDefault="003710A5">
      <w:pPr>
        <w:spacing w:line="360" w:lineRule="auto"/>
        <w:jc w:val="both"/>
      </w:pPr>
      <w:r>
        <w:rPr>
          <w:rFonts w:ascii="Arial" w:hAnsi="Arial" w:cs="Arial"/>
          <w:b/>
          <w:bCs/>
          <w:sz w:val="24"/>
          <w:szCs w:val="24"/>
        </w:rPr>
        <w:t xml:space="preserve">14) </w:t>
      </w:r>
      <w:r>
        <w:rPr>
          <w:rFonts w:ascii="Arial" w:hAnsi="Arial" w:cs="Arial"/>
          <w:sz w:val="24"/>
          <w:szCs w:val="24"/>
        </w:rPr>
        <w:t>Sentenza Tribunale di Napoli n. 5948/2026 del 13.04.2026 (R.G. 16629/2025)</w:t>
      </w:r>
    </w:p>
    <w:p w14:paraId="3C910042" w14:textId="77777777" w:rsidR="00420F1E" w:rsidRDefault="003710A5">
      <w:pPr>
        <w:spacing w:line="360" w:lineRule="auto"/>
        <w:jc w:val="both"/>
      </w:pPr>
      <w:r>
        <w:rPr>
          <w:rFonts w:ascii="Arial" w:hAnsi="Arial" w:cs="Arial"/>
          <w:b/>
          <w:bCs/>
          <w:sz w:val="24"/>
          <w:szCs w:val="24"/>
        </w:rPr>
        <w:t xml:space="preserve">15) </w:t>
      </w:r>
      <w:r>
        <w:rPr>
          <w:rFonts w:ascii="Arial" w:hAnsi="Arial" w:cs="Arial"/>
          <w:sz w:val="24"/>
          <w:szCs w:val="24"/>
        </w:rPr>
        <w:t>Sentenza Tribunale di Treviso n. 240/2025 del 20.02.2025 (appello)</w:t>
      </w:r>
    </w:p>
    <w:p w14:paraId="21C3B0C8" w14:textId="77777777" w:rsidR="00420F1E" w:rsidRDefault="003710A5">
      <w:pPr>
        <w:spacing w:line="360" w:lineRule="auto"/>
        <w:jc w:val="both"/>
      </w:pPr>
      <w:r>
        <w:rPr>
          <w:rFonts w:ascii="Arial" w:hAnsi="Arial" w:cs="Arial"/>
          <w:b/>
          <w:bCs/>
          <w:sz w:val="24"/>
          <w:szCs w:val="24"/>
        </w:rPr>
        <w:t xml:space="preserve">16) </w:t>
      </w:r>
      <w:r>
        <w:rPr>
          <w:rFonts w:ascii="Arial" w:hAnsi="Arial" w:cs="Arial"/>
          <w:sz w:val="24"/>
          <w:szCs w:val="24"/>
        </w:rPr>
        <w:t>Sentenza Tribunale di Piacenza n. 207 del 06.05.2025</w:t>
      </w:r>
    </w:p>
    <w:p w14:paraId="6B61A319" w14:textId="77777777" w:rsidR="00420F1E" w:rsidRDefault="003710A5">
      <w:pPr>
        <w:spacing w:line="360" w:lineRule="auto"/>
        <w:jc w:val="both"/>
      </w:pPr>
      <w:r>
        <w:rPr>
          <w:rFonts w:ascii="Arial" w:hAnsi="Arial" w:cs="Arial"/>
          <w:b/>
          <w:bCs/>
          <w:sz w:val="24"/>
          <w:szCs w:val="24"/>
        </w:rPr>
        <w:t xml:space="preserve">17) </w:t>
      </w:r>
      <w:r>
        <w:rPr>
          <w:rFonts w:ascii="Arial" w:hAnsi="Arial" w:cs="Arial"/>
          <w:sz w:val="24"/>
          <w:szCs w:val="24"/>
        </w:rPr>
        <w:t>Sentenza Tribunale di Piacenza n. 350 del 16.07.2025 (II grado, R.G. 1562/2024)</w:t>
      </w:r>
    </w:p>
    <w:p w14:paraId="1BBAEA00" w14:textId="77777777" w:rsidR="00420F1E" w:rsidRDefault="003710A5">
      <w:pPr>
        <w:spacing w:line="360" w:lineRule="auto"/>
        <w:jc w:val="both"/>
      </w:pPr>
      <w:r>
        <w:rPr>
          <w:rFonts w:ascii="Arial" w:hAnsi="Arial" w:cs="Arial"/>
          <w:b/>
          <w:bCs/>
          <w:sz w:val="24"/>
          <w:szCs w:val="24"/>
        </w:rPr>
        <w:t xml:space="preserve">18) </w:t>
      </w:r>
      <w:r>
        <w:rPr>
          <w:rFonts w:ascii="Arial" w:hAnsi="Arial" w:cs="Arial"/>
          <w:sz w:val="24"/>
          <w:szCs w:val="24"/>
        </w:rPr>
        <w:t>Sentenza Tribunale di Ivrea n. 1255 del 29.09.2025 (II grado)</w:t>
      </w:r>
    </w:p>
    <w:p w14:paraId="6CAFB579" w14:textId="77777777" w:rsidR="00420F1E" w:rsidRDefault="003710A5">
      <w:pPr>
        <w:spacing w:line="360" w:lineRule="auto"/>
        <w:jc w:val="both"/>
      </w:pPr>
      <w:r>
        <w:rPr>
          <w:rFonts w:ascii="Arial" w:hAnsi="Arial" w:cs="Arial"/>
          <w:b/>
          <w:bCs/>
          <w:sz w:val="24"/>
          <w:szCs w:val="24"/>
        </w:rPr>
        <w:t xml:space="preserve">19) </w:t>
      </w:r>
      <w:r>
        <w:rPr>
          <w:rFonts w:ascii="Arial" w:hAnsi="Arial" w:cs="Arial"/>
          <w:sz w:val="24"/>
          <w:szCs w:val="24"/>
        </w:rPr>
        <w:t>Sentenza Tribunale di Bolzano n. 431/2024 del 08.04.2024</w:t>
      </w:r>
    </w:p>
    <w:p w14:paraId="2BD1DAFE" w14:textId="77777777" w:rsidR="00420F1E" w:rsidRDefault="003710A5">
      <w:pPr>
        <w:spacing w:line="360" w:lineRule="auto"/>
        <w:jc w:val="both"/>
      </w:pPr>
      <w:r>
        <w:rPr>
          <w:rFonts w:ascii="Arial" w:hAnsi="Arial" w:cs="Arial"/>
          <w:b/>
          <w:bCs/>
          <w:sz w:val="24"/>
          <w:szCs w:val="24"/>
        </w:rPr>
        <w:lastRenderedPageBreak/>
        <w:t xml:space="preserve">20) </w:t>
      </w:r>
      <w:r>
        <w:rPr>
          <w:rFonts w:ascii="Arial" w:hAnsi="Arial" w:cs="Arial"/>
          <w:sz w:val="24"/>
          <w:szCs w:val="24"/>
        </w:rPr>
        <w:t>Sentenza Tribunale di Bolzano n. 908/2025 del 15.10.2025</w:t>
      </w:r>
    </w:p>
    <w:p w14:paraId="2CCB1BAA" w14:textId="536A5896" w:rsidR="00DF57A0" w:rsidRPr="00DF57A0" w:rsidRDefault="00DF57A0" w:rsidP="00DF57A0">
      <w:pPr>
        <w:spacing w:line="360" w:lineRule="auto"/>
        <w:jc w:val="both"/>
        <w:rPr>
          <w:rFonts w:ascii="Arial" w:hAnsi="Arial" w:cs="Arial"/>
          <w:sz w:val="24"/>
          <w:szCs w:val="24"/>
        </w:rPr>
      </w:pPr>
      <w:r>
        <w:rPr>
          <w:rFonts w:ascii="Arial" w:hAnsi="Arial" w:cs="Arial"/>
          <w:sz w:val="24"/>
          <w:szCs w:val="24"/>
        </w:rPr>
        <w:t>Cinisello Balsamo, lì _________</w:t>
      </w:r>
    </w:p>
    <w:p w14:paraId="06F116FD" w14:textId="77777777" w:rsidR="00297929" w:rsidRPr="00286E13" w:rsidRDefault="00297929" w:rsidP="00286E13">
      <w:pPr>
        <w:spacing w:line="360" w:lineRule="auto"/>
        <w:rPr>
          <w:rFonts w:ascii="Arial" w:hAnsi="Arial" w:cs="Arial"/>
          <w:sz w:val="24"/>
          <w:szCs w:val="24"/>
        </w:rPr>
      </w:pPr>
    </w:p>
    <w:p w14:paraId="58388EF3" w14:textId="1EE303C0" w:rsidR="00297929" w:rsidRPr="00286E13" w:rsidRDefault="0050257F" w:rsidP="00286E13">
      <w:pPr>
        <w:spacing w:line="360" w:lineRule="auto"/>
        <w:jc w:val="right"/>
        <w:rPr>
          <w:rFonts w:ascii="Arial" w:hAnsi="Arial" w:cs="Arial"/>
          <w:sz w:val="24"/>
          <w:szCs w:val="24"/>
        </w:rPr>
      </w:pPr>
      <w:r>
        <w:rPr>
          <w:rFonts w:ascii="Arial" w:hAnsi="Arial" w:cs="Arial"/>
          <w:sz w:val="24"/>
          <w:szCs w:val="24"/>
        </w:rPr>
        <w:t>Il difensore</w:t>
      </w:r>
    </w:p>
    <w:sectPr w:rsidR="00297929" w:rsidRPr="00286E13" w:rsidSect="00C13BDB">
      <w:footerReference w:type="default" r:id="rId9"/>
      <w:pgSz w:w="11906" w:h="16838"/>
      <w:pgMar w:top="567" w:right="1134" w:bottom="993"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217143" w14:textId="77777777" w:rsidR="00D04D9E" w:rsidRDefault="00D04D9E" w:rsidP="00807516">
      <w:r>
        <w:separator/>
      </w:r>
    </w:p>
  </w:endnote>
  <w:endnote w:type="continuationSeparator" w:id="0">
    <w:p w14:paraId="7D9B4988" w14:textId="77777777" w:rsidR="00D04D9E" w:rsidRDefault="00D04D9E" w:rsidP="0080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6071417"/>
      <w:docPartObj>
        <w:docPartGallery w:val="Page Numbers (Bottom of Page)"/>
        <w:docPartUnique/>
      </w:docPartObj>
    </w:sdtPr>
    <w:sdtContent>
      <w:p w14:paraId="4019BA03" w14:textId="77777777" w:rsidR="00807516" w:rsidRDefault="00807516">
        <w:pPr>
          <w:pStyle w:val="Pidipagina"/>
          <w:jc w:val="center"/>
        </w:pPr>
        <w:r>
          <w:fldChar w:fldCharType="begin"/>
        </w:r>
        <w:r>
          <w:instrText>PAGE   \* MERGEFORMAT</w:instrText>
        </w:r>
        <w:r>
          <w:fldChar w:fldCharType="separate"/>
        </w:r>
        <w:r>
          <w:t>2</w:t>
        </w:r>
        <w:r>
          <w:fldChar w:fldCharType="end"/>
        </w:r>
      </w:p>
    </w:sdtContent>
  </w:sdt>
  <w:p w14:paraId="3601E9B8" w14:textId="77777777" w:rsidR="00807516" w:rsidRDefault="0080751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B771D" w14:textId="77777777" w:rsidR="00D04D9E" w:rsidRDefault="00D04D9E" w:rsidP="00807516">
      <w:r>
        <w:separator/>
      </w:r>
    </w:p>
  </w:footnote>
  <w:footnote w:type="continuationSeparator" w:id="0">
    <w:p w14:paraId="107FDA23" w14:textId="77777777" w:rsidR="00D04D9E" w:rsidRDefault="00D04D9E" w:rsidP="00807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AD378A7"/>
    <w:multiLevelType w:val="hybridMultilevel"/>
    <w:tmpl w:val="27F4FF0C"/>
    <w:lvl w:ilvl="0" w:tplc="FFFFFFFF">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A54DF8"/>
    <w:multiLevelType w:val="hybridMultilevel"/>
    <w:tmpl w:val="CB1C707E"/>
    <w:lvl w:ilvl="0" w:tplc="166EDB9A">
      <w:start w:val="1"/>
      <w:numFmt w:val="bullet"/>
      <w:lvlText w:val="●"/>
      <w:lvlJc w:val="left"/>
      <w:pPr>
        <w:ind w:left="720" w:hanging="360"/>
      </w:pPr>
    </w:lvl>
    <w:lvl w:ilvl="1" w:tplc="2F6454AA">
      <w:start w:val="1"/>
      <w:numFmt w:val="bullet"/>
      <w:lvlText w:val="○"/>
      <w:lvlJc w:val="left"/>
      <w:pPr>
        <w:ind w:left="1440" w:hanging="360"/>
      </w:pPr>
    </w:lvl>
    <w:lvl w:ilvl="2" w:tplc="692AF0FC">
      <w:start w:val="1"/>
      <w:numFmt w:val="bullet"/>
      <w:lvlText w:val="■"/>
      <w:lvlJc w:val="left"/>
      <w:pPr>
        <w:ind w:left="2160" w:hanging="360"/>
      </w:pPr>
    </w:lvl>
    <w:lvl w:ilvl="3" w:tplc="90AEC668">
      <w:start w:val="1"/>
      <w:numFmt w:val="bullet"/>
      <w:lvlText w:val="●"/>
      <w:lvlJc w:val="left"/>
      <w:pPr>
        <w:ind w:left="2880" w:hanging="360"/>
      </w:pPr>
    </w:lvl>
    <w:lvl w:ilvl="4" w:tplc="F7089A52">
      <w:start w:val="1"/>
      <w:numFmt w:val="bullet"/>
      <w:lvlText w:val="○"/>
      <w:lvlJc w:val="left"/>
      <w:pPr>
        <w:ind w:left="3600" w:hanging="360"/>
      </w:pPr>
    </w:lvl>
    <w:lvl w:ilvl="5" w:tplc="BB9CD114">
      <w:start w:val="1"/>
      <w:numFmt w:val="bullet"/>
      <w:lvlText w:val="■"/>
      <w:lvlJc w:val="left"/>
      <w:pPr>
        <w:ind w:left="4320" w:hanging="360"/>
      </w:pPr>
    </w:lvl>
    <w:lvl w:ilvl="6" w:tplc="8FD68060">
      <w:start w:val="1"/>
      <w:numFmt w:val="bullet"/>
      <w:lvlText w:val="●"/>
      <w:lvlJc w:val="left"/>
      <w:pPr>
        <w:ind w:left="5040" w:hanging="360"/>
      </w:pPr>
    </w:lvl>
    <w:lvl w:ilvl="7" w:tplc="7160D724">
      <w:start w:val="1"/>
      <w:numFmt w:val="bullet"/>
      <w:lvlText w:val="●"/>
      <w:lvlJc w:val="left"/>
      <w:pPr>
        <w:ind w:left="5760" w:hanging="360"/>
      </w:pPr>
    </w:lvl>
    <w:lvl w:ilvl="8" w:tplc="1F44DE60">
      <w:start w:val="1"/>
      <w:numFmt w:val="bullet"/>
      <w:lvlText w:val="●"/>
      <w:lvlJc w:val="left"/>
      <w:pPr>
        <w:ind w:left="6480" w:hanging="360"/>
      </w:pPr>
    </w:lvl>
  </w:abstractNum>
  <w:abstractNum w:abstractNumId="3" w15:restartNumberingAfterBreak="0">
    <w:nsid w:val="2D4157B1"/>
    <w:multiLevelType w:val="hybridMultilevel"/>
    <w:tmpl w:val="0D94266E"/>
    <w:lvl w:ilvl="0" w:tplc="0410000F">
      <w:start w:val="1"/>
      <w:numFmt w:val="decimal"/>
      <w:lvlText w:val="%1."/>
      <w:lvlJc w:val="left"/>
      <w:pPr>
        <w:ind w:left="644"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5D610CD5"/>
    <w:multiLevelType w:val="hybridMultilevel"/>
    <w:tmpl w:val="14A44000"/>
    <w:lvl w:ilvl="0" w:tplc="20AA60E2">
      <w:start w:val="1"/>
      <w:numFmt w:val="decimal"/>
      <w:lvlText w:val="%1."/>
      <w:lvlJc w:val="left"/>
      <w:pPr>
        <w:ind w:left="720" w:hanging="360"/>
      </w:pPr>
      <w:rPr>
        <w:rFonts w:ascii="Arial" w:eastAsia="Times New Roman" w:hAnsi="Arial" w:cs="Arial"/>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0002588"/>
    <w:multiLevelType w:val="hybridMultilevel"/>
    <w:tmpl w:val="E58CCC8E"/>
    <w:lvl w:ilvl="0" w:tplc="20AA60E2">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713385184">
    <w:abstractNumId w:val="2"/>
    <w:lvlOverride w:ilvl="0">
      <w:startOverride w:val="1"/>
    </w:lvlOverride>
  </w:num>
  <w:num w:numId="2" w16cid:durableId="1892494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2378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2898494">
    <w:abstractNumId w:val="6"/>
  </w:num>
  <w:num w:numId="5" w16cid:durableId="39282497">
    <w:abstractNumId w:val="5"/>
  </w:num>
  <w:num w:numId="6" w16cid:durableId="1553616690">
    <w:abstractNumId w:val="3"/>
  </w:num>
  <w:num w:numId="7" w16cid:durableId="1321810539">
    <w:abstractNumId w:val="4"/>
  </w:num>
  <w:num w:numId="8" w16cid:durableId="1599289147">
    <w:abstractNumId w:val="1"/>
  </w:num>
  <w:num w:numId="9"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929"/>
    <w:rsid w:val="00012A8F"/>
    <w:rsid w:val="00015A01"/>
    <w:rsid w:val="000C1B24"/>
    <w:rsid w:val="00114825"/>
    <w:rsid w:val="00125FD7"/>
    <w:rsid w:val="00160928"/>
    <w:rsid w:val="00175D29"/>
    <w:rsid w:val="001A33CB"/>
    <w:rsid w:val="001D30F0"/>
    <w:rsid w:val="001E59AB"/>
    <w:rsid w:val="00260B61"/>
    <w:rsid w:val="00286E13"/>
    <w:rsid w:val="002926A8"/>
    <w:rsid w:val="00297929"/>
    <w:rsid w:val="002B18C4"/>
    <w:rsid w:val="002E6B53"/>
    <w:rsid w:val="00305BE2"/>
    <w:rsid w:val="0031369B"/>
    <w:rsid w:val="00321C28"/>
    <w:rsid w:val="00340B8F"/>
    <w:rsid w:val="00347EA1"/>
    <w:rsid w:val="003710A5"/>
    <w:rsid w:val="00372560"/>
    <w:rsid w:val="003D5190"/>
    <w:rsid w:val="003E0CBE"/>
    <w:rsid w:val="004043F8"/>
    <w:rsid w:val="00420F1E"/>
    <w:rsid w:val="00421E8B"/>
    <w:rsid w:val="00442AAA"/>
    <w:rsid w:val="0046386F"/>
    <w:rsid w:val="00465E47"/>
    <w:rsid w:val="004D33F6"/>
    <w:rsid w:val="0050257F"/>
    <w:rsid w:val="0051103E"/>
    <w:rsid w:val="0053298C"/>
    <w:rsid w:val="00570BF8"/>
    <w:rsid w:val="00573E00"/>
    <w:rsid w:val="0059509D"/>
    <w:rsid w:val="005957D2"/>
    <w:rsid w:val="00595B62"/>
    <w:rsid w:val="005C39E1"/>
    <w:rsid w:val="005D0C1B"/>
    <w:rsid w:val="005F367B"/>
    <w:rsid w:val="00607CBF"/>
    <w:rsid w:val="006239D7"/>
    <w:rsid w:val="00653C38"/>
    <w:rsid w:val="006B259D"/>
    <w:rsid w:val="006B49EF"/>
    <w:rsid w:val="007672B0"/>
    <w:rsid w:val="0077304A"/>
    <w:rsid w:val="0078687C"/>
    <w:rsid w:val="007A0D8D"/>
    <w:rsid w:val="007B616E"/>
    <w:rsid w:val="007E67B9"/>
    <w:rsid w:val="00800F43"/>
    <w:rsid w:val="00803C71"/>
    <w:rsid w:val="00807516"/>
    <w:rsid w:val="00811178"/>
    <w:rsid w:val="0081682C"/>
    <w:rsid w:val="008179EB"/>
    <w:rsid w:val="00842FBA"/>
    <w:rsid w:val="00882C80"/>
    <w:rsid w:val="008A61B7"/>
    <w:rsid w:val="008E73DA"/>
    <w:rsid w:val="009918F4"/>
    <w:rsid w:val="009B5CEE"/>
    <w:rsid w:val="009D6DCE"/>
    <w:rsid w:val="009F5FA6"/>
    <w:rsid w:val="00A32850"/>
    <w:rsid w:val="00A376FA"/>
    <w:rsid w:val="00A50D1E"/>
    <w:rsid w:val="00B07151"/>
    <w:rsid w:val="00B10BAE"/>
    <w:rsid w:val="00B4577C"/>
    <w:rsid w:val="00B60A97"/>
    <w:rsid w:val="00B65A0F"/>
    <w:rsid w:val="00BA721E"/>
    <w:rsid w:val="00BD21D3"/>
    <w:rsid w:val="00BE701C"/>
    <w:rsid w:val="00C04543"/>
    <w:rsid w:val="00C13BDB"/>
    <w:rsid w:val="00C23EF1"/>
    <w:rsid w:val="00C255A2"/>
    <w:rsid w:val="00C56CA5"/>
    <w:rsid w:val="00C576B3"/>
    <w:rsid w:val="00C864A5"/>
    <w:rsid w:val="00C87CD8"/>
    <w:rsid w:val="00C94530"/>
    <w:rsid w:val="00CA72C7"/>
    <w:rsid w:val="00CD0131"/>
    <w:rsid w:val="00D04D9E"/>
    <w:rsid w:val="00D914DF"/>
    <w:rsid w:val="00DD5970"/>
    <w:rsid w:val="00DE2BB2"/>
    <w:rsid w:val="00DF57A0"/>
    <w:rsid w:val="00E07425"/>
    <w:rsid w:val="00E20257"/>
    <w:rsid w:val="00E90C96"/>
    <w:rsid w:val="00E96A5C"/>
    <w:rsid w:val="00EB71F6"/>
    <w:rsid w:val="00EC6926"/>
    <w:rsid w:val="00F02E32"/>
    <w:rsid w:val="00F0621C"/>
    <w:rsid w:val="00F362BF"/>
    <w:rsid w:val="00F91507"/>
    <w:rsid w:val="00FA6F01"/>
    <w:rsid w:val="00FC7F26"/>
    <w:rsid w:val="00FE5430"/>
    <w:rsid w:val="00FF26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64D24"/>
  <w15:docId w15:val="{A7B216D0-3787-7F49-AD3C-7BF6CA59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807516"/>
    <w:pPr>
      <w:tabs>
        <w:tab w:val="center" w:pos="4819"/>
        <w:tab w:val="right" w:pos="9638"/>
      </w:tabs>
    </w:pPr>
  </w:style>
  <w:style w:type="character" w:customStyle="1" w:styleId="IntestazioneCarattere">
    <w:name w:val="Intestazione Carattere"/>
    <w:basedOn w:val="Carpredefinitoparagrafo"/>
    <w:link w:val="Intestazione"/>
    <w:uiPriority w:val="99"/>
    <w:rsid w:val="00807516"/>
  </w:style>
  <w:style w:type="paragraph" w:styleId="Pidipagina">
    <w:name w:val="footer"/>
    <w:basedOn w:val="Normale"/>
    <w:link w:val="PidipaginaCarattere"/>
    <w:uiPriority w:val="99"/>
    <w:unhideWhenUsed/>
    <w:rsid w:val="00807516"/>
    <w:pPr>
      <w:tabs>
        <w:tab w:val="center" w:pos="4819"/>
        <w:tab w:val="right" w:pos="9638"/>
      </w:tabs>
    </w:pPr>
  </w:style>
  <w:style w:type="character" w:customStyle="1" w:styleId="PidipaginaCarattere">
    <w:name w:val="Piè di pagina Carattere"/>
    <w:basedOn w:val="Carpredefinitoparagrafo"/>
    <w:link w:val="Pidipagina"/>
    <w:uiPriority w:val="99"/>
    <w:rsid w:val="00807516"/>
  </w:style>
  <w:style w:type="character" w:styleId="Menzionenonrisolta">
    <w:name w:val="Unresolved Mention"/>
    <w:basedOn w:val="Carpredefinitoparagrafo"/>
    <w:uiPriority w:val="99"/>
    <w:semiHidden/>
    <w:unhideWhenUsed/>
    <w:rsid w:val="00C576B3"/>
    <w:rPr>
      <w:color w:val="605E5C"/>
      <w:shd w:val="clear" w:color="auto" w:fill="E1DFDD"/>
    </w:rPr>
  </w:style>
  <w:style w:type="paragraph" w:customStyle="1" w:styleId="p1">
    <w:name w:val="p1"/>
    <w:basedOn w:val="Normale"/>
    <w:rsid w:val="009F5FA6"/>
    <w:rPr>
      <w:rFonts w:ascii="Helvetica" w:hAnsi="Helvetica"/>
      <w:color w:val="000000"/>
      <w:sz w:val="15"/>
      <w:szCs w:val="15"/>
    </w:rPr>
  </w:style>
  <w:style w:type="character" w:styleId="Enfasigrassetto">
    <w:name w:val="Strong"/>
    <w:basedOn w:val="Carpredefinitoparagrafo"/>
    <w:uiPriority w:val="22"/>
    <w:qFormat/>
    <w:rsid w:val="003D5190"/>
    <w:rPr>
      <w:b/>
      <w:bCs/>
    </w:rPr>
  </w:style>
  <w:style w:type="paragraph" w:customStyle="1" w:styleId="font-claude-response-body">
    <w:name w:val="font-claude-response-body"/>
    <w:basedOn w:val="Normale"/>
    <w:rsid w:val="00F362B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C243F-A823-5B43-A4D0-6FDED542E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8207</Words>
  <Characters>46782</Characters>
  <Application>Microsoft Office Word</Application>
  <DocSecurity>0</DocSecurity>
  <Lines>389</Lines>
  <Paragraphs>109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2026-05-05T14:32:00Z</cp:lastPrinted>
  <dcterms:created xsi:type="dcterms:W3CDTF">2026-07-10T11:38:00Z</dcterms:created>
  <dcterms:modified xsi:type="dcterms:W3CDTF">2026-07-10T11:38:00Z</dcterms:modified>
</cp:coreProperties>
</file>