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34BC596" w14:textId="77777777" w:rsidR="001F571C" w:rsidRPr="00286E13" w:rsidRDefault="001F571C" w:rsidP="001F571C">
      <w:pPr>
        <w:jc w:val="center"/>
      </w:pPr>
      <w:r>
        <w:rPr>
          <w:b/>
          <w:bCs/>
        </w:rPr>
        <w:t>Maria Voccia De Felice</w:t>
      </w:r>
    </w:p>
    <w:p w14:paraId="1CE7FCB6" w14:textId="77777777" w:rsidR="001F571C" w:rsidRPr="00286E13" w:rsidRDefault="001F571C" w:rsidP="001F571C">
      <w:pPr>
        <w:jc w:val="center"/>
      </w:pPr>
      <w:r>
        <w:rPr>
          <w:b/>
          <w:bCs/>
        </w:rPr>
        <w:t>Avvocato</w:t>
      </w:r>
    </w:p>
    <w:p w14:paraId="0AD69734" w14:textId="77777777" w:rsidR="001F571C" w:rsidRPr="00286E13" w:rsidRDefault="001F571C" w:rsidP="001F571C">
      <w:pPr>
        <w:jc w:val="center"/>
      </w:pPr>
      <w:r>
        <w:rPr>
          <w:b/>
          <w:bCs/>
        </w:rPr>
        <w:t>Patrocinante in Cassazione</w:t>
      </w:r>
    </w:p>
    <w:p w14:paraId="65736B7F" w14:textId="77777777" w:rsidR="001F571C" w:rsidRPr="00286E13" w:rsidRDefault="001F571C" w:rsidP="001F571C">
      <w:pPr>
        <w:jc w:val="center"/>
      </w:pPr>
      <w:r>
        <w:rPr>
          <w:b/>
          <w:bCs/>
        </w:rPr>
        <w:t>Salerno - Via G. Vicinanza n. 42 – 84123</w:t>
      </w:r>
    </w:p>
    <w:p w14:paraId="17EFDD87" w14:textId="77777777" w:rsidR="001F571C" w:rsidRPr="00286E13" w:rsidRDefault="001F571C" w:rsidP="001F571C">
      <w:pPr>
        <w:spacing w:after="200"/>
        <w:jc w:val="center"/>
      </w:pPr>
      <w:r>
        <w:rPr>
          <w:b/>
          <w:bCs/>
        </w:rPr>
        <w:t>tel. 089237255 mobile 335 6329269</w:t>
      </w:r>
    </w:p>
    <w:p w14:paraId="68123738" w14:textId="77777777" w:rsidR="001F571C" w:rsidRDefault="001F571C" w:rsidP="001F571C">
      <w:pPr>
        <w:spacing w:after="200"/>
        <w:jc w:val="center"/>
        <w:rPr>
          <w:b/>
          <w:bCs/>
        </w:rPr>
      </w:pPr>
      <w:r>
        <w:rPr>
          <w:b/>
          <w:bCs/>
        </w:rPr>
        <w:t xml:space="preserve">mail: mvoccia@vocciaspa.com </w:t>
      </w:r>
      <w:proofErr w:type="spellStart"/>
      <w:r>
        <w:rPr>
          <w:b/>
          <w:bCs/>
        </w:rPr>
        <w:t>pec</w:t>
      </w:r>
      <w:proofErr w:type="spellEnd"/>
      <w:r>
        <w:rPr>
          <w:b/>
          <w:bCs/>
        </w:rPr>
        <w:t xml:space="preserve">: </w:t>
      </w:r>
      <w:hyperlink r:id="rId8" w:history="1">
        <w:r>
          <w:rPr>
            <w:rStyle w:val="Collegamentoipertestuale"/>
            <w:b/>
            <w:bCs/>
          </w:rPr>
          <w:t>mvocciaordsa@pec.giuffre.it</w:t>
        </w:r>
      </w:hyperlink>
    </w:p>
    <w:p w14:paraId="768F1DC4" w14:textId="77777777" w:rsidR="001F571C" w:rsidRDefault="001F571C" w:rsidP="001F571C">
      <w:pPr>
        <w:spacing w:line="240" w:lineRule="auto"/>
        <w:rPr>
          <w:b/>
          <w:bCs/>
          <w:highlight w:val="yellow"/>
        </w:rPr>
      </w:pPr>
    </w:p>
    <w:p w14:paraId="233F881A" w14:textId="77777777" w:rsidR="001F571C" w:rsidRDefault="001F571C" w:rsidP="00177F73">
      <w:pPr>
        <w:spacing w:line="240" w:lineRule="auto"/>
        <w:jc w:val="center"/>
        <w:rPr>
          <w:b/>
          <w:bCs/>
          <w:highlight w:val="yellow"/>
        </w:rPr>
      </w:pPr>
    </w:p>
    <w:p w14:paraId="7669C8DD" w14:textId="77777777" w:rsidR="001F571C" w:rsidRDefault="001F571C" w:rsidP="00177F73">
      <w:pPr>
        <w:spacing w:line="240" w:lineRule="auto"/>
        <w:jc w:val="center"/>
        <w:rPr>
          <w:b/>
          <w:bCs/>
          <w:highlight w:val="yellow"/>
        </w:rPr>
      </w:pPr>
    </w:p>
    <w:p w14:paraId="477DFF43" w14:textId="6B00EBD2" w:rsidR="00177F73" w:rsidRPr="00DD4890" w:rsidRDefault="00177F73" w:rsidP="00177F73">
      <w:pPr>
        <w:spacing w:line="240" w:lineRule="auto"/>
        <w:jc w:val="center"/>
        <w:rPr>
          <w:b/>
          <w:bCs/>
        </w:rPr>
      </w:pPr>
      <w:r w:rsidRPr="001F571C">
        <w:rPr>
          <w:b/>
          <w:bCs/>
        </w:rPr>
        <w:t xml:space="preserve">CORTE DI GIUSTIZIA TRIBUTARIA </w:t>
      </w:r>
      <w:r w:rsidR="001F571C" w:rsidRPr="001F571C">
        <w:rPr>
          <w:b/>
          <w:bCs/>
        </w:rPr>
        <w:t xml:space="preserve">DI PRIMO GRADO </w:t>
      </w:r>
      <w:r w:rsidRPr="001F571C">
        <w:rPr>
          <w:b/>
          <w:bCs/>
        </w:rPr>
        <w:t xml:space="preserve">DI </w:t>
      </w:r>
      <w:r w:rsidR="001F571C" w:rsidRPr="001F571C">
        <w:rPr>
          <w:b/>
          <w:bCs/>
        </w:rPr>
        <w:t>CHIETI</w:t>
      </w:r>
    </w:p>
    <w:p w14:paraId="47B683BB" w14:textId="77777777" w:rsidR="00177F73" w:rsidRPr="00DD4890" w:rsidRDefault="00177F73" w:rsidP="00177F73">
      <w:pPr>
        <w:spacing w:line="240" w:lineRule="auto"/>
        <w:jc w:val="center"/>
        <w:rPr>
          <w:b/>
          <w:bCs/>
        </w:rPr>
      </w:pPr>
    </w:p>
    <w:p w14:paraId="3FABED92" w14:textId="77777777" w:rsidR="001F571C" w:rsidRDefault="001F571C" w:rsidP="00C17B9B">
      <w:pPr>
        <w:ind w:left="2124" w:firstLine="708"/>
        <w:rPr>
          <w:b/>
          <w:bCs/>
        </w:rPr>
      </w:pPr>
      <w:r>
        <w:rPr>
          <w:b/>
          <w:bCs/>
        </w:rPr>
        <w:t>Memoria di costituzione e controdeduzioni</w:t>
      </w:r>
    </w:p>
    <w:p w14:paraId="41C5CB1D" w14:textId="77777777" w:rsidR="001F571C" w:rsidRDefault="001F571C" w:rsidP="001F571C">
      <w:pPr>
        <w:ind w:firstLine="567"/>
        <w:jc w:val="center"/>
      </w:pPr>
    </w:p>
    <w:p w14:paraId="5C0DDF8A" w14:textId="45C57021" w:rsidR="001F571C" w:rsidRPr="00D00426" w:rsidRDefault="001F571C" w:rsidP="00D00426">
      <w:pPr>
        <w:snapToGrid w:val="0"/>
        <w:ind w:firstLine="708"/>
      </w:pPr>
      <w:r w:rsidRPr="005028F4">
        <w:t xml:space="preserve">Per il </w:t>
      </w:r>
      <w:r w:rsidR="00FA2DB6" w:rsidRPr="005028F4">
        <w:rPr>
          <w:b/>
          <w:bCs/>
        </w:rPr>
        <w:t>Risco S.r.l.,</w:t>
      </w:r>
      <w:r w:rsidRPr="005028F4">
        <w:t xml:space="preserve"> in persona del</w:t>
      </w:r>
      <w:r w:rsidR="00FA2DB6" w:rsidRPr="005028F4">
        <w:t xml:space="preserve"> legale rappresentante p.t., C.F./P.I. 02174950697</w:t>
      </w:r>
      <w:r w:rsidR="00D00426" w:rsidRPr="005028F4">
        <w:t>, c</w:t>
      </w:r>
      <w:r w:rsidR="00FA2DB6" w:rsidRPr="005028F4">
        <w:t xml:space="preserve">on Sede legale Via </w:t>
      </w:r>
      <w:proofErr w:type="spellStart"/>
      <w:r w:rsidR="00FA2DB6" w:rsidRPr="005028F4">
        <w:t>Spaccapietra</w:t>
      </w:r>
      <w:proofErr w:type="spellEnd"/>
      <w:r w:rsidR="00FA2DB6" w:rsidRPr="005028F4">
        <w:t xml:space="preserve"> n. 8/10 66023 Francavilla al Mare ( CH)</w:t>
      </w:r>
      <w:r w:rsidR="00913D2B" w:rsidRPr="005028F4">
        <w:t xml:space="preserve"> </w:t>
      </w:r>
      <w:r w:rsidRPr="005028F4">
        <w:t>rappresentato e difeso, in virtù di mandato in calce al presente atto e su foglio separato, dall’</w:t>
      </w:r>
      <w:r w:rsidRPr="005028F4">
        <w:rPr>
          <w:b/>
          <w:bCs/>
        </w:rPr>
        <w:t>Avv. Maria Voccia De Felice</w:t>
      </w:r>
      <w:r w:rsidRPr="005028F4">
        <w:t>,</w:t>
      </w:r>
      <w:r>
        <w:t xml:space="preserve"> </w:t>
      </w:r>
      <w:r w:rsidRPr="00056E89">
        <w:t xml:space="preserve">presso il cui studio elettivamente domicilia in Salerno alla Via G. Vicinanza n. 42, </w:t>
      </w:r>
      <w:r w:rsidRPr="00056E89">
        <w:rPr>
          <w:u w:val="single"/>
        </w:rPr>
        <w:t xml:space="preserve">il suddetto procuratore dichiara di voler ricevere le notifiche di legge a mezzo </w:t>
      </w:r>
      <w:proofErr w:type="spellStart"/>
      <w:r w:rsidRPr="00056E89">
        <w:rPr>
          <w:u w:val="single"/>
        </w:rPr>
        <w:t>pec</w:t>
      </w:r>
      <w:proofErr w:type="spellEnd"/>
      <w:r w:rsidRPr="00056E89">
        <w:rPr>
          <w:u w:val="single"/>
        </w:rPr>
        <w:t xml:space="preserve"> all’indirizzo: </w:t>
      </w:r>
      <w:r w:rsidRPr="00D00426">
        <w:rPr>
          <w:b/>
          <w:u w:val="single"/>
        </w:rPr>
        <w:t>mvocciaordsa@pec.giuffre.it</w:t>
      </w:r>
      <w:r w:rsidRPr="00056E89">
        <w:rPr>
          <w:b/>
        </w:rPr>
        <w:t>;</w:t>
      </w:r>
    </w:p>
    <w:p w14:paraId="74F674A6" w14:textId="5AF7928D" w:rsidR="001F571C" w:rsidRDefault="001F571C" w:rsidP="005B411F">
      <w:pPr>
        <w:jc w:val="right"/>
      </w:pPr>
      <w:r>
        <w:rPr>
          <w:b/>
          <w:bCs/>
        </w:rPr>
        <w:t xml:space="preserve">RESISTENTE </w:t>
      </w:r>
    </w:p>
    <w:p w14:paraId="2DE5EB08" w14:textId="77777777" w:rsidR="001F571C" w:rsidRPr="00BF6D20" w:rsidRDefault="001F571C" w:rsidP="005B411F">
      <w:pPr>
        <w:spacing w:after="60"/>
        <w:ind w:firstLine="708"/>
        <w:jc w:val="left"/>
        <w:rPr>
          <w:b/>
          <w:bCs/>
        </w:rPr>
      </w:pPr>
      <w:r>
        <w:rPr>
          <w:b/>
          <w:bCs/>
        </w:rPr>
        <w:t>contro</w:t>
      </w:r>
    </w:p>
    <w:p w14:paraId="22E7686C" w14:textId="5D0CA9D4" w:rsidR="00177F73" w:rsidRPr="005028F4" w:rsidRDefault="00714473" w:rsidP="005B411F">
      <w:pPr>
        <w:ind w:firstLine="708"/>
        <w:rPr>
          <w:rFonts w:eastAsia="Times New Roman"/>
        </w:rPr>
      </w:pPr>
      <w:r w:rsidRPr="00714473">
        <w:rPr>
          <w:b/>
          <w:bCs/>
        </w:rPr>
        <w:t>WIND TRE S.P.A., con Socio Unico - Direzione e Coordinamento di CK Hutchison Group Telecom Italy Investments S</w:t>
      </w:r>
      <w:r w:rsidR="00913D2B">
        <w:rPr>
          <w:b/>
          <w:bCs/>
        </w:rPr>
        <w:t>.</w:t>
      </w:r>
      <w:r w:rsidRPr="00714473">
        <w:rPr>
          <w:b/>
          <w:bCs/>
        </w:rPr>
        <w:t xml:space="preserve"> r.l., con sede legale in Milano, Via Monte Rosa n. 91 (20149) (c.f.: 02517580920 - p. </w:t>
      </w:r>
      <w:proofErr w:type="spellStart"/>
      <w:r w:rsidRPr="00714473">
        <w:rPr>
          <w:b/>
          <w:bCs/>
        </w:rPr>
        <w:t>i.v.a</w:t>
      </w:r>
      <w:proofErr w:type="spellEnd"/>
      <w:r w:rsidRPr="00714473">
        <w:rPr>
          <w:b/>
          <w:bCs/>
        </w:rPr>
        <w:t>.: 13378520152</w:t>
      </w:r>
      <w:r w:rsidRPr="00714473">
        <w:rPr>
          <w:bCs/>
        </w:rPr>
        <w:t>)</w:t>
      </w:r>
      <w:r w:rsidR="00177F73" w:rsidRPr="00714473">
        <w:rPr>
          <w:bCs/>
        </w:rPr>
        <w:t>,</w:t>
      </w:r>
      <w:r w:rsidR="005B411F">
        <w:rPr>
          <w:bCs/>
        </w:rPr>
        <w:t xml:space="preserve"> </w:t>
      </w:r>
      <w:r w:rsidR="005B411F" w:rsidRPr="005028F4">
        <w:rPr>
          <w:bCs/>
        </w:rPr>
        <w:t>rappresentato e difeso</w:t>
      </w:r>
      <w:r w:rsidRPr="005028F4">
        <w:rPr>
          <w:bCs/>
        </w:rPr>
        <w:t>, dagli avvocati Marco Di Siena (C.F.: DSNMRC71L01D969K – indirizzo di posta elettronica certificata: marco.disiena@legal.chiomenti.net), Prof. Silvio Martuccelli (C.F.: MRTSLV68D19H501I – indirizzo di posta elettronica certificata: silvio.martuccelli@legal.chiomenti.net), Prof. Massimo Proto (C.F.: PRTMSM73B22H501N</w:t>
      </w:r>
      <w:r w:rsidR="005B411F" w:rsidRPr="005028F4">
        <w:rPr>
          <w:bCs/>
        </w:rPr>
        <w:t xml:space="preserve"> </w:t>
      </w:r>
      <w:r w:rsidRPr="005028F4">
        <w:rPr>
          <w:rFonts w:eastAsia="Times New Roman"/>
        </w:rPr>
        <w:t xml:space="preserve">indirizzo di posta elettronica certificata: massimo.proto@legal.chiomenti.net) nonché Carlo Maria Martino (C.F.: MRTCLM94S21H501W – indirizzo di posta elettronica certificata: carlo.martino@legal.chiomenti.net), con domicilio eletto presso gli indirizzi </w:t>
      </w:r>
      <w:proofErr w:type="spellStart"/>
      <w:r w:rsidRPr="005028F4">
        <w:rPr>
          <w:rFonts w:eastAsia="Times New Roman"/>
        </w:rPr>
        <w:t>p.e.c</w:t>
      </w:r>
      <w:proofErr w:type="spellEnd"/>
      <w:r w:rsidRPr="005028F4">
        <w:rPr>
          <w:rFonts w:eastAsia="Times New Roman"/>
        </w:rPr>
        <w:t>. dei propri difensori</w:t>
      </w:r>
      <w:r w:rsidR="005028F4" w:rsidRPr="005028F4">
        <w:rPr>
          <w:rFonts w:eastAsia="Times New Roman"/>
        </w:rPr>
        <w:t>.</w:t>
      </w:r>
    </w:p>
    <w:p w14:paraId="40418D2B" w14:textId="67E21F3B" w:rsidR="005B411F" w:rsidRPr="005028F4" w:rsidRDefault="005B411F" w:rsidP="005B411F">
      <w:pPr>
        <w:ind w:firstLine="708"/>
        <w:jc w:val="right"/>
        <w:rPr>
          <w:rFonts w:eastAsia="Times New Roman"/>
          <w:b/>
          <w:bCs/>
        </w:rPr>
      </w:pPr>
      <w:r w:rsidRPr="005028F4">
        <w:rPr>
          <w:rFonts w:eastAsia="Times New Roman"/>
          <w:b/>
          <w:bCs/>
        </w:rPr>
        <w:t>RICORRENTE</w:t>
      </w:r>
    </w:p>
    <w:p w14:paraId="229DCA68" w14:textId="685EBD49" w:rsidR="00714473" w:rsidRDefault="005B411F" w:rsidP="00177F73">
      <w:pPr>
        <w:pStyle w:val="Bollo"/>
        <w:spacing w:line="360" w:lineRule="auto"/>
        <w:ind w:firstLine="709"/>
        <w:rPr>
          <w:rFonts w:ascii="Arial" w:hAnsi="Arial" w:cs="Arial"/>
          <w:bCs/>
          <w:sz w:val="24"/>
          <w:szCs w:val="24"/>
        </w:rPr>
      </w:pPr>
      <w:r w:rsidRPr="005028F4">
        <w:rPr>
          <w:rFonts w:ascii="Arial" w:hAnsi="Arial" w:cs="Arial"/>
          <w:bCs/>
          <w:sz w:val="24"/>
          <w:szCs w:val="24"/>
        </w:rPr>
        <w:t>Nonché</w:t>
      </w:r>
    </w:p>
    <w:p w14:paraId="71299765" w14:textId="2F46B77C" w:rsidR="005B411F" w:rsidRPr="005028F4" w:rsidRDefault="005B411F" w:rsidP="005B411F">
      <w:pPr>
        <w:pStyle w:val="Bollo"/>
        <w:ind w:firstLine="709"/>
        <w:rPr>
          <w:rFonts w:ascii="Arial" w:hAnsi="Arial" w:cs="Arial"/>
          <w:b w:val="0"/>
          <w:sz w:val="24"/>
          <w:szCs w:val="24"/>
        </w:rPr>
      </w:pPr>
      <w:r w:rsidRPr="005028F4">
        <w:rPr>
          <w:rFonts w:ascii="Arial" w:hAnsi="Arial" w:cs="Arial"/>
          <w:bCs/>
          <w:sz w:val="24"/>
          <w:szCs w:val="24"/>
        </w:rPr>
        <w:lastRenderedPageBreak/>
        <w:t>Il COMUNE DI FRANCAVILLA AL MARE (</w:t>
      </w:r>
      <w:r w:rsidRPr="005028F4">
        <w:rPr>
          <w:rFonts w:ascii="Arial" w:hAnsi="Arial" w:cs="Arial"/>
          <w:b w:val="0"/>
          <w:sz w:val="24"/>
          <w:szCs w:val="24"/>
        </w:rPr>
        <w:t>P. I.V.A.: 00110400694), con sede in Francavilla al Mare (CH), Corso Roma n. 7 (66023), in persona del legale rappresentante p.t.</w:t>
      </w:r>
    </w:p>
    <w:p w14:paraId="7CB0F995" w14:textId="6D4B4719" w:rsidR="005B411F" w:rsidRPr="005028F4" w:rsidRDefault="005B411F" w:rsidP="005B411F">
      <w:pPr>
        <w:pStyle w:val="Bollo"/>
        <w:ind w:firstLine="709"/>
        <w:jc w:val="right"/>
        <w:rPr>
          <w:rFonts w:ascii="Arial" w:hAnsi="Arial" w:cs="Arial"/>
          <w:bCs/>
          <w:sz w:val="24"/>
          <w:szCs w:val="24"/>
        </w:rPr>
      </w:pPr>
      <w:r w:rsidRPr="005028F4">
        <w:rPr>
          <w:rFonts w:ascii="Arial" w:hAnsi="Arial" w:cs="Arial"/>
          <w:bCs/>
          <w:sz w:val="24"/>
          <w:szCs w:val="24"/>
        </w:rPr>
        <w:t>A</w:t>
      </w:r>
      <w:r w:rsidR="007427D2" w:rsidRPr="005028F4">
        <w:rPr>
          <w:rFonts w:ascii="Arial" w:hAnsi="Arial" w:cs="Arial"/>
          <w:bCs/>
          <w:sz w:val="24"/>
          <w:szCs w:val="24"/>
        </w:rPr>
        <w:t>LTRA PARTE RESISTENTE</w:t>
      </w:r>
    </w:p>
    <w:p w14:paraId="1A6AC316" w14:textId="7CCFAB21" w:rsidR="00177F73" w:rsidRPr="003A70A2" w:rsidRDefault="002C794E" w:rsidP="00177F73">
      <w:pPr>
        <w:pStyle w:val="Bollo"/>
        <w:spacing w:line="360" w:lineRule="auto"/>
        <w:ind w:firstLine="709"/>
        <w:rPr>
          <w:rFonts w:ascii="Arial" w:hAnsi="Arial" w:cs="Arial"/>
          <w:bCs/>
          <w:sz w:val="24"/>
          <w:szCs w:val="24"/>
        </w:rPr>
      </w:pPr>
      <w:r>
        <w:rPr>
          <w:rFonts w:ascii="Arial" w:hAnsi="Arial" w:cs="Arial"/>
          <w:bCs/>
          <w:sz w:val="24"/>
          <w:szCs w:val="24"/>
        </w:rPr>
        <w:t>FATTO</w:t>
      </w:r>
      <w:r w:rsidR="00177F73">
        <w:rPr>
          <w:rFonts w:ascii="Arial" w:hAnsi="Arial" w:cs="Arial"/>
          <w:bCs/>
          <w:sz w:val="24"/>
          <w:szCs w:val="24"/>
        </w:rPr>
        <w:t xml:space="preserve"> </w:t>
      </w:r>
    </w:p>
    <w:p w14:paraId="0CCAEB87" w14:textId="360B8CCA" w:rsidR="00177F73" w:rsidRDefault="00177F73" w:rsidP="00177F73">
      <w:pPr>
        <w:ind w:firstLine="708"/>
      </w:pPr>
      <w:r>
        <w:t xml:space="preserve">Il </w:t>
      </w:r>
      <w:r w:rsidR="00714473" w:rsidRPr="00714473">
        <w:t>COMUNE DI FRANCAVILLA AL MARE</w:t>
      </w:r>
      <w:r w:rsidR="00714473">
        <w:t xml:space="preserve"> (CH)</w:t>
      </w:r>
      <w:r w:rsidR="002C794E">
        <w:t>,</w:t>
      </w:r>
      <w:r w:rsidR="00714473">
        <w:t xml:space="preserve"> </w:t>
      </w:r>
      <w:r>
        <w:t>con Del</w:t>
      </w:r>
      <w:r w:rsidR="00963057">
        <w:t>ibera di Consiglio Comunale n.48 del 29/12/2020</w:t>
      </w:r>
      <w:r>
        <w:t>, ha approvato il Regolamento per l’istituzione e la discipli</w:t>
      </w:r>
      <w:r w:rsidR="00963057">
        <w:t xml:space="preserve">na del Canone patrimoniale di concessione, autorizzazione o esposizione pubblicitaria e successivamente modificato e integrato con Delibera del Consiglio Comunale </w:t>
      </w:r>
      <w:r w:rsidR="00963057" w:rsidRPr="00963057">
        <w:t>n. 9 del 18.03.2021</w:t>
      </w:r>
      <w:r w:rsidR="00B24FC3">
        <w:t>,</w:t>
      </w:r>
      <w:r>
        <w:t xml:space="preserve"> ai sensi dell’art. 1, commi da 816 a 836, della Legge n. 160/2019 </w:t>
      </w:r>
      <w:r w:rsidRPr="00EC2EFC">
        <w:rPr>
          <w:b/>
          <w:bCs/>
        </w:rPr>
        <w:t>(doc. 1).</w:t>
      </w:r>
    </w:p>
    <w:p w14:paraId="5FBA46EC" w14:textId="4ACEFF7B" w:rsidR="00177F73" w:rsidRPr="005028F4" w:rsidRDefault="00061736" w:rsidP="00177F73">
      <w:pPr>
        <w:ind w:firstLine="708"/>
      </w:pPr>
      <w:r>
        <w:t>Su incarico del Comune di</w:t>
      </w:r>
      <w:r w:rsidR="00963057">
        <w:t xml:space="preserve"> Francavilla al Mare</w:t>
      </w:r>
      <w:r>
        <w:t>)</w:t>
      </w:r>
      <w:r w:rsidR="00177F73">
        <w:t xml:space="preserve"> – giusto affidamento</w:t>
      </w:r>
      <w:r w:rsidRPr="00061736">
        <w:t xml:space="preserve"> </w:t>
      </w:r>
      <w:r w:rsidR="00B24FC3">
        <w:t>di cui alla</w:t>
      </w:r>
      <w:r>
        <w:t xml:space="preserve"> Determina </w:t>
      </w:r>
      <w:r w:rsidR="00963057">
        <w:t>n.</w:t>
      </w:r>
      <w:r w:rsidR="00963057" w:rsidRPr="00963057">
        <w:t xml:space="preserve"> 27 del 28/01/2021</w:t>
      </w:r>
      <w:r w:rsidRPr="00061736">
        <w:t>,</w:t>
      </w:r>
      <w:r w:rsidR="00177F73">
        <w:t xml:space="preserve"> </w:t>
      </w:r>
      <w:r w:rsidR="00177F73" w:rsidRPr="00EC2EFC">
        <w:rPr>
          <w:b/>
          <w:bCs/>
        </w:rPr>
        <w:t>(doc. 2)</w:t>
      </w:r>
      <w:r w:rsidR="00177F73">
        <w:t xml:space="preserve"> – la società </w:t>
      </w:r>
      <w:r w:rsidR="00963057">
        <w:t>RISCO SRL</w:t>
      </w:r>
      <w:r w:rsidR="00177F73" w:rsidRPr="005028F4">
        <w:t>.</w:t>
      </w:r>
      <w:r w:rsidR="00483845" w:rsidRPr="005028F4">
        <w:t xml:space="preserve">, </w:t>
      </w:r>
      <w:r w:rsidR="005B411F" w:rsidRPr="005028F4">
        <w:t>affidataria</w:t>
      </w:r>
      <w:r w:rsidR="00483845" w:rsidRPr="005028F4">
        <w:t xml:space="preserve"> della gestione e riscossione del CUP, </w:t>
      </w:r>
      <w:r w:rsidR="00177F73" w:rsidRPr="005028F4">
        <w:t>ha avviato l’attività di verifica della congruità dei versamenti del Canone in argomento dovuto, ai sensi del comma 831, art. 1, L. 160/2019, dalle aziende che gestiscono i c.d. servizi di rete nel territorio comunale.</w:t>
      </w:r>
    </w:p>
    <w:p w14:paraId="7AFA6682" w14:textId="77777777" w:rsidR="002C794E" w:rsidRDefault="00061736" w:rsidP="00974432">
      <w:pPr>
        <w:ind w:firstLine="708"/>
        <w:rPr>
          <w:rFonts w:eastAsia="Times New Roman"/>
        </w:rPr>
      </w:pPr>
      <w:r w:rsidRPr="005028F4">
        <w:t xml:space="preserve">Quindi, con nota del </w:t>
      </w:r>
      <w:r w:rsidR="009D3AA6" w:rsidRPr="005028F4">
        <w:rPr>
          <w:b/>
          <w:bCs/>
        </w:rPr>
        <w:t xml:space="preserve">30 </w:t>
      </w:r>
      <w:proofErr w:type="gramStart"/>
      <w:r w:rsidR="009D3AA6" w:rsidRPr="005028F4">
        <w:rPr>
          <w:b/>
          <w:bCs/>
        </w:rPr>
        <w:t>Gennaio</w:t>
      </w:r>
      <w:proofErr w:type="gramEnd"/>
      <w:r w:rsidR="009D3AA6" w:rsidRPr="005028F4">
        <w:rPr>
          <w:b/>
          <w:bCs/>
        </w:rPr>
        <w:t xml:space="preserve"> 2026</w:t>
      </w:r>
      <w:r w:rsidRPr="005028F4">
        <w:t xml:space="preserve">, la società </w:t>
      </w:r>
      <w:r w:rsidR="009D3AA6" w:rsidRPr="005028F4">
        <w:t>RISCO SRL</w:t>
      </w:r>
      <w:r w:rsidRPr="005028F4">
        <w:t xml:space="preserve">. </w:t>
      </w:r>
      <w:r w:rsidRPr="005028F4">
        <w:rPr>
          <w:rFonts w:eastAsia="Times New Roman"/>
        </w:rPr>
        <w:t xml:space="preserve">ha inviato </w:t>
      </w:r>
      <w:r w:rsidRPr="005028F4">
        <w:rPr>
          <w:rFonts w:eastAsia="Times New Roman"/>
          <w:bCs/>
        </w:rPr>
        <w:t>a</w:t>
      </w:r>
      <w:r w:rsidRPr="005028F4">
        <w:rPr>
          <w:rFonts w:eastAsia="Times New Roman"/>
          <w:b/>
          <w:bCs/>
        </w:rPr>
        <w:t xml:space="preserve"> </w:t>
      </w:r>
      <w:r w:rsidR="009D3AA6" w:rsidRPr="005028F4">
        <w:rPr>
          <w:rFonts w:eastAsia="Times New Roman"/>
          <w:b/>
          <w:bCs/>
        </w:rPr>
        <w:t>WIND TRE S.P.A</w:t>
      </w:r>
      <w:r w:rsidRPr="005028F4">
        <w:rPr>
          <w:rFonts w:eastAsia="Times New Roman"/>
          <w:b/>
          <w:bCs/>
        </w:rPr>
        <w:t>.,</w:t>
      </w:r>
      <w:r w:rsidRPr="005028F4">
        <w:rPr>
          <w:rFonts w:eastAsia="Times New Roman"/>
        </w:rPr>
        <w:t xml:space="preserve"> a mezzo PEC, una richiesta di dichiarazione delle utenze attive nel Comune di </w:t>
      </w:r>
      <w:r w:rsidR="009D3AA6" w:rsidRPr="005028F4">
        <w:rPr>
          <w:rFonts w:eastAsia="Times New Roman"/>
        </w:rPr>
        <w:t>Francavilla al Mare</w:t>
      </w:r>
      <w:r w:rsidRPr="005028F4">
        <w:rPr>
          <w:rFonts w:eastAsia="Times New Roman"/>
        </w:rPr>
        <w:t xml:space="preserve"> e dei versamenti effettuati a titolo di C</w:t>
      </w:r>
      <w:r w:rsidR="00974432" w:rsidRPr="005028F4">
        <w:rPr>
          <w:rFonts w:eastAsia="Times New Roman"/>
        </w:rPr>
        <w:t>UP per gli anni dal 2021 al 2025</w:t>
      </w:r>
      <w:r w:rsidRPr="005028F4">
        <w:rPr>
          <w:rFonts w:eastAsia="Times New Roman"/>
        </w:rPr>
        <w:t xml:space="preserve">, evidenziando che, dai primi controlli eseguiti </w:t>
      </w:r>
      <w:r w:rsidR="00974432" w:rsidRPr="005028F4">
        <w:rPr>
          <w:rFonts w:eastAsia="Times New Roman"/>
        </w:rPr>
        <w:t xml:space="preserve"> dal Comune </w:t>
      </w:r>
      <w:r w:rsidRPr="005028F4">
        <w:rPr>
          <w:rFonts w:eastAsia="Times New Roman"/>
        </w:rPr>
        <w:t>sulla piattaforma PagoPA e sugli al</w:t>
      </w:r>
      <w:r w:rsidR="00974432" w:rsidRPr="005028F4">
        <w:rPr>
          <w:rFonts w:eastAsia="Times New Roman"/>
        </w:rPr>
        <w:t xml:space="preserve">tri canali di pagamento attivi, </w:t>
      </w:r>
      <w:r w:rsidR="002C794E">
        <w:rPr>
          <w:rFonts w:eastAsia="Times New Roman"/>
        </w:rPr>
        <w:t xml:space="preserve">risultava che </w:t>
      </w:r>
      <w:r w:rsidR="00974432" w:rsidRPr="005028F4">
        <w:rPr>
          <w:rFonts w:eastAsia="Times New Roman"/>
        </w:rPr>
        <w:t xml:space="preserve">la Società, per gli anni di interesse, </w:t>
      </w:r>
      <w:r w:rsidR="00130E18" w:rsidRPr="005028F4">
        <w:rPr>
          <w:rFonts w:eastAsia="Times New Roman"/>
        </w:rPr>
        <w:t>aveva</w:t>
      </w:r>
      <w:r w:rsidR="00974432" w:rsidRPr="005028F4">
        <w:rPr>
          <w:rFonts w:eastAsia="Times New Roman"/>
        </w:rPr>
        <w:t xml:space="preserve"> eseguito un parziale versamento per le annualità 2022 – 2023 – 2024 - 2025, mentre per l’anno 2021 non risulta</w:t>
      </w:r>
      <w:r w:rsidR="00130E18" w:rsidRPr="005028F4">
        <w:rPr>
          <w:rFonts w:eastAsia="Times New Roman"/>
        </w:rPr>
        <w:t>va</w:t>
      </w:r>
      <w:r w:rsidR="00974432" w:rsidRPr="005028F4">
        <w:rPr>
          <w:rFonts w:eastAsia="Times New Roman"/>
        </w:rPr>
        <w:t xml:space="preserve"> pervenuto alcun versamento al Comune per il suddetto Canone. </w:t>
      </w:r>
    </w:p>
    <w:p w14:paraId="083FC45F" w14:textId="0484F011" w:rsidR="00061736" w:rsidRPr="00974432" w:rsidRDefault="00974432" w:rsidP="00974432">
      <w:pPr>
        <w:ind w:firstLine="708"/>
        <w:rPr>
          <w:rFonts w:eastAsia="Times New Roman"/>
        </w:rPr>
      </w:pPr>
      <w:r w:rsidRPr="005028F4">
        <w:rPr>
          <w:rFonts w:eastAsia="Times New Roman"/>
        </w:rPr>
        <w:t xml:space="preserve">Pertanto, </w:t>
      </w:r>
      <w:r w:rsidR="00061736" w:rsidRPr="005028F4">
        <w:rPr>
          <w:rFonts w:eastAsia="Times New Roman"/>
        </w:rPr>
        <w:t>la</w:t>
      </w:r>
      <w:r w:rsidR="00061736" w:rsidRPr="00362AE4">
        <w:rPr>
          <w:rFonts w:eastAsia="Times New Roman"/>
        </w:rPr>
        <w:t xml:space="preserve"> società </w:t>
      </w:r>
      <w:r w:rsidR="00130E18">
        <w:rPr>
          <w:rFonts w:eastAsia="Times New Roman"/>
        </w:rPr>
        <w:t>veniva solle</w:t>
      </w:r>
      <w:r w:rsidR="00483845">
        <w:rPr>
          <w:rFonts w:eastAsia="Times New Roman"/>
        </w:rPr>
        <w:t>c</w:t>
      </w:r>
      <w:r w:rsidR="00130E18">
        <w:rPr>
          <w:rFonts w:eastAsia="Times New Roman"/>
        </w:rPr>
        <w:t xml:space="preserve">itata </w:t>
      </w:r>
      <w:r>
        <w:rPr>
          <w:rFonts w:eastAsia="Times New Roman"/>
        </w:rPr>
        <w:t>a</w:t>
      </w:r>
      <w:r w:rsidR="00130E18">
        <w:rPr>
          <w:rFonts w:eastAsia="Times New Roman"/>
        </w:rPr>
        <w:t xml:space="preserve"> chiarire </w:t>
      </w:r>
      <w:r w:rsidR="00061736" w:rsidRPr="00362AE4">
        <w:rPr>
          <w:rFonts w:eastAsia="Times New Roman"/>
        </w:rPr>
        <w:t>la propria posizione con le relati</w:t>
      </w:r>
      <w:r>
        <w:rPr>
          <w:rFonts w:eastAsia="Times New Roman"/>
        </w:rPr>
        <w:t>ve dichiarazioni</w:t>
      </w:r>
      <w:r w:rsidR="00061736" w:rsidRPr="00362AE4">
        <w:rPr>
          <w:rFonts w:eastAsia="Times New Roman"/>
        </w:rPr>
        <w:t>, pena il ricorso alla procedura di accertamento su stima presuntiva</w:t>
      </w:r>
      <w:r w:rsidR="00061736">
        <w:t xml:space="preserve"> </w:t>
      </w:r>
      <w:r w:rsidR="00061736" w:rsidRPr="00362AE4">
        <w:rPr>
          <w:b/>
          <w:bCs/>
        </w:rPr>
        <w:t>(doc. 3</w:t>
      </w:r>
      <w:r w:rsidR="00061736">
        <w:t>).</w:t>
      </w:r>
    </w:p>
    <w:p w14:paraId="115D34ED" w14:textId="770BFDB1" w:rsidR="00061736" w:rsidRPr="0089644E" w:rsidRDefault="00061736" w:rsidP="00B24FC3">
      <w:pPr>
        <w:ind w:firstLine="709"/>
        <w:rPr>
          <w:rFonts w:eastAsia="Times New Roman"/>
        </w:rPr>
      </w:pPr>
      <w:r w:rsidRPr="0089644E">
        <w:rPr>
          <w:rFonts w:eastAsia="Times New Roman"/>
          <w:bCs/>
        </w:rPr>
        <w:t>In assenza di riscontro da parte della società</w:t>
      </w:r>
      <w:r w:rsidRPr="0089644E">
        <w:rPr>
          <w:rFonts w:eastAsia="Times New Roman"/>
        </w:rPr>
        <w:t xml:space="preserve"> – che non ha inviato alcuna dichiarazione né ha effettuato alcun </w:t>
      </w:r>
      <w:r w:rsidR="00974432">
        <w:rPr>
          <w:rFonts w:eastAsia="Times New Roman"/>
        </w:rPr>
        <w:t>versamento –</w:t>
      </w:r>
      <w:r w:rsidR="005B411F" w:rsidRPr="005B411F">
        <w:rPr>
          <w:rFonts w:eastAsia="Times New Roman"/>
          <w:b/>
          <w:bCs/>
        </w:rPr>
        <w:t xml:space="preserve">Risco </w:t>
      </w:r>
      <w:proofErr w:type="spellStart"/>
      <w:r w:rsidR="005B411F" w:rsidRPr="005B411F">
        <w:rPr>
          <w:rFonts w:eastAsia="Times New Roman"/>
          <w:b/>
          <w:bCs/>
        </w:rPr>
        <w:t>srl</w:t>
      </w:r>
      <w:proofErr w:type="spellEnd"/>
      <w:r w:rsidR="005B411F">
        <w:rPr>
          <w:rFonts w:eastAsia="Times New Roman"/>
        </w:rPr>
        <w:t xml:space="preserve"> </w:t>
      </w:r>
      <w:r w:rsidRPr="0089644E">
        <w:rPr>
          <w:rFonts w:eastAsia="Times New Roman"/>
        </w:rPr>
        <w:t>ha emesso l'</w:t>
      </w:r>
      <w:r w:rsidRPr="0089644E">
        <w:rPr>
          <w:rFonts w:eastAsia="Times New Roman"/>
          <w:b/>
          <w:bCs/>
        </w:rPr>
        <w:t>Avviso di Accertamento Ese</w:t>
      </w:r>
      <w:r w:rsidR="00974432">
        <w:rPr>
          <w:rFonts w:eastAsia="Times New Roman"/>
          <w:b/>
          <w:bCs/>
        </w:rPr>
        <w:t xml:space="preserve">cutivo n.6 </w:t>
      </w:r>
      <w:r w:rsidR="00014DD1">
        <w:rPr>
          <w:rFonts w:eastAsia="Times New Roman"/>
          <w:b/>
          <w:bCs/>
        </w:rPr>
        <w:t>dell’08</w:t>
      </w:r>
      <w:r w:rsidR="00974432">
        <w:rPr>
          <w:rFonts w:eastAsia="Times New Roman"/>
          <w:b/>
          <w:bCs/>
        </w:rPr>
        <w:t>/04</w:t>
      </w:r>
      <w:r w:rsidRPr="0089644E">
        <w:rPr>
          <w:rFonts w:eastAsia="Times New Roman"/>
          <w:b/>
          <w:bCs/>
        </w:rPr>
        <w:t>/2026</w:t>
      </w:r>
      <w:r w:rsidRPr="0089644E">
        <w:rPr>
          <w:rFonts w:eastAsia="Times New Roman"/>
        </w:rPr>
        <w:t>, n</w:t>
      </w:r>
      <w:r w:rsidR="00974432">
        <w:rPr>
          <w:rFonts w:eastAsia="Times New Roman"/>
        </w:rPr>
        <w:t xml:space="preserve">otificato a mezzo PEC in data 10 </w:t>
      </w:r>
      <w:proofErr w:type="gramStart"/>
      <w:r w:rsidR="00974432">
        <w:rPr>
          <w:rFonts w:eastAsia="Times New Roman"/>
        </w:rPr>
        <w:t>Aprile</w:t>
      </w:r>
      <w:proofErr w:type="gramEnd"/>
      <w:r w:rsidRPr="0089644E">
        <w:rPr>
          <w:rFonts w:eastAsia="Times New Roman"/>
        </w:rPr>
        <w:t xml:space="preserve"> </w:t>
      </w:r>
      <w:r w:rsidR="00B74976">
        <w:rPr>
          <w:rFonts w:eastAsia="Times New Roman"/>
        </w:rPr>
        <w:t xml:space="preserve">2026, avente ad oggetto il </w:t>
      </w:r>
      <w:r w:rsidR="00C41FAA">
        <w:rPr>
          <w:rFonts w:eastAsia="Times New Roman"/>
        </w:rPr>
        <w:t>parziale</w:t>
      </w:r>
      <w:r w:rsidRPr="0089644E">
        <w:rPr>
          <w:rFonts w:eastAsia="Times New Roman"/>
        </w:rPr>
        <w:t xml:space="preserve"> versamento del </w:t>
      </w:r>
      <w:r w:rsidRPr="0089644E">
        <w:rPr>
          <w:rFonts w:eastAsia="Times New Roman"/>
          <w:b/>
          <w:bCs/>
        </w:rPr>
        <w:t xml:space="preserve">CUP </w:t>
      </w:r>
      <w:r w:rsidRPr="0089644E">
        <w:rPr>
          <w:rFonts w:eastAsia="Times New Roman"/>
        </w:rPr>
        <w:t xml:space="preserve">– ai sensi dell'art. 1, comma 831, L. </w:t>
      </w:r>
      <w:r w:rsidR="00B74976">
        <w:rPr>
          <w:rFonts w:eastAsia="Times New Roman"/>
        </w:rPr>
        <w:t>160/2019 – per le annualità 2022, 2023, 2024 e 2025 e l’omesso versamento totale per l’annualità 2021,</w:t>
      </w:r>
      <w:r w:rsidRPr="0089644E">
        <w:rPr>
          <w:rFonts w:eastAsia="Times New Roman"/>
        </w:rPr>
        <w:t xml:space="preserve"> nei confronti di </w:t>
      </w:r>
      <w:r w:rsidR="00B74976" w:rsidRPr="00B74976">
        <w:rPr>
          <w:rFonts w:eastAsia="Times New Roman"/>
          <w:b/>
        </w:rPr>
        <w:t>WIND TRE S.P.A.</w:t>
      </w:r>
      <w:r w:rsidRPr="0089644E">
        <w:rPr>
          <w:rFonts w:eastAsia="Times New Roman"/>
        </w:rPr>
        <w:t xml:space="preserve"> (</w:t>
      </w:r>
      <w:r w:rsidRPr="0089644E">
        <w:rPr>
          <w:rFonts w:eastAsia="Times New Roman"/>
          <w:b/>
          <w:bCs/>
        </w:rPr>
        <w:t>doc. 4)</w:t>
      </w:r>
      <w:r>
        <w:rPr>
          <w:rFonts w:eastAsia="Times New Roman"/>
          <w:b/>
          <w:bCs/>
        </w:rPr>
        <w:t>.</w:t>
      </w:r>
      <w:r w:rsidRPr="0089644E">
        <w:rPr>
          <w:rFonts w:eastAsia="Times New Roman"/>
        </w:rPr>
        <w:t xml:space="preserve"> </w:t>
      </w:r>
    </w:p>
    <w:p w14:paraId="3FC4155B" w14:textId="0824EFFB" w:rsidR="00061736" w:rsidRPr="0089644E" w:rsidRDefault="00061736" w:rsidP="00B24FC3">
      <w:pPr>
        <w:ind w:firstLine="709"/>
        <w:rPr>
          <w:rFonts w:eastAsia="Times New Roman"/>
        </w:rPr>
      </w:pPr>
      <w:r w:rsidRPr="0089644E">
        <w:t>Il Canone, attesa la mancata collaborazione dell’opponente, è stato determinato in via induttiva, sulla base della popolazion</w:t>
      </w:r>
      <w:r w:rsidR="00B74976">
        <w:t>e residente nel Comune di Francavilla al Mare</w:t>
      </w:r>
      <w:r w:rsidRPr="0089644E">
        <w:t xml:space="preserve"> e delle quote di mercato della telefonia fissa </w:t>
      </w:r>
      <w:r w:rsidRPr="0089644E">
        <w:rPr>
          <w:rFonts w:eastAsia="Times New Roman"/>
        </w:rPr>
        <w:t xml:space="preserve">di </w:t>
      </w:r>
      <w:r w:rsidR="00B74976">
        <w:rPr>
          <w:rFonts w:eastAsia="Times New Roman"/>
        </w:rPr>
        <w:t>WIND TRE S.P.A</w:t>
      </w:r>
      <w:r w:rsidRPr="0089644E">
        <w:rPr>
          <w:rFonts w:eastAsia="Times New Roman"/>
        </w:rPr>
        <w:t>. rilevate dall'Osservatorio sulle Comunicazioni AGCOM (</w:t>
      </w:r>
      <w:r w:rsidRPr="0089644E">
        <w:rPr>
          <w:rFonts w:eastAsia="Times New Roman"/>
          <w:b/>
          <w:bCs/>
        </w:rPr>
        <w:t>doc. 5</w:t>
      </w:r>
      <w:r w:rsidR="00B74976">
        <w:rPr>
          <w:rFonts w:eastAsia="Times New Roman"/>
        </w:rPr>
        <w:t xml:space="preserve">) (14,00% per il 2021; 14,40% per il 2022; 14,30% per </w:t>
      </w:r>
      <w:r w:rsidR="00B74976">
        <w:rPr>
          <w:rFonts w:eastAsia="Times New Roman"/>
        </w:rPr>
        <w:lastRenderedPageBreak/>
        <w:t>il 2023; 13</w:t>
      </w:r>
      <w:r w:rsidRPr="0089644E">
        <w:rPr>
          <w:rFonts w:eastAsia="Times New Roman"/>
        </w:rPr>
        <w:t>,90% per il 2024</w:t>
      </w:r>
      <w:r w:rsidR="00B74976">
        <w:rPr>
          <w:rFonts w:eastAsia="Times New Roman"/>
        </w:rPr>
        <w:t xml:space="preserve"> e 14,40</w:t>
      </w:r>
      <w:r w:rsidR="00EF11A5">
        <w:rPr>
          <w:rFonts w:eastAsia="Times New Roman"/>
        </w:rPr>
        <w:t>%</w:t>
      </w:r>
      <w:r w:rsidR="00B74976">
        <w:rPr>
          <w:rFonts w:eastAsia="Times New Roman"/>
        </w:rPr>
        <w:t xml:space="preserve"> per il 2025</w:t>
      </w:r>
      <w:r w:rsidRPr="0089644E">
        <w:rPr>
          <w:rFonts w:eastAsia="Times New Roman"/>
        </w:rPr>
        <w:t xml:space="preserve">), L'importo complessivo accertato è pari ad </w:t>
      </w:r>
      <w:proofErr w:type="gramStart"/>
      <w:r w:rsidRPr="00EF11A5">
        <w:rPr>
          <w:rFonts w:eastAsia="Times New Roman"/>
          <w:b/>
          <w:bCs/>
        </w:rPr>
        <w:t>Euro</w:t>
      </w:r>
      <w:proofErr w:type="gramEnd"/>
      <w:r w:rsidRPr="00EF11A5">
        <w:rPr>
          <w:rFonts w:eastAsia="Times New Roman"/>
          <w:b/>
          <w:bCs/>
        </w:rPr>
        <w:t xml:space="preserve"> </w:t>
      </w:r>
      <w:r w:rsidR="00B74976" w:rsidRPr="00EF11A5">
        <w:rPr>
          <w:rFonts w:eastAsia="Times New Roman"/>
          <w:b/>
          <w:bCs/>
        </w:rPr>
        <w:t>3.343,08</w:t>
      </w:r>
      <w:r w:rsidR="007427D2" w:rsidRPr="00EF11A5">
        <w:rPr>
          <w:rFonts w:eastAsia="Times New Roman"/>
          <w:b/>
          <w:bCs/>
        </w:rPr>
        <w:t>.</w:t>
      </w:r>
      <w:r w:rsidRPr="0089644E">
        <w:rPr>
          <w:rFonts w:eastAsia="Times New Roman"/>
        </w:rPr>
        <w:t xml:space="preserve"> </w:t>
      </w:r>
    </w:p>
    <w:p w14:paraId="6272BC4A" w14:textId="5D088184" w:rsidR="00CF405E" w:rsidRDefault="00061736" w:rsidP="00B24FC3">
      <w:pPr>
        <w:ind w:firstLine="709"/>
      </w:pPr>
      <w:r>
        <w:t xml:space="preserve">Avverso tale avviso di accertamento </w:t>
      </w:r>
      <w:r w:rsidR="00E958AD" w:rsidRPr="00E958AD">
        <w:t>WIND TRE S.P.A.</w:t>
      </w:r>
      <w:r>
        <w:t xml:space="preserve"> ha </w:t>
      </w:r>
      <w:r w:rsidR="00B87FDB">
        <w:t>presentato</w:t>
      </w:r>
      <w:r w:rsidR="002C794E">
        <w:t>, dapprima</w:t>
      </w:r>
      <w:r w:rsidR="00B87FDB" w:rsidRPr="00B87FDB">
        <w:t xml:space="preserve"> Istanza di Annullamento in autotu</w:t>
      </w:r>
      <w:r w:rsidR="00B87FDB">
        <w:t>tela in data 05/05</w:t>
      </w:r>
      <w:r w:rsidR="00B87FDB" w:rsidRPr="00660742">
        <w:t>/202</w:t>
      </w:r>
      <w:r w:rsidR="00660742">
        <w:t>6</w:t>
      </w:r>
      <w:r w:rsidR="002C794E" w:rsidRPr="00660742">
        <w:t xml:space="preserve"> </w:t>
      </w:r>
      <w:r w:rsidR="001F6D41" w:rsidRPr="00B24FC3">
        <w:rPr>
          <w:b/>
        </w:rPr>
        <w:t>(doc.</w:t>
      </w:r>
      <w:r w:rsidR="00660742" w:rsidRPr="00B24FC3">
        <w:rPr>
          <w:b/>
        </w:rPr>
        <w:t xml:space="preserve"> 6</w:t>
      </w:r>
      <w:r w:rsidR="001F6D41" w:rsidRPr="00660742">
        <w:t>) rigettata</w:t>
      </w:r>
      <w:r w:rsidR="002C794E">
        <w:t xml:space="preserve"> dal </w:t>
      </w:r>
      <w:r w:rsidR="002C794E" w:rsidRPr="002C794E">
        <w:t>concessionario</w:t>
      </w:r>
      <w:r w:rsidR="002C794E" w:rsidRPr="002C794E">
        <w:rPr>
          <w:b/>
          <w:bCs/>
        </w:rPr>
        <w:t xml:space="preserve"> </w:t>
      </w:r>
      <w:r w:rsidR="002F56B1">
        <w:t xml:space="preserve">in data </w:t>
      </w:r>
      <w:r w:rsidR="002F56B1" w:rsidRPr="002F56B1">
        <w:t>11/05/</w:t>
      </w:r>
      <w:r w:rsidR="002A4885" w:rsidRPr="001F6D41">
        <w:t xml:space="preserve">2026 </w:t>
      </w:r>
      <w:r w:rsidR="001F6D41" w:rsidRPr="001F6D41">
        <w:t>(</w:t>
      </w:r>
      <w:r w:rsidR="002A4885" w:rsidRPr="001F6D41">
        <w:t>doc.</w:t>
      </w:r>
      <w:r w:rsidR="00660742">
        <w:t xml:space="preserve"> 7</w:t>
      </w:r>
      <w:r w:rsidR="001F6D41" w:rsidRPr="001F6D41">
        <w:t>)</w:t>
      </w:r>
      <w:r w:rsidR="002C794E">
        <w:t xml:space="preserve"> </w:t>
      </w:r>
    </w:p>
    <w:p w14:paraId="66AE44F6" w14:textId="3329A31F" w:rsidR="00CF405E" w:rsidRDefault="002C794E" w:rsidP="002C794E">
      <w:pPr>
        <w:ind w:firstLine="567"/>
      </w:pPr>
      <w:r>
        <w:rPr>
          <w:color w:val="000000"/>
        </w:rPr>
        <w:t xml:space="preserve">WIND TRE S.p.A. ha quindi, </w:t>
      </w:r>
      <w:r w:rsidR="006639C7">
        <w:rPr>
          <w:color w:val="000000"/>
        </w:rPr>
        <w:t>proposto,</w:t>
      </w:r>
      <w:r w:rsidR="00CF405E">
        <w:rPr>
          <w:color w:val="000000"/>
        </w:rPr>
        <w:t xml:space="preserve"> ricorso in opposizione </w:t>
      </w:r>
      <w:r>
        <w:rPr>
          <w:color w:val="000000"/>
        </w:rPr>
        <w:t>lamentando</w:t>
      </w:r>
      <w:r w:rsidR="001351C1">
        <w:t>:</w:t>
      </w:r>
    </w:p>
    <w:p w14:paraId="5678FDD0" w14:textId="56B2B08D" w:rsidR="00913D2B" w:rsidRPr="00B24FC3" w:rsidRDefault="00913D2B" w:rsidP="00913D2B">
      <w:pPr>
        <w:pStyle w:val="Paragrafoelenco"/>
        <w:numPr>
          <w:ilvl w:val="0"/>
          <w:numId w:val="2"/>
        </w:numPr>
        <w:rPr>
          <w:i/>
        </w:rPr>
      </w:pPr>
      <w:r w:rsidRPr="00B24FC3">
        <w:rPr>
          <w:i/>
        </w:rPr>
        <w:t>In via preliminare: il quadro normativo di riferimento. La L. n. 160/2019, il CUP Cavi e Condutture, e il Regolamento Comunale di Francavilla al Mare. Il perimetro normativo della specifica controversia;</w:t>
      </w:r>
    </w:p>
    <w:p w14:paraId="7A8EE34B" w14:textId="43BB9C55" w:rsidR="00913D2B" w:rsidRPr="00B24FC3" w:rsidRDefault="00913D2B" w:rsidP="00913D2B">
      <w:pPr>
        <w:pStyle w:val="Paragrafoelenco"/>
        <w:numPr>
          <w:ilvl w:val="0"/>
          <w:numId w:val="2"/>
        </w:numPr>
        <w:rPr>
          <w:i/>
        </w:rPr>
      </w:pPr>
      <w:r w:rsidRPr="00B24FC3">
        <w:rPr>
          <w:i/>
        </w:rPr>
        <w:t>La natura tributaria del CUP e le sue più immediate implicazioni. Le conseguenze connesse alle vicende del Regolamento Comunale.</w:t>
      </w:r>
    </w:p>
    <w:p w14:paraId="544B3D5A" w14:textId="529E52E8" w:rsidR="00913D2B" w:rsidRPr="00B24FC3" w:rsidRDefault="00913D2B" w:rsidP="008C50F2">
      <w:pPr>
        <w:pStyle w:val="Paragrafoelenco"/>
        <w:numPr>
          <w:ilvl w:val="0"/>
          <w:numId w:val="2"/>
        </w:numPr>
        <w:rPr>
          <w:i/>
        </w:rPr>
      </w:pPr>
      <w:r w:rsidRPr="00B24FC3">
        <w:rPr>
          <w:i/>
        </w:rPr>
        <w:t>La natura tributaria del CUP e le sue più immediate implicazioni. Le conseguenze circa la carenza di taluni elementi essenziali dell’Avviso.</w:t>
      </w:r>
    </w:p>
    <w:p w14:paraId="7A48AED6" w14:textId="2373EEC1" w:rsidR="00913D2B" w:rsidRPr="00B24FC3" w:rsidRDefault="00913D2B" w:rsidP="00913D2B">
      <w:pPr>
        <w:pStyle w:val="Paragrafoelenco"/>
        <w:numPr>
          <w:ilvl w:val="0"/>
          <w:numId w:val="2"/>
        </w:numPr>
        <w:rPr>
          <w:i/>
        </w:rPr>
      </w:pPr>
      <w:r w:rsidRPr="00B24FC3">
        <w:rPr>
          <w:i/>
        </w:rPr>
        <w:t>La natura tributaria del CUP e le sue più immediate implicazioni. La palese illegittimità dell’Avviso non essendo il presupposto del CUP coerente con le caratteristiche di effettività ed attualità che devono contraddistinguere la manifestazione di capacità contributiva oggetto di tassazione.</w:t>
      </w:r>
    </w:p>
    <w:p w14:paraId="28F94C9A" w14:textId="5BB8600C" w:rsidR="00913D2B" w:rsidRPr="00B24FC3" w:rsidRDefault="00913D2B" w:rsidP="00CB2589">
      <w:pPr>
        <w:pStyle w:val="Paragrafoelenco"/>
        <w:numPr>
          <w:ilvl w:val="0"/>
          <w:numId w:val="2"/>
        </w:numPr>
        <w:rPr>
          <w:i/>
        </w:rPr>
      </w:pPr>
      <w:r w:rsidRPr="00B24FC3">
        <w:rPr>
          <w:i/>
        </w:rPr>
        <w:t>Illegittimità ed infondatezza dell’Avviso per violazione dell’art. 1, comma 831, L. n. 160/2019 con riguardo alla determinazione del tributo dovuto da Wind Tre a titolo di CUP Cavi e Condutture.</w:t>
      </w:r>
    </w:p>
    <w:p w14:paraId="60FB69B0" w14:textId="505A7F1A" w:rsidR="00913D2B" w:rsidRPr="00B24FC3" w:rsidRDefault="00913D2B" w:rsidP="00136E65">
      <w:pPr>
        <w:pStyle w:val="Paragrafoelenco"/>
        <w:numPr>
          <w:ilvl w:val="0"/>
          <w:numId w:val="2"/>
        </w:numPr>
        <w:rPr>
          <w:i/>
        </w:rPr>
      </w:pPr>
      <w:r w:rsidRPr="00B24FC3">
        <w:rPr>
          <w:i/>
        </w:rPr>
        <w:t>Illegittimità ed infondatezza dell’Avviso in virtù dell’avvenuta comunicazione delle utenze attive e dell’avvenuto versamento del CUP Cavi e Condutture da parte di Wind Tre per le occupazioni svolte negli anni 2021, 2022, 2023, 2024 e 2025.</w:t>
      </w:r>
    </w:p>
    <w:p w14:paraId="43E8DD2C" w14:textId="3E27BBC1" w:rsidR="00913D2B" w:rsidRPr="00B24FC3" w:rsidRDefault="00913D2B" w:rsidP="0036284F">
      <w:pPr>
        <w:pStyle w:val="Paragrafoelenco"/>
        <w:numPr>
          <w:ilvl w:val="0"/>
          <w:numId w:val="2"/>
        </w:numPr>
        <w:rPr>
          <w:i/>
        </w:rPr>
      </w:pPr>
      <w:r w:rsidRPr="00B24FC3">
        <w:rPr>
          <w:i/>
        </w:rPr>
        <w:t>Illegittimità ed infondatezza dell’Avviso in virtù dell’inammissibilità della pretesa impositiva relativa al periodo d’imposta 2025.</w:t>
      </w:r>
    </w:p>
    <w:p w14:paraId="2DF986EF" w14:textId="3ACAE0C9" w:rsidR="00913D2B" w:rsidRDefault="002A4885" w:rsidP="00913D2B">
      <w:pPr>
        <w:pStyle w:val="Paragrafoelenco"/>
        <w:ind w:left="1571"/>
      </w:pPr>
      <w:r w:rsidRPr="00B24FC3">
        <w:t>Pertanto,</w:t>
      </w:r>
      <w:r w:rsidR="00913D2B" w:rsidRPr="00B24FC3">
        <w:t xml:space="preserve"> chiedeva, previa sospensione dell’efficacia esecutiva dell’avviso impugnato</w:t>
      </w:r>
      <w:r w:rsidR="00B24FC3" w:rsidRPr="00B24FC3">
        <w:t>,</w:t>
      </w:r>
      <w:r w:rsidR="00913D2B" w:rsidRPr="00B24FC3">
        <w:t xml:space="preserve"> di annullare</w:t>
      </w:r>
      <w:r w:rsidR="00913D2B" w:rsidRPr="00B24FC3">
        <w:rPr>
          <w:i/>
        </w:rPr>
        <w:t xml:space="preserve"> </w:t>
      </w:r>
      <w:r w:rsidR="00913D2B">
        <w:t xml:space="preserve">l’avviso di accertamento con vittoria di spese, diritti ed onorari. </w:t>
      </w:r>
    </w:p>
    <w:p w14:paraId="39232DA6" w14:textId="141E5EC8" w:rsidR="001F43C8" w:rsidRDefault="00656F2B" w:rsidP="00B24FC3">
      <w:pPr>
        <w:ind w:firstLine="708"/>
      </w:pPr>
      <w:r>
        <w:t xml:space="preserve">Si costituisce in giudizio la società Risco </w:t>
      </w:r>
      <w:proofErr w:type="spellStart"/>
      <w:r>
        <w:t>srl</w:t>
      </w:r>
      <w:proofErr w:type="spellEnd"/>
      <w:r>
        <w:t>, come sopra rappresentata e difesa, che rileva l’infondatezza del ricorso per i seguenti</w:t>
      </w:r>
    </w:p>
    <w:p w14:paraId="33A4F0CC" w14:textId="7DDC088A" w:rsidR="00C41FAA" w:rsidRDefault="00656F2B" w:rsidP="00C41FAA">
      <w:pPr>
        <w:jc w:val="center"/>
        <w:rPr>
          <w:b/>
          <w:bCs/>
        </w:rPr>
      </w:pPr>
      <w:r>
        <w:rPr>
          <w:b/>
          <w:bCs/>
        </w:rPr>
        <w:t>MOTIVI</w:t>
      </w:r>
    </w:p>
    <w:p w14:paraId="1C91B52D" w14:textId="791F3955" w:rsidR="00C641A8" w:rsidRDefault="002A69CA" w:rsidP="00C641A8">
      <w:pPr>
        <w:pStyle w:val="Paragrafoelenco"/>
        <w:numPr>
          <w:ilvl w:val="0"/>
          <w:numId w:val="1"/>
        </w:numPr>
        <w:spacing w:before="240" w:after="120"/>
        <w:rPr>
          <w:b/>
          <w:bCs/>
        </w:rPr>
      </w:pPr>
      <w:r w:rsidRPr="00870754">
        <w:rPr>
          <w:b/>
          <w:bCs/>
        </w:rPr>
        <w:t xml:space="preserve">IN MERITO </w:t>
      </w:r>
      <w:r w:rsidR="006D76EA">
        <w:rPr>
          <w:b/>
          <w:bCs/>
        </w:rPr>
        <w:t xml:space="preserve">ALLA SUSSISTENZA DEL PRESUPPOSTO D’IMPOSTA NONCHE’ IN MERITO ALLA </w:t>
      </w:r>
      <w:r w:rsidR="00B24FC3">
        <w:rPr>
          <w:b/>
          <w:bCs/>
        </w:rPr>
        <w:t xml:space="preserve">SOGGETTIVITA’ </w:t>
      </w:r>
      <w:r w:rsidR="006D76EA">
        <w:rPr>
          <w:b/>
          <w:bCs/>
        </w:rPr>
        <w:t>PASSIVA D</w:t>
      </w:r>
      <w:r w:rsidR="00B24FC3">
        <w:rPr>
          <w:b/>
          <w:bCs/>
        </w:rPr>
        <w:t>ELLA RICORRENTE</w:t>
      </w:r>
    </w:p>
    <w:p w14:paraId="0752DBD1" w14:textId="77777777" w:rsidR="006639C7" w:rsidRDefault="006639C7" w:rsidP="006639C7">
      <w:pPr>
        <w:spacing w:before="240" w:after="120"/>
        <w:rPr>
          <w:b/>
          <w:bCs/>
        </w:rPr>
      </w:pPr>
    </w:p>
    <w:p w14:paraId="1E2ED83A" w14:textId="2A3D2B10" w:rsidR="006639C7" w:rsidRPr="006639C7" w:rsidRDefault="00B24FC3" w:rsidP="006639C7">
      <w:pPr>
        <w:ind w:firstLine="708"/>
        <w:contextualSpacing/>
      </w:pPr>
      <w:r>
        <w:lastRenderedPageBreak/>
        <w:t xml:space="preserve">Con riferimento alle prime </w:t>
      </w:r>
      <w:r w:rsidR="006639C7" w:rsidRPr="006639C7">
        <w:t xml:space="preserve">doglianze, trattate congiuntamente per connessione logica e giuridica, va in primo luogo riferito che di recente, </w:t>
      </w:r>
      <w:r w:rsidR="006639C7" w:rsidRPr="006639C7">
        <w:rPr>
          <w:b/>
          <w:bCs/>
          <w:u w:val="single"/>
        </w:rPr>
        <w:t>PROPRIO CONTRO WIND,</w:t>
      </w:r>
      <w:r w:rsidR="006639C7" w:rsidRPr="006639C7">
        <w:t xml:space="preserve">  la </w:t>
      </w:r>
      <w:r w:rsidR="006639C7" w:rsidRPr="006639C7">
        <w:rPr>
          <w:b/>
          <w:bCs/>
          <w:u w:val="single"/>
        </w:rPr>
        <w:t xml:space="preserve">CORTE </w:t>
      </w:r>
      <w:r w:rsidR="006639C7" w:rsidRPr="00660742">
        <w:rPr>
          <w:b/>
          <w:bCs/>
          <w:u w:val="single"/>
        </w:rPr>
        <w:t>SUPREMA DI CASSAZIONE, Sezione Terza Civile, sentenza n. 11479 del 28 aprile 2026</w:t>
      </w:r>
      <w:r w:rsidR="006639C7" w:rsidRPr="00660742">
        <w:rPr>
          <w:b/>
          <w:bCs/>
        </w:rPr>
        <w:t xml:space="preserve"> </w:t>
      </w:r>
      <w:r w:rsidR="006639C7" w:rsidRPr="00660742">
        <w:t>(</w:t>
      </w:r>
      <w:r w:rsidR="006639C7" w:rsidRPr="00660742">
        <w:rPr>
          <w:b/>
          <w:bCs/>
        </w:rPr>
        <w:t xml:space="preserve">doc. </w:t>
      </w:r>
      <w:r w:rsidR="00660742" w:rsidRPr="00660742">
        <w:rPr>
          <w:b/>
          <w:bCs/>
        </w:rPr>
        <w:t>9</w:t>
      </w:r>
      <w:r w:rsidR="006639C7" w:rsidRPr="00660742">
        <w:t>) ha chiarito -</w:t>
      </w:r>
      <w:r w:rsidR="006639C7" w:rsidRPr="006639C7">
        <w:t xml:space="preserve"> per la prima volta a livello di legittimità - le questioni giuridiche che costituiscono il nucleo del presente contenzioso, enunciando il seguente principio di diritto: </w:t>
      </w:r>
      <w:r w:rsidR="006639C7" w:rsidRPr="006639C7">
        <w:rPr>
          <w:b/>
          <w:bCs/>
          <w:i/>
          <w:iCs/>
          <w:u w:val="single"/>
        </w:rPr>
        <w:t>“il gestore di servizi telefonici il quale si avvalga dell'accesso "virtuale" ad una rete di proprietà altrui (ad es., mediante tecnologia VULA) è obbligato al pagamento del CUP”</w:t>
      </w:r>
      <w:r w:rsidR="006639C7" w:rsidRPr="006639C7">
        <w:rPr>
          <w:b/>
          <w:bCs/>
        </w:rPr>
        <w:t xml:space="preserve"> (Cass. </w:t>
      </w:r>
      <w:proofErr w:type="spellStart"/>
      <w:r w:rsidR="006639C7" w:rsidRPr="006639C7">
        <w:rPr>
          <w:b/>
          <w:bCs/>
        </w:rPr>
        <w:t>Civ</w:t>
      </w:r>
      <w:proofErr w:type="spellEnd"/>
      <w:r w:rsidR="006639C7" w:rsidRPr="006639C7">
        <w:rPr>
          <w:b/>
          <w:bCs/>
        </w:rPr>
        <w:t>., Sez. III, n. 11479/2026).</w:t>
      </w:r>
    </w:p>
    <w:p w14:paraId="0629FE6B" w14:textId="77777777" w:rsidR="006639C7" w:rsidRPr="006639C7" w:rsidRDefault="006639C7" w:rsidP="006639C7">
      <w:pPr>
        <w:ind w:firstLine="708"/>
        <w:contextualSpacing/>
      </w:pPr>
      <w:r w:rsidRPr="006639C7">
        <w:t>Ed infatti, la Corte ha statuito che la</w:t>
      </w:r>
      <w:r w:rsidRPr="006639C7">
        <w:rPr>
          <w:b/>
          <w:bCs/>
        </w:rPr>
        <w:t> distinzione tra uso materiale e uso virtuale </w:t>
      </w:r>
      <w:r w:rsidRPr="006639C7">
        <w:t>dell'infrastruttura di rete, su cui si fonda la tesi dell'opponente,</w:t>
      </w:r>
      <w:r w:rsidRPr="006639C7">
        <w:rPr>
          <w:b/>
          <w:bCs/>
        </w:rPr>
        <w:t xml:space="preserve"> è erronea in diritto: i segnali delle linee telefoniche si propagano per legge fisica sempre attraverso un supporto materiale, sicché l'accesso VULA è virtuale unicamente nella modalità tecnica di accesso, non nell'utilizzo della rete, che </w:t>
      </w:r>
      <w:r w:rsidRPr="006639C7">
        <w:rPr>
          <w:b/>
          <w:bCs/>
          <w:u w:val="single"/>
        </w:rPr>
        <w:t>rimane in ogni caso materiale</w:t>
      </w:r>
      <w:r w:rsidRPr="006639C7">
        <w:rPr>
          <w:b/>
          <w:bCs/>
        </w:rPr>
        <w:t xml:space="preserve"> e costituisce pertanto </w:t>
      </w:r>
      <w:r w:rsidRPr="006639C7">
        <w:rPr>
          <w:b/>
          <w:bCs/>
          <w:u w:val="single"/>
        </w:rPr>
        <w:t>occupazione mediata</w:t>
      </w:r>
      <w:r w:rsidRPr="006639C7">
        <w:rPr>
          <w:b/>
          <w:bCs/>
        </w:rPr>
        <w:t xml:space="preserve"> ai sensi dell'art. 1, comma 831, L. 160/2019.</w:t>
      </w:r>
    </w:p>
    <w:p w14:paraId="1411FE14" w14:textId="77777777" w:rsidR="006639C7" w:rsidRPr="006639C7" w:rsidRDefault="006639C7" w:rsidP="006639C7">
      <w:pPr>
        <w:ind w:firstLine="708"/>
        <w:contextualSpacing/>
      </w:pPr>
      <w:r w:rsidRPr="006639C7">
        <w:t>La Suprema Corte</w:t>
      </w:r>
      <w:r w:rsidRPr="006639C7">
        <w:rPr>
          <w:b/>
          <w:bCs/>
        </w:rPr>
        <w:t> </w:t>
      </w:r>
      <w:r w:rsidRPr="006639C7">
        <w:t>ha altresì definitivamente chiarito che</w:t>
      </w:r>
      <w:r w:rsidRPr="006639C7">
        <w:rPr>
          <w:b/>
          <w:bCs/>
        </w:rPr>
        <w:t> l'art. 5, comma 14-quinquies, D.L. 146/2021 non è applicabile al settore delle telecomunicazioni: l'esenzione </w:t>
      </w:r>
      <w:r w:rsidRPr="006639C7">
        <w:t>ivi prevista opera esclusivamente a favore di chi vende beni ai sensi dell'art. 1470 c.c. e</w:t>
      </w:r>
      <w:r w:rsidRPr="006639C7">
        <w:rPr>
          <w:b/>
          <w:bCs/>
        </w:rPr>
        <w:t> non a favore di chi, come l'operatore telefonico, eroga un servizio. Trattandosi di norma eccezionale, essa è di stretta interpretazione e non è suscettibile di applicazione estensiva al settore TLC.</w:t>
      </w:r>
    </w:p>
    <w:p w14:paraId="114D0961" w14:textId="77777777" w:rsidR="006639C7" w:rsidRPr="006639C7" w:rsidRDefault="006639C7" w:rsidP="006639C7">
      <w:pPr>
        <w:ind w:firstLine="708"/>
        <w:contextualSpacing/>
      </w:pPr>
      <w:r w:rsidRPr="000E44C2">
        <w:rPr>
          <w:b/>
          <w:u w:val="single"/>
        </w:rPr>
        <w:t xml:space="preserve">La pronuncia della Corte di legittimità si spera abbia messo un punto definitivo sulla </w:t>
      </w:r>
      <w:r w:rsidRPr="000E44C2">
        <w:rPr>
          <w:b/>
          <w:i/>
          <w:iCs/>
          <w:u w:val="single"/>
        </w:rPr>
        <w:t>querelle</w:t>
      </w:r>
      <w:r w:rsidRPr="000E44C2">
        <w:rPr>
          <w:b/>
          <w:u w:val="single"/>
        </w:rPr>
        <w:t xml:space="preserve"> portata avanti della società telefoniche che muove da premesse errate</w:t>
      </w:r>
      <w:r w:rsidRPr="006639C7">
        <w:t>.</w:t>
      </w:r>
    </w:p>
    <w:p w14:paraId="536D85FC" w14:textId="77777777" w:rsidR="006639C7" w:rsidRPr="006639C7" w:rsidRDefault="006639C7" w:rsidP="006639C7">
      <w:pPr>
        <w:ind w:firstLine="708"/>
        <w:contextualSpacing/>
      </w:pPr>
      <w:r w:rsidRPr="006639C7">
        <w:rPr>
          <w:b/>
          <w:bCs/>
          <w:u w:val="single"/>
        </w:rPr>
        <w:t>Questi i fatti e la normativa di riferimento.</w:t>
      </w:r>
    </w:p>
    <w:p w14:paraId="2BB9F3C8" w14:textId="77777777" w:rsidR="006639C7" w:rsidRPr="006639C7" w:rsidRDefault="006639C7" w:rsidP="006639C7">
      <w:pPr>
        <w:ind w:firstLine="708"/>
        <w:contextualSpacing/>
      </w:pPr>
      <w:r w:rsidRPr="006639C7">
        <w:t>Nella narrativa avversaria, sostanzialmente, WIND TRE S.P.A. richiama una normativa oltre che non più attuale, anche recisamente disattesa dallo stesso Legislatore oltre che afferente a diverse fattispecie normativamente regolamentate.</w:t>
      </w:r>
    </w:p>
    <w:p w14:paraId="17CA1454" w14:textId="77777777" w:rsidR="006639C7" w:rsidRPr="006639C7" w:rsidRDefault="006639C7" w:rsidP="006639C7">
      <w:pPr>
        <w:contextualSpacing/>
      </w:pPr>
      <w:r w:rsidRPr="006639C7">
        <w:t xml:space="preserve">Pertanto, per meglio inquadrare la fattispecie portata all’attenzione del Giudice, si impone un breve </w:t>
      </w:r>
      <w:r w:rsidRPr="006639C7">
        <w:rPr>
          <w:i/>
          <w:iCs/>
        </w:rPr>
        <w:t>excursus</w:t>
      </w:r>
      <w:r w:rsidRPr="006639C7">
        <w:t xml:space="preserve"> normativo in tema di legittimazione passiva, al fine di individuare il/i soggetto/i passivamente tenuti al pagamento del canone patrimoniale unico e </w:t>
      </w:r>
      <w:r w:rsidRPr="006639C7">
        <w:rPr>
          <w:u w:val="single"/>
        </w:rPr>
        <w:t xml:space="preserve">ciò anche nell’ipotesi di uso in via mediata in condivisione delle infrastrutture </w:t>
      </w:r>
      <w:proofErr w:type="spellStart"/>
      <w:r w:rsidRPr="006639C7">
        <w:rPr>
          <w:u w:val="single"/>
        </w:rPr>
        <w:t>concessionate</w:t>
      </w:r>
      <w:proofErr w:type="spellEnd"/>
      <w:r w:rsidRPr="006639C7">
        <w:rPr>
          <w:u w:val="single"/>
        </w:rPr>
        <w:t xml:space="preserve"> ad un unico Operatore.</w:t>
      </w:r>
    </w:p>
    <w:p w14:paraId="3E7A97BC" w14:textId="77777777" w:rsidR="006639C7" w:rsidRPr="006639C7" w:rsidRDefault="006639C7" w:rsidP="006639C7">
      <w:pPr>
        <w:ind w:firstLine="708"/>
        <w:contextualSpacing/>
      </w:pPr>
      <w:r w:rsidRPr="006639C7">
        <w:t>Ebbene, la legge n. 160/2019 ha previsto che, in sostituzione dei precedenti prelievi TOSAP e COSAP, a partire dall’anno 2021 ogni Comune potesse e dovesse riscuotere attraverso il canone unico patrimoniale (d’ora in poi solo CUP) gli oneri derivanti dall’occupazione del suolo pubblico da parte dei singoli soggetti utilizzatori.</w:t>
      </w:r>
    </w:p>
    <w:p w14:paraId="001BCA23" w14:textId="77777777" w:rsidR="006639C7" w:rsidRPr="006639C7" w:rsidRDefault="006639C7" w:rsidP="006639C7">
      <w:pPr>
        <w:contextualSpacing/>
      </w:pPr>
      <w:r w:rsidRPr="006639C7">
        <w:lastRenderedPageBreak/>
        <w:t>Parallelamente all’istituzione di tale nuovo strumento di riscossione, la nuova disciplina normativa ha recepito anche tutta la casistica relativa alle occupazioni permanenti, realizzate attraverso la posa sul territorio comunale di cavi e condutture per la fornitura di servizi di pubblica utilità tra cui, evidentemente, i servizi di telecomunicazione e trasferimento dati.</w:t>
      </w:r>
    </w:p>
    <w:p w14:paraId="45265517" w14:textId="77777777" w:rsidR="006639C7" w:rsidRPr="006639C7" w:rsidRDefault="006639C7" w:rsidP="006639C7">
      <w:pPr>
        <w:ind w:firstLine="708"/>
        <w:contextualSpacing/>
      </w:pPr>
      <w:r w:rsidRPr="006639C7">
        <w:t xml:space="preserve">E ciò ha fatto fornendo un’interpretazione che ora possiamo definire definitiva dell’art. 1 comma 831 della </w:t>
      </w:r>
      <w:proofErr w:type="gramStart"/>
      <w:r w:rsidRPr="006639C7">
        <w:t>predetta</w:t>
      </w:r>
      <w:proofErr w:type="gramEnd"/>
      <w:r w:rsidRPr="006639C7">
        <w:t xml:space="preserve"> Legge.</w:t>
      </w:r>
    </w:p>
    <w:p w14:paraId="6A9B2BEB" w14:textId="77777777" w:rsidR="006639C7" w:rsidRPr="006639C7" w:rsidRDefault="006639C7" w:rsidP="006639C7">
      <w:pPr>
        <w:ind w:firstLine="708"/>
        <w:contextualSpacing/>
      </w:pPr>
      <w:r w:rsidRPr="006639C7">
        <w:t>Nella sua versione originale, infatti, l’art. 1 comma 831 della Legge 160/2019 aveva previsto che le società che fornivano servizi pubblici e titolari di concessioni per l’occupazione del sottosuolo pubblico, attraverso cavi e condutture, dovessero versare il relativo canone all’Ente Pubblico in base al numero delle utenze che ivi transitavano, sommandole a quelle delle altre Aziende che, di fatto, usufruivano delle medesime infrastrutture.</w:t>
      </w:r>
    </w:p>
    <w:p w14:paraId="5DF0D96B" w14:textId="77777777" w:rsidR="006639C7" w:rsidRPr="006639C7" w:rsidRDefault="006639C7" w:rsidP="006639C7">
      <w:pPr>
        <w:ind w:firstLine="708"/>
        <w:contextualSpacing/>
      </w:pPr>
      <w:r w:rsidRPr="006639C7">
        <w:t>Il titolare della concessione comunale avrebbe, poi, esercitato rivalsa sulle aziende che utilizzavano la stessa rete, per quanto complessivamente ed obbligatoriamente da esso anticipato al locale Comune anche in loro vece e favore.</w:t>
      </w:r>
    </w:p>
    <w:p w14:paraId="7BD1D228" w14:textId="77777777" w:rsidR="006639C7" w:rsidRPr="006639C7" w:rsidRDefault="006639C7" w:rsidP="006639C7">
      <w:pPr>
        <w:ind w:firstLine="708"/>
        <w:contextualSpacing/>
      </w:pPr>
      <w:r w:rsidRPr="006639C7">
        <w:t>Nella vigenza di tale normativa o, meglio, prassi applicativa (</w:t>
      </w:r>
      <w:r w:rsidRPr="006639C7">
        <w:rPr>
          <w:b/>
          <w:bCs/>
        </w:rPr>
        <w:t>poiché tale indirizzo normativo mai è entrato in vigore</w:t>
      </w:r>
      <w:r w:rsidRPr="006639C7">
        <w:t xml:space="preserve">) il soggetto chiamato a corrispondere il canone sarebbe stato esclusivamente Tim/Telecom S.p.A., quale unico soggetto </w:t>
      </w:r>
      <w:proofErr w:type="spellStart"/>
      <w:r w:rsidRPr="006639C7">
        <w:t>concessionato</w:t>
      </w:r>
      <w:proofErr w:type="spellEnd"/>
      <w:r w:rsidRPr="006639C7">
        <w:t xml:space="preserve"> all’uso del sottosuolo pubblico salvo, come anticipato, il suo diritto alla rivalsa/regresso nei confronti degli altri utilizzatori tra cui, evidentemente, anche WIND TRE S.P.A., che pacificamente utilizza le reti altrui mediante collegamenti </w:t>
      </w:r>
      <w:r w:rsidRPr="006639C7">
        <w:rPr>
          <w:b/>
          <w:bCs/>
        </w:rPr>
        <w:t xml:space="preserve">VLAN (Virtual Local Area Network), NGA (Next Generation Access), VULA (Virtual </w:t>
      </w:r>
      <w:proofErr w:type="spellStart"/>
      <w:r w:rsidRPr="006639C7">
        <w:rPr>
          <w:b/>
          <w:bCs/>
        </w:rPr>
        <w:t>Unbundled</w:t>
      </w:r>
      <w:proofErr w:type="spellEnd"/>
      <w:r w:rsidRPr="006639C7">
        <w:rPr>
          <w:b/>
          <w:bCs/>
        </w:rPr>
        <w:t xml:space="preserve"> Local Access) e SLU (Sub Loop </w:t>
      </w:r>
      <w:proofErr w:type="spellStart"/>
      <w:r w:rsidRPr="006639C7">
        <w:rPr>
          <w:b/>
          <w:bCs/>
        </w:rPr>
        <w:t>Unbundling</w:t>
      </w:r>
      <w:proofErr w:type="spellEnd"/>
      <w:r w:rsidRPr="006639C7">
        <w:rPr>
          <w:b/>
          <w:bCs/>
        </w:rPr>
        <w:t>)</w:t>
      </w:r>
      <w:r w:rsidRPr="006639C7">
        <w:t xml:space="preserve">; per chiarezza espositiva si evidenzia che con tali acronimi si indicano le modalità che gli operatori di rete hanno a disposizione per accedere alla rete dell’operatore </w:t>
      </w:r>
      <w:proofErr w:type="spellStart"/>
      <w:r w:rsidRPr="006639C7">
        <w:t>concessionato</w:t>
      </w:r>
      <w:proofErr w:type="spellEnd"/>
      <w:r w:rsidRPr="006639C7">
        <w:t xml:space="preserve"> Tim/Telecom S.p.A./FiberCop, ex monopolista delle infrastrutture nazionali.</w:t>
      </w:r>
    </w:p>
    <w:p w14:paraId="3B784523" w14:textId="77777777" w:rsidR="006639C7" w:rsidRPr="006639C7" w:rsidRDefault="006639C7" w:rsidP="006639C7">
      <w:pPr>
        <w:ind w:firstLine="708"/>
        <w:contextualSpacing/>
      </w:pPr>
      <w:r w:rsidRPr="006639C7">
        <w:t xml:space="preserve">Ricordiamo, poi, che il Legislatore con il </w:t>
      </w:r>
      <w:r w:rsidRPr="006639C7">
        <w:rPr>
          <w:u w:val="single"/>
        </w:rPr>
        <w:t>comma 848 della Legge 178/2020</w:t>
      </w:r>
      <w:r w:rsidRPr="006639C7">
        <w:t xml:space="preserve"> del 30.12.2020 ha apportato radicali modifiche, stravolgendola, alla disciplina riscrivendo il comma 831 ed introducendo il concetto della c.d. </w:t>
      </w:r>
      <w:r w:rsidRPr="006639C7">
        <w:rPr>
          <w:b/>
          <w:bCs/>
          <w:u w:val="single"/>
        </w:rPr>
        <w:t>soggettività passiva in via mediata</w:t>
      </w:r>
      <w:r w:rsidRPr="006639C7">
        <w:t xml:space="preserve"> quale presupposto per l’applicazione della norma di cui, di seguito, riportiamo la sintesi.</w:t>
      </w:r>
    </w:p>
    <w:p w14:paraId="10012C41" w14:textId="77777777" w:rsidR="006639C7" w:rsidRDefault="006639C7" w:rsidP="006639C7">
      <w:pPr>
        <w:contextualSpacing/>
        <w:rPr>
          <w:i/>
          <w:iCs/>
        </w:rPr>
      </w:pPr>
      <w:r w:rsidRPr="006639C7">
        <w:t>Ad oggi, quindi, il criterio informatore per la fattispecie in esame risulta il seguente: “</w:t>
      </w:r>
      <w:r w:rsidRPr="006639C7">
        <w:rPr>
          <w:i/>
          <w:iCs/>
        </w:rPr>
        <w:t xml:space="preserve">il canone è dovuto dal soggetto titolare dell’atto di concessione dell’occupazione del suolo pubblico e dai soggetti che occupano il suolo pubblico </w:t>
      </w:r>
      <w:r w:rsidRPr="006639C7">
        <w:rPr>
          <w:i/>
          <w:iCs/>
          <w:u w:val="single"/>
        </w:rPr>
        <w:t>anche in via mediata</w:t>
      </w:r>
      <w:r w:rsidRPr="006639C7">
        <w:rPr>
          <w:i/>
          <w:iCs/>
        </w:rPr>
        <w:t xml:space="preserve"> attraverso l’utilizzo materiale delle infrastrutture del soggetto titolare della concessione </w:t>
      </w:r>
      <w:r w:rsidRPr="006639C7">
        <w:rPr>
          <w:i/>
          <w:iCs/>
          <w:u w:val="single"/>
        </w:rPr>
        <w:t>sulla base del numero delle rispettive utenze</w:t>
      </w:r>
      <w:r w:rsidRPr="006639C7">
        <w:rPr>
          <w:i/>
          <w:iCs/>
        </w:rPr>
        <w:t xml:space="preserve"> moltiplicate per la seguente tariffa forfettaria ...omissis...”.</w:t>
      </w:r>
    </w:p>
    <w:p w14:paraId="4BB6A929" w14:textId="4A64705C" w:rsidR="00CE2D44" w:rsidRPr="00655836" w:rsidRDefault="00CE2D44" w:rsidP="00CE2D44">
      <w:pPr>
        <w:ind w:firstLine="708"/>
        <w:contextualSpacing/>
      </w:pPr>
      <w:r w:rsidRPr="00655836">
        <w:lastRenderedPageBreak/>
        <w:t>Evidenti le conseguenze: oltre al formale concessionario</w:t>
      </w:r>
      <w:r>
        <w:t xml:space="preserve"> </w:t>
      </w:r>
      <w:r w:rsidRPr="00655836">
        <w:t>saranno tenuti al pagamento del canone anche tutti gli altri operatori telefonici i quali, sebbene non intestatari di concessione amministrativa alcuna, di fatto, utilizzano le reti in virtù di accordi privati con la stessa Tim/Telecom S.p.A./FiberCop al fine di erogare il servizio al proprio Cliente finale, rappresentato dalle singole abitazioni private e/o aziende del territorio nazionale.</w:t>
      </w:r>
    </w:p>
    <w:p w14:paraId="398455A6" w14:textId="002E8361" w:rsidR="00CE2D44" w:rsidRPr="00655836" w:rsidRDefault="00CE2D44" w:rsidP="00CE2D44">
      <w:pPr>
        <w:ind w:firstLine="708"/>
        <w:contextualSpacing/>
      </w:pPr>
      <w:r w:rsidRPr="00655836">
        <w:t>Si noti che il principio cristallizzato nella nuova formulazione ed interpretazione dell’art. 1 comma 831 è stato mutuato da una risalente Circolare interpretativa del MEF pubblicata nell’anno 2009 (Circolare n. 1/DF del 20.01.</w:t>
      </w:r>
      <w:r w:rsidRPr="00660742">
        <w:t xml:space="preserve">2009 – </w:t>
      </w:r>
      <w:r w:rsidRPr="00660742">
        <w:rPr>
          <w:b/>
          <w:bCs/>
        </w:rPr>
        <w:t xml:space="preserve">doc. </w:t>
      </w:r>
      <w:r w:rsidR="001F6D41" w:rsidRPr="00660742">
        <w:rPr>
          <w:b/>
          <w:bCs/>
        </w:rPr>
        <w:t>8</w:t>
      </w:r>
      <w:r w:rsidRPr="00660742">
        <w:t>)</w:t>
      </w:r>
      <w:r w:rsidRPr="00655836">
        <w:t xml:space="preserve"> nella quale, per l’appunto, già veniva indicato il criterio per la corretta applicazione/imputazione del canone relativo all’utilizzo di suolo pubblico, in caso di plurimo e contemporaneo utilizzo delle condutture/infrastrutture, da parte dei vari operatori telefonici in conseguenza dell’avvenuta liberalizzazione del mercato delle telecomunicazioni.</w:t>
      </w:r>
    </w:p>
    <w:p w14:paraId="24D68D49" w14:textId="77777777" w:rsidR="00CE2D44" w:rsidRPr="00655836" w:rsidRDefault="00CE2D44" w:rsidP="00CE2D44">
      <w:pPr>
        <w:ind w:firstLine="708"/>
        <w:contextualSpacing/>
      </w:pPr>
      <w:r w:rsidRPr="00655836">
        <w:t>Da subito, comunque, pare doveroso evidenziare che la multipla e contestuale utilizzazione delle reti poste nel sottosuolo pubblico da parte di più operatori non ha di certo, come sostiene controparte, portato ad una duplicazione del prelievo a favore del Comune, anzi è proprio vero il contrario!</w:t>
      </w:r>
    </w:p>
    <w:p w14:paraId="55F6E40A" w14:textId="77777777" w:rsidR="00CE2D44" w:rsidRPr="00655836" w:rsidRDefault="00CE2D44" w:rsidP="00CE2D44">
      <w:pPr>
        <w:ind w:firstLine="708"/>
        <w:contextualSpacing/>
      </w:pPr>
      <w:r w:rsidRPr="00655836">
        <w:t>Risulta, infatti, che, alla luce della precedente normativa, il criterio applicativo della TOSAP o COSAP si realizzava in base al numero delle singole utenze attive, rilevate al 31 dicembre dell’anno precedente, moltiplicato per la relativa tariffa forfettaria che veniva stabilita dal Legislatore per ogni utenza.</w:t>
      </w:r>
    </w:p>
    <w:p w14:paraId="7B972826" w14:textId="77777777" w:rsidR="00CE2D44" w:rsidRPr="00655836" w:rsidRDefault="00CE2D44" w:rsidP="00CE2D44">
      <w:pPr>
        <w:ind w:firstLine="708"/>
        <w:contextualSpacing/>
      </w:pPr>
      <w:r w:rsidRPr="00655836">
        <w:t xml:space="preserve">Pertanto, fino a che vi era monopolio Tim/Telecom S.p.A. era la stessa Tim/Telecom S.p.A. a versare il canone per tutte le utenze attive nel territorio comunale; allorquando, invece, a seguito della liberalizzazione del mercato delle telecomunicazioni con conseguente obbligatoria condivisione delle reti con gli altri operatori del settore (tra cui WIND TRE S.P.A.), </w:t>
      </w:r>
      <w:r w:rsidRPr="00655836">
        <w:rPr>
          <w:u w:val="single"/>
        </w:rPr>
        <w:t>il numero delle utenze riconducibili all’ex monopolista si è evidentemente e drasticamente ridotto.</w:t>
      </w:r>
    </w:p>
    <w:p w14:paraId="70EC35CF" w14:textId="016E7942" w:rsidR="00CE2D44" w:rsidRPr="00655836" w:rsidRDefault="00CE2D44" w:rsidP="00CE2D44">
      <w:pPr>
        <w:ind w:firstLine="708"/>
        <w:contextualSpacing/>
      </w:pPr>
      <w:r w:rsidRPr="00655836">
        <w:t xml:space="preserve">Ad oggi, infatti, dai dati AGCOM si rileva che le più importanti Compagnie operanti sul territorio nazionale detengono le seguenti quote di mercato: Tim/Telecom S.p.A. il 35,90% delle utenze del mercato nazionale, Vodafone S.p.A. + Fastweb incorporata 28,4% e Wind S.p.A. il 14,40% circa (cfr. Osservatorio </w:t>
      </w:r>
      <w:r w:rsidRPr="001F6D41">
        <w:t xml:space="preserve">AGCOM – </w:t>
      </w:r>
      <w:r w:rsidRPr="001F6D41">
        <w:rPr>
          <w:b/>
          <w:bCs/>
        </w:rPr>
        <w:t xml:space="preserve">doc. </w:t>
      </w:r>
      <w:r w:rsidR="001F6D41" w:rsidRPr="001F6D41">
        <w:rPr>
          <w:b/>
          <w:bCs/>
        </w:rPr>
        <w:t>5)</w:t>
      </w:r>
      <w:r w:rsidRPr="001F6D41">
        <w:t>; le Compagnie</w:t>
      </w:r>
      <w:r w:rsidRPr="00655836">
        <w:t xml:space="preserve"> minori si spartiscono le residue quote.</w:t>
      </w:r>
    </w:p>
    <w:p w14:paraId="30D937B8" w14:textId="236FF2BC" w:rsidR="00CE2D44" w:rsidRPr="00655836" w:rsidRDefault="00CE2D44" w:rsidP="00CE2D44">
      <w:pPr>
        <w:ind w:firstLine="708"/>
        <w:contextualSpacing/>
      </w:pPr>
      <w:r w:rsidRPr="00655836">
        <w:t xml:space="preserve">Tale equilibrio di mercato si riverbera, statisticamente, anche all’interno del Comune di </w:t>
      </w:r>
      <w:r>
        <w:t>Francavilla al Mare</w:t>
      </w:r>
      <w:r w:rsidRPr="00655836">
        <w:t xml:space="preserve"> dove, conseguentemente e parallelamente, si è rilevato uno speculare decremento delle entrate comunali proprio per la progressiva diminuzione delle utenze riconducibili all’ex monopolista </w:t>
      </w:r>
      <w:r w:rsidRPr="00655836">
        <w:rPr>
          <w:b/>
          <w:bCs/>
          <w:u w:val="single"/>
        </w:rPr>
        <w:t>Tim/Telecom S.p.A./FiberCop che versa, ora, solo la quota di sua esclusiva spettanza e non già l’intero del dovuto.</w:t>
      </w:r>
    </w:p>
    <w:p w14:paraId="183B4884" w14:textId="77777777" w:rsidR="00CE2D44" w:rsidRPr="00655836" w:rsidRDefault="00CE2D44" w:rsidP="00CE2D44">
      <w:pPr>
        <w:ind w:firstLine="708"/>
        <w:contextualSpacing/>
      </w:pPr>
      <w:r w:rsidRPr="00655836">
        <w:lastRenderedPageBreak/>
        <w:t xml:space="preserve">Questa, dunque, la sintesi: con la prima versione del comma 831 sarebbe stato Tim/Telecom S.p.A. l’unico soggetto tenuto all’intero pagamento del canone unico, salvo il suo diritto di rivalsa nei confronti degli altri operatori che usufruivano delle sue infrastrutture; ed invece, </w:t>
      </w:r>
      <w:r w:rsidRPr="00655836">
        <w:rPr>
          <w:u w:val="single"/>
        </w:rPr>
        <w:t>con la modifica apportata dal Legislatore in sede di Legge di bilancio 2021</w:t>
      </w:r>
      <w:r w:rsidRPr="00655836">
        <w:t xml:space="preserve"> </w:t>
      </w:r>
      <w:r w:rsidRPr="00655836">
        <w:rPr>
          <w:u w:val="single"/>
        </w:rPr>
        <w:t>è stato disposto che anche gli altri operatori che usufruiscono dei canali di trasmissione dati, di proprietà Tim/Telecom S.p.A./FiberCop, debbano versare il relativo canone</w:t>
      </w:r>
      <w:r w:rsidRPr="00655836">
        <w:t xml:space="preserve"> (rapportato sempre al numero di utenze a loro riconducibili) considerandoli, quindi, </w:t>
      </w:r>
      <w:r w:rsidRPr="00655836">
        <w:rPr>
          <w:u w:val="single"/>
        </w:rPr>
        <w:t>soggetti passivi in via mediata</w:t>
      </w:r>
      <w:r w:rsidRPr="00655836">
        <w:t xml:space="preserve"> del tributo.</w:t>
      </w:r>
    </w:p>
    <w:p w14:paraId="3559AC0C" w14:textId="481C779F" w:rsidR="00CE2D44" w:rsidRPr="00655836" w:rsidRDefault="00CE2D44" w:rsidP="00CE2D44">
      <w:pPr>
        <w:ind w:firstLine="708"/>
        <w:contextualSpacing/>
      </w:pPr>
      <w:r w:rsidRPr="00655836">
        <w:t xml:space="preserve">Da qui l’incontestabile individuazione, da parte del Comune di </w:t>
      </w:r>
      <w:r>
        <w:t>Francavilla al Mare</w:t>
      </w:r>
      <w:r w:rsidRPr="00655836">
        <w:t>, in WIND TRE S.P.A. di uno dei soggetti passivamente tenuti al versamento del canone per cui è processo.</w:t>
      </w:r>
    </w:p>
    <w:p w14:paraId="4C2A15C3" w14:textId="77777777" w:rsidR="00CE2D44" w:rsidRPr="00655836" w:rsidRDefault="00CE2D44" w:rsidP="00CE2D44">
      <w:pPr>
        <w:ind w:firstLine="708"/>
        <w:contextualSpacing/>
      </w:pPr>
      <w:r w:rsidRPr="00655836">
        <w:t xml:space="preserve">Invero, la norma richiamata da WIND TRE S.P.A., secondo la quale la casistica della condivisione delle reti, come sopra esposta, ricadrebbe nell’ambito applicativo dell’interpretazione autentica del comma 831, successivamente introdotta dal Legislatore, riguarda altra e diversa fattispecie, </w:t>
      </w:r>
      <w:r w:rsidRPr="00655836">
        <w:rPr>
          <w:u w:val="single"/>
        </w:rPr>
        <w:t>ben distinta da quella oggi portata all’attenzione del Giudice.</w:t>
      </w:r>
    </w:p>
    <w:p w14:paraId="0591A5AC" w14:textId="77777777" w:rsidR="00CE2D44" w:rsidRPr="00655836" w:rsidRDefault="00CE2D44" w:rsidP="00CE2D44">
      <w:pPr>
        <w:ind w:firstLine="708"/>
        <w:contextualSpacing/>
      </w:pPr>
      <w:r w:rsidRPr="00655836">
        <w:t xml:space="preserve">Essa, infatti, è applicabile esclusivamente al caso in cui vi sia una </w:t>
      </w:r>
      <w:r w:rsidRPr="00655836">
        <w:rPr>
          <w:u w:val="single"/>
        </w:rPr>
        <w:t>netta separazione tra il soggetto proprietario delle infrastrutture ed il soggetto titolare del contratto di somministrazione del bene distribuito</w:t>
      </w:r>
      <w:r w:rsidRPr="00655836">
        <w:t xml:space="preserve"> attraverso le medesime infrastrutture.</w:t>
      </w:r>
    </w:p>
    <w:p w14:paraId="3F8D6411" w14:textId="77777777" w:rsidR="00CE2D44" w:rsidRPr="00655836" w:rsidRDefault="00CE2D44" w:rsidP="00CE2D44">
      <w:pPr>
        <w:ind w:firstLine="708"/>
        <w:contextualSpacing/>
      </w:pPr>
      <w:r w:rsidRPr="00655836">
        <w:t xml:space="preserve">Per meglio rappresentare come la disciplina novellata, dietro la quale WIND TRE S.P.A. vorrebbe trincerarsi, sia applicabile a diversa casistica, richiamiamo la normativa di cui all’art. 21 del </w:t>
      </w:r>
      <w:proofErr w:type="spellStart"/>
      <w:r w:rsidRPr="00655836">
        <w:t>D.Lgs.</w:t>
      </w:r>
      <w:proofErr w:type="spellEnd"/>
      <w:r w:rsidRPr="00655836">
        <w:t xml:space="preserve"> 23 maggio 2000 n. 164 concernente le disposizioni di attuazione della direttiva n. 98/30/CE inerente </w:t>
      </w:r>
      <w:proofErr w:type="gramStart"/>
      <w:r w:rsidRPr="00655836">
        <w:t>la</w:t>
      </w:r>
      <w:proofErr w:type="gramEnd"/>
      <w:r w:rsidRPr="00655836">
        <w:t xml:space="preserve"> </w:t>
      </w:r>
      <w:r w:rsidRPr="00655836">
        <w:rPr>
          <w:u w:val="single"/>
        </w:rPr>
        <w:t>distribuzione del gas</w:t>
      </w:r>
      <w:r w:rsidRPr="00655836">
        <w:t xml:space="preserve"> naturale e la normativa di cui all’art. 1 del </w:t>
      </w:r>
      <w:proofErr w:type="spellStart"/>
      <w:r w:rsidRPr="00655836">
        <w:t>D.Lgs.</w:t>
      </w:r>
      <w:proofErr w:type="spellEnd"/>
      <w:r w:rsidRPr="00655836">
        <w:t xml:space="preserve"> 18 giugno 2007 n. 73 convertita in legge n. 125 del 3 agosto 2007, con la quale sono state disposte misure urgenti per l’attuazione di disposizioni comunitarie in materia di </w:t>
      </w:r>
      <w:r w:rsidRPr="00655836">
        <w:rPr>
          <w:u w:val="single"/>
        </w:rPr>
        <w:t>liberalizzazione dei mercati dell’energia</w:t>
      </w:r>
      <w:r w:rsidRPr="00655836">
        <w:t>”.</w:t>
      </w:r>
    </w:p>
    <w:p w14:paraId="2E44BCF0" w14:textId="77777777" w:rsidR="00CE2D44" w:rsidRPr="00655836" w:rsidRDefault="00CE2D44" w:rsidP="00CE2D44">
      <w:pPr>
        <w:ind w:firstLine="708"/>
        <w:contextualSpacing/>
      </w:pPr>
      <w:r w:rsidRPr="00655836">
        <w:t xml:space="preserve">In tali tipi di distribuzione si assiste ad una </w:t>
      </w:r>
      <w:r w:rsidRPr="00655836">
        <w:rPr>
          <w:u w:val="single"/>
        </w:rPr>
        <w:t>netta separazione tra l’attività di distribuzione e quella di vendita</w:t>
      </w:r>
      <w:r w:rsidRPr="00655836">
        <w:t xml:space="preserve"> che si concreta nel fatto che il </w:t>
      </w:r>
      <w:r w:rsidRPr="00655836">
        <w:rPr>
          <w:u w:val="single"/>
        </w:rPr>
        <w:t>gas</w:t>
      </w:r>
      <w:r w:rsidRPr="00655836">
        <w:t xml:space="preserve"> o l’</w:t>
      </w:r>
      <w:r w:rsidRPr="00655836">
        <w:rPr>
          <w:u w:val="single"/>
        </w:rPr>
        <w:t>energia elettrica vengono distribuiti in rete da una determinata società</w:t>
      </w:r>
      <w:r w:rsidRPr="00655836">
        <w:t xml:space="preserve"> (per esempio Enel Distribuzione S.p.A.) ed </w:t>
      </w:r>
      <w:r w:rsidRPr="00655836">
        <w:rPr>
          <w:u w:val="single"/>
        </w:rPr>
        <w:t xml:space="preserve">una volta che sono “transitate” nell’infrastruttura </w:t>
      </w:r>
      <w:proofErr w:type="spellStart"/>
      <w:r w:rsidRPr="00655836">
        <w:rPr>
          <w:u w:val="single"/>
        </w:rPr>
        <w:t>concessionata</w:t>
      </w:r>
      <w:proofErr w:type="spellEnd"/>
      <w:r w:rsidRPr="00655836">
        <w:rPr>
          <w:u w:val="single"/>
        </w:rPr>
        <w:t xml:space="preserve"> di proprietà esclusiva di un soggetto, vengono commercializzate da altre società</w:t>
      </w:r>
      <w:r w:rsidRPr="00655836">
        <w:t xml:space="preserve"> per poi raggiungere l’utente finale.</w:t>
      </w:r>
    </w:p>
    <w:p w14:paraId="1E111815" w14:textId="77777777" w:rsidR="00CE2D44" w:rsidRPr="00655836" w:rsidRDefault="00CE2D44" w:rsidP="00CE2D44">
      <w:pPr>
        <w:ind w:firstLine="708"/>
        <w:contextualSpacing/>
      </w:pPr>
      <w:r w:rsidRPr="00655836">
        <w:t xml:space="preserve">Ma ciò non accade nel caso e nel </w:t>
      </w:r>
      <w:r w:rsidRPr="00655836">
        <w:rPr>
          <w:u w:val="single"/>
        </w:rPr>
        <w:t>settore delle telecomunicazioni</w:t>
      </w:r>
      <w:r w:rsidRPr="00655836">
        <w:t xml:space="preserve"> laddove il </w:t>
      </w:r>
      <w:r w:rsidRPr="00655836">
        <w:rPr>
          <w:u w:val="single"/>
        </w:rPr>
        <w:t>Legislatore</w:t>
      </w:r>
      <w:r w:rsidRPr="00655836">
        <w:t xml:space="preserve"> </w:t>
      </w:r>
      <w:r w:rsidRPr="00655836">
        <w:rPr>
          <w:b/>
          <w:bCs/>
          <w:u w:val="single"/>
        </w:rPr>
        <w:t>non impone una separazione</w:t>
      </w:r>
      <w:r w:rsidRPr="00655836">
        <w:t xml:space="preserve"> tra soggetto fornitore e soggetto che poi effettivamente vende il prodotto (come nel richiamato caso di gas od energia elettrica), </w:t>
      </w:r>
      <w:r w:rsidRPr="00655836">
        <w:rPr>
          <w:u w:val="single"/>
        </w:rPr>
        <w:t xml:space="preserve">ma </w:t>
      </w:r>
      <w:r w:rsidRPr="00655836">
        <w:rPr>
          <w:u w:val="single"/>
        </w:rPr>
        <w:lastRenderedPageBreak/>
        <w:t>anzi impone e normativamente incentiva la condivisione delle reti/infrastrutture</w:t>
      </w:r>
      <w:r w:rsidRPr="00655836">
        <w:t xml:space="preserve"> e ciò anche in attuazione di precise direttive comunitarie.</w:t>
      </w:r>
    </w:p>
    <w:p w14:paraId="10D5AFC1" w14:textId="77777777" w:rsidR="00CE2D44" w:rsidRPr="00655836" w:rsidRDefault="00CE2D44" w:rsidP="00CE2D44">
      <w:pPr>
        <w:ind w:firstLine="708"/>
        <w:contextualSpacing/>
      </w:pPr>
      <w:r w:rsidRPr="00655836">
        <w:rPr>
          <w:u w:val="single"/>
        </w:rPr>
        <w:t>Questa è la ragione</w:t>
      </w:r>
      <w:r w:rsidRPr="00655836">
        <w:t xml:space="preserve"> per la quale il Legislatore ha appositamente previsto, per questa sola ipotesi di condivisione delle infrastrutture, il concetto applicativo di </w:t>
      </w:r>
      <w:r w:rsidRPr="00655836">
        <w:rPr>
          <w:u w:val="single"/>
        </w:rPr>
        <w:t>soggettività passiva mediata</w:t>
      </w:r>
      <w:r w:rsidRPr="00655836">
        <w:t>.</w:t>
      </w:r>
    </w:p>
    <w:p w14:paraId="70C43595" w14:textId="77777777" w:rsidR="00CE2D44" w:rsidRPr="00655836" w:rsidRDefault="00CE2D44" w:rsidP="00CE2D44">
      <w:pPr>
        <w:ind w:firstLine="708"/>
        <w:contextualSpacing/>
      </w:pPr>
      <w:r w:rsidRPr="00655836">
        <w:t xml:space="preserve">Con la conseguenza che la normativa di cui all’art. </w:t>
      </w:r>
      <w:r w:rsidRPr="00655836">
        <w:rPr>
          <w:u w:val="single"/>
        </w:rPr>
        <w:t>5 comma 14 quinquies</w:t>
      </w:r>
      <w:r w:rsidRPr="00655836">
        <w:t xml:space="preserve"> </w:t>
      </w:r>
      <w:r w:rsidRPr="00655836">
        <w:rPr>
          <w:u w:val="single"/>
        </w:rPr>
        <w:t>del D.L. 146/2021,</w:t>
      </w:r>
      <w:r w:rsidRPr="00655836">
        <w:t xml:space="preserve"> richiamata da WIND TRE S.P.A., </w:t>
      </w:r>
      <w:r w:rsidRPr="00655836">
        <w:rPr>
          <w:u w:val="single"/>
        </w:rPr>
        <w:t>è applicabile e/o riferibile esclusivamente ai casi in cui si deve attuare, per legge, una fisica separazione tra il soggetto titolare dell’infrastruttura ed il soggetto titolare del contratto di vendita del bene che, poi, distribuirà al cliente finale</w:t>
      </w:r>
      <w:r w:rsidRPr="00655836">
        <w:t>.</w:t>
      </w:r>
    </w:p>
    <w:p w14:paraId="3248975B" w14:textId="77777777" w:rsidR="00CE2D44" w:rsidRPr="00655836" w:rsidRDefault="00CE2D44" w:rsidP="00CE2D44">
      <w:pPr>
        <w:ind w:firstLine="708"/>
        <w:contextualSpacing/>
      </w:pPr>
      <w:r w:rsidRPr="00655836">
        <w:t>Inoltre, con la novella dell’anno 2021 il Legislatore nuovamente intervenendo nella disciplina di cui al comma 831 ha stabilito che: “</w:t>
      </w:r>
      <w:r w:rsidRPr="00655836">
        <w:rPr>
          <w:i/>
          <w:iCs/>
        </w:rPr>
        <w:t xml:space="preserve">il comma 831 dell’articolo 1 della Legge 27 dicembre 2019 n. 160 si interpreta nel senso che: a) per le occupazioni permanenti di suolo pubblico effettuate nei settori </w:t>
      </w:r>
      <w:r w:rsidRPr="00655836">
        <w:rPr>
          <w:b/>
          <w:bCs/>
          <w:i/>
          <w:iCs/>
          <w:u w:val="single"/>
        </w:rPr>
        <w:t>in cui è prevista una separazione</w:t>
      </w:r>
      <w:r w:rsidRPr="00655836">
        <w:rPr>
          <w:i/>
          <w:iCs/>
        </w:rPr>
        <w:t xml:space="preserve">, in ragione di assetti normativi regolamentari o contrattuali </w:t>
      </w:r>
      <w:r w:rsidRPr="00655836">
        <w:rPr>
          <w:b/>
          <w:bCs/>
          <w:i/>
          <w:iCs/>
          <w:u w:val="single"/>
        </w:rPr>
        <w:t xml:space="preserve">tra i soggetti titolari delle infrastrutture ed i soggetti titolari del contratto di vendita del bene distribuito alla </w:t>
      </w:r>
      <w:r w:rsidRPr="00655836">
        <w:rPr>
          <w:b/>
          <w:bCs/>
          <w:i/>
          <w:iCs/>
        </w:rPr>
        <w:t>clientela finale</w:t>
      </w:r>
      <w:r w:rsidRPr="00655836">
        <w:rPr>
          <w:i/>
          <w:iCs/>
        </w:rPr>
        <w:t xml:space="preserve">, </w:t>
      </w:r>
      <w:r w:rsidRPr="00655836">
        <w:rPr>
          <w:b/>
          <w:bCs/>
          <w:i/>
          <w:iCs/>
          <w:u w:val="single"/>
        </w:rPr>
        <w:t>non configurandosi alcuna occupazione in via mediata</w:t>
      </w:r>
      <w:r w:rsidRPr="00655836">
        <w:rPr>
          <w:i/>
          <w:iCs/>
        </w:rPr>
        <w:t xml:space="preserve"> ed alcun utilizzo materiale delle infrastrutture da parte della società di vendita, </w:t>
      </w:r>
      <w:r w:rsidRPr="00655836">
        <w:rPr>
          <w:b/>
          <w:bCs/>
          <w:i/>
          <w:iCs/>
          <w:u w:val="single"/>
        </w:rPr>
        <w:t>il canone è dovuto esclusivamente dal soggetto titolare</w:t>
      </w:r>
      <w:r w:rsidRPr="00655836">
        <w:rPr>
          <w:b/>
          <w:bCs/>
          <w:i/>
          <w:iCs/>
        </w:rPr>
        <w:t xml:space="preserve"> </w:t>
      </w:r>
      <w:r w:rsidRPr="00655836">
        <w:rPr>
          <w:b/>
          <w:bCs/>
          <w:i/>
          <w:iCs/>
          <w:u w:val="single"/>
        </w:rPr>
        <w:t>dell’atto concessione</w:t>
      </w:r>
      <w:r w:rsidRPr="00655836">
        <w:rPr>
          <w:i/>
          <w:iCs/>
        </w:rPr>
        <w:t xml:space="preserve"> delle infrastrutture, in base alle utenze delle predette società di vendita”.</w:t>
      </w:r>
    </w:p>
    <w:p w14:paraId="25E34C36" w14:textId="77777777" w:rsidR="00CE2D44" w:rsidRPr="00655836" w:rsidRDefault="00CE2D44" w:rsidP="00CE2D44">
      <w:pPr>
        <w:ind w:firstLine="708"/>
        <w:contextualSpacing/>
      </w:pPr>
      <w:r w:rsidRPr="00655836">
        <w:rPr>
          <w:b/>
          <w:bCs/>
        </w:rPr>
        <w:t>MA</w:t>
      </w:r>
      <w:r w:rsidRPr="00655836">
        <w:t xml:space="preserve"> questa è norma, come anticipato, </w:t>
      </w:r>
      <w:r w:rsidRPr="00655836">
        <w:rPr>
          <w:u w:val="single"/>
        </w:rPr>
        <w:t>valevole solo per i mercati di</w:t>
      </w:r>
      <w:r w:rsidRPr="00655836">
        <w:t xml:space="preserve"> vendita/commercializzazione del </w:t>
      </w:r>
      <w:r w:rsidRPr="00655836">
        <w:rPr>
          <w:u w:val="single"/>
        </w:rPr>
        <w:t xml:space="preserve">gas e dell’energia elettrica e </w:t>
      </w:r>
      <w:r w:rsidRPr="00655836">
        <w:rPr>
          <w:b/>
          <w:bCs/>
          <w:u w:val="single"/>
        </w:rPr>
        <w:t>non già per il settore della telefonia</w:t>
      </w:r>
      <w:r w:rsidRPr="00655836">
        <w:t xml:space="preserve"> e trasmissione dati </w:t>
      </w:r>
      <w:r w:rsidRPr="00655836">
        <w:rPr>
          <w:u w:val="single"/>
        </w:rPr>
        <w:t>nel quale</w:t>
      </w:r>
      <w:r w:rsidRPr="00655836">
        <w:t xml:space="preserve">, non solo per espressa volontà normativa nazionale ma anche per volontà comunitaria, </w:t>
      </w:r>
      <w:r w:rsidRPr="00655836">
        <w:rPr>
          <w:u w:val="single"/>
        </w:rPr>
        <w:t>deve esistere</w:t>
      </w:r>
      <w:r w:rsidRPr="00655836">
        <w:t xml:space="preserve">, come in effetti esiste, </w:t>
      </w:r>
      <w:r w:rsidRPr="00655836">
        <w:rPr>
          <w:b/>
          <w:bCs/>
          <w:u w:val="single"/>
        </w:rPr>
        <w:t>condivisione</w:t>
      </w:r>
      <w:r w:rsidRPr="00655836">
        <w:t xml:space="preserve"> delle infrastrutture e delle reti.</w:t>
      </w:r>
    </w:p>
    <w:p w14:paraId="1BEF7867" w14:textId="77777777" w:rsidR="00CE2D44" w:rsidRPr="00655836" w:rsidRDefault="00CE2D44" w:rsidP="00CE2D44">
      <w:pPr>
        <w:ind w:firstLine="708"/>
        <w:contextualSpacing/>
      </w:pPr>
      <w:r w:rsidRPr="00655836">
        <w:t>Del resto, è la stessa WIND TRE S.P.A. nella narrativa del proprio atto a descrivere le modalità operative di condivisione delle infrastrutture e le modalità tecniche di collegamento che prevedono che l’operatore sia presente (non sul suolo pubblico ma esclusivamente nella centrale TIM con apposito kit di consegna). Attraverso tale modalità l’operatore (WIND TRE S.P.A.) si avvale dell’intera tratta che va dalla centrale (sede OLT/PDI) alle abitazioni dei clienti, indipendentemente dall’architettura posta “a valle” della centrale (FTTC: Fiber to the Cabinet / FTTH: Fiber to the Home). Il traffico generato dai clienti viene consegnato all’operatore a livello di centrale, tramite un kit (accesso) dedicato all’operatore che ne ha fatto richiesta.</w:t>
      </w:r>
    </w:p>
    <w:p w14:paraId="4CEAD784" w14:textId="77777777" w:rsidR="00CE2D44" w:rsidRPr="00655836" w:rsidRDefault="00CE2D44" w:rsidP="00CE2D44">
      <w:pPr>
        <w:ind w:firstLine="708"/>
        <w:contextualSpacing/>
      </w:pPr>
      <w:r w:rsidRPr="00655836">
        <w:t xml:space="preserve">La natura stessa dell’infrastruttura vuole, quindi, una compresenza di più operatori che agiscono sulla/nella rete TIM/FiberCop S.p.A. che utilizza, anch’essa, la rete insieme ai </w:t>
      </w:r>
      <w:r w:rsidRPr="00655836">
        <w:lastRenderedPageBreak/>
        <w:t xml:space="preserve">suoi competitors; </w:t>
      </w:r>
      <w:r w:rsidRPr="00655836">
        <w:rPr>
          <w:u w:val="single"/>
        </w:rPr>
        <w:t>ciò differentemente da quanto accade nel caso delle società proprietarie della rete di distribuzione del gas o dell’energia elettrica che non possono, per legge, direttamente vendere il prodotto agli utenti finali,</w:t>
      </w:r>
      <w:r w:rsidRPr="00655836">
        <w:t xml:space="preserve"> dovendosi invece rivolgere ad altre società che effettuano (solo loro) la vendita, per commercializzare il prodotto veicolato nelle proprie infrastrutture (gas/energia elettrica).</w:t>
      </w:r>
    </w:p>
    <w:p w14:paraId="685AC375" w14:textId="77777777" w:rsidR="00CE2D44" w:rsidRPr="00655836" w:rsidRDefault="00CE2D44" w:rsidP="00CE2D44">
      <w:pPr>
        <w:ind w:firstLine="708"/>
        <w:contextualSpacing/>
      </w:pPr>
      <w:r w:rsidRPr="00655836">
        <w:t>Di seguito uno schema riassuntivo sulla differenza di utilizzo della rete tra le società di TLC e le società che commercializzano Gas ed Energia.</w:t>
      </w:r>
    </w:p>
    <w:p w14:paraId="7D095DE8" w14:textId="77777777" w:rsidR="00CE2D44" w:rsidRPr="00655836" w:rsidRDefault="00CE2D44" w:rsidP="00CE2D44">
      <w:pPr>
        <w:contextualSpacing/>
      </w:pPr>
    </w:p>
    <w:tbl>
      <w:tblPr>
        <w:tblW w:w="98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93"/>
        <w:gridCol w:w="3617"/>
        <w:gridCol w:w="3678"/>
      </w:tblGrid>
      <w:tr w:rsidR="00CE2D44" w:rsidRPr="00655836" w14:paraId="084A65C4" w14:textId="77777777" w:rsidTr="001C1B59">
        <w:tc>
          <w:tcPr>
            <w:tcW w:w="9888" w:type="dxa"/>
            <w:gridSpan w:val="3"/>
            <w:tcBorders>
              <w:top w:val="single" w:sz="8" w:space="0" w:color="1F4E79"/>
              <w:left w:val="single" w:sz="8" w:space="0" w:color="1F4E79"/>
              <w:bottom w:val="single" w:sz="8" w:space="0" w:color="1F4E79"/>
              <w:right w:val="single" w:sz="8" w:space="0" w:color="1F4E79"/>
            </w:tcBorders>
            <w:shd w:val="clear" w:color="auto" w:fill="1F4E79"/>
            <w:vAlign w:val="center"/>
          </w:tcPr>
          <w:p w14:paraId="6B647787" w14:textId="77777777" w:rsidR="00CE2D44" w:rsidRPr="00655836" w:rsidRDefault="00CE2D44" w:rsidP="001C1B59">
            <w:pPr>
              <w:contextualSpacing/>
            </w:pPr>
            <w:r w:rsidRPr="00655836">
              <w:rPr>
                <w:b/>
                <w:bCs/>
              </w:rPr>
              <w:t>SERVIZI DI RETE — Schema comparativo</w:t>
            </w:r>
          </w:p>
        </w:tc>
      </w:tr>
      <w:tr w:rsidR="00CE2D44" w:rsidRPr="00655836" w14:paraId="7B256C27" w14:textId="77777777" w:rsidTr="001C1B59">
        <w:tc>
          <w:tcPr>
            <w:tcW w:w="2593" w:type="dxa"/>
            <w:tcBorders>
              <w:top w:val="single" w:sz="4" w:space="0" w:color="BFBFBF"/>
              <w:left w:val="single" w:sz="4" w:space="0" w:color="BFBFBF"/>
              <w:bottom w:val="single" w:sz="4" w:space="0" w:color="BFBFBF"/>
              <w:right w:val="single" w:sz="4" w:space="0" w:color="BFBFBF"/>
            </w:tcBorders>
            <w:shd w:val="clear" w:color="auto" w:fill="1F4E79"/>
            <w:vAlign w:val="center"/>
          </w:tcPr>
          <w:p w14:paraId="292EBD16" w14:textId="77777777" w:rsidR="00CE2D44" w:rsidRPr="00655836" w:rsidRDefault="00CE2D44" w:rsidP="001C1B59">
            <w:pPr>
              <w:contextualSpacing/>
            </w:pPr>
            <w:r w:rsidRPr="00655836">
              <w:rPr>
                <w:b/>
                <w:bCs/>
              </w:rPr>
              <w:t>CRITERIO</w:t>
            </w:r>
          </w:p>
        </w:tc>
        <w:tc>
          <w:tcPr>
            <w:tcW w:w="3617" w:type="dxa"/>
            <w:tcBorders>
              <w:top w:val="single" w:sz="4" w:space="0" w:color="BFBFBF"/>
              <w:bottom w:val="single" w:sz="4" w:space="0" w:color="BFBFBF"/>
              <w:right w:val="single" w:sz="4" w:space="0" w:color="BFBFBF"/>
            </w:tcBorders>
            <w:shd w:val="clear" w:color="auto" w:fill="2E75B6"/>
            <w:vAlign w:val="center"/>
          </w:tcPr>
          <w:p w14:paraId="0118C745" w14:textId="77777777" w:rsidR="00CE2D44" w:rsidRPr="00655836" w:rsidRDefault="00CE2D44" w:rsidP="001C1B59">
            <w:pPr>
              <w:contextualSpacing/>
            </w:pPr>
            <w:r w:rsidRPr="00655836">
              <w:rPr>
                <w:b/>
                <w:bCs/>
              </w:rPr>
              <w:t>Società Telefoniche Uso mediato delle reti</w:t>
            </w:r>
          </w:p>
        </w:tc>
        <w:tc>
          <w:tcPr>
            <w:tcW w:w="3678" w:type="dxa"/>
            <w:tcBorders>
              <w:top w:val="single" w:sz="4" w:space="0" w:color="BFBFBF"/>
              <w:bottom w:val="single" w:sz="4" w:space="0" w:color="BFBFBF"/>
              <w:right w:val="single" w:sz="4" w:space="0" w:color="BFBFBF"/>
            </w:tcBorders>
            <w:shd w:val="clear" w:color="auto" w:fill="C55A11"/>
            <w:vAlign w:val="center"/>
          </w:tcPr>
          <w:p w14:paraId="2EA1401D" w14:textId="77777777" w:rsidR="00CE2D44" w:rsidRPr="00655836" w:rsidRDefault="00CE2D44" w:rsidP="001C1B59">
            <w:pPr>
              <w:contextualSpacing/>
            </w:pPr>
            <w:r w:rsidRPr="00655836">
              <w:rPr>
                <w:b/>
                <w:bCs/>
              </w:rPr>
              <w:t>Società di vendita gas/energia Nessun uso delle reti</w:t>
            </w:r>
          </w:p>
        </w:tc>
      </w:tr>
      <w:tr w:rsidR="00CE2D44" w:rsidRPr="00655836" w14:paraId="70713167" w14:textId="77777777" w:rsidTr="001C1B59">
        <w:tc>
          <w:tcPr>
            <w:tcW w:w="2593" w:type="dxa"/>
            <w:tcBorders>
              <w:left w:val="single" w:sz="4" w:space="0" w:color="BFBFBF"/>
              <w:bottom w:val="single" w:sz="4" w:space="0" w:color="BFBFBF"/>
              <w:right w:val="single" w:sz="4" w:space="0" w:color="BFBFBF"/>
            </w:tcBorders>
            <w:shd w:val="clear" w:color="auto" w:fill="DEEAF1"/>
            <w:vAlign w:val="center"/>
          </w:tcPr>
          <w:p w14:paraId="65B314C8" w14:textId="77777777" w:rsidR="00CE2D44" w:rsidRPr="00655836" w:rsidRDefault="00CE2D44" w:rsidP="001C1B59">
            <w:pPr>
              <w:contextualSpacing/>
            </w:pPr>
            <w:r w:rsidRPr="00655836">
              <w:rPr>
                <w:b/>
                <w:bCs/>
              </w:rPr>
              <w:t>Cosa passa nella rete</w:t>
            </w:r>
          </w:p>
        </w:tc>
        <w:tc>
          <w:tcPr>
            <w:tcW w:w="3617" w:type="dxa"/>
            <w:tcBorders>
              <w:bottom w:val="single" w:sz="4" w:space="0" w:color="BFBFBF"/>
              <w:right w:val="single" w:sz="4" w:space="0" w:color="BFBFBF"/>
            </w:tcBorders>
            <w:shd w:val="clear" w:color="auto" w:fill="D6E4F0"/>
            <w:vAlign w:val="center"/>
          </w:tcPr>
          <w:p w14:paraId="22312196" w14:textId="77777777" w:rsidR="00CE2D44" w:rsidRPr="00655836" w:rsidRDefault="00CE2D44" w:rsidP="001C1B59">
            <w:pPr>
              <w:contextualSpacing/>
            </w:pPr>
            <w:r w:rsidRPr="00655836">
              <w:t>Oltre al segnale del concessionario, anche il segnale delle altre società operatori (Wind, Vodafone, FASTWEB ecc.)</w:t>
            </w:r>
          </w:p>
        </w:tc>
        <w:tc>
          <w:tcPr>
            <w:tcW w:w="3678" w:type="dxa"/>
            <w:tcBorders>
              <w:bottom w:val="single" w:sz="4" w:space="0" w:color="BFBFBF"/>
              <w:right w:val="single" w:sz="4" w:space="0" w:color="BFBFBF"/>
            </w:tcBorders>
            <w:shd w:val="clear" w:color="auto" w:fill="FCE4D6"/>
            <w:vAlign w:val="center"/>
          </w:tcPr>
          <w:p w14:paraId="51E244AB" w14:textId="77777777" w:rsidR="00CE2D44" w:rsidRPr="00655836" w:rsidRDefault="00CE2D44" w:rsidP="001C1B59">
            <w:pPr>
              <w:contextualSpacing/>
            </w:pPr>
            <w:r w:rsidRPr="00655836">
              <w:t>Gas riconducibile solo al gestore della rete</w:t>
            </w:r>
          </w:p>
        </w:tc>
      </w:tr>
      <w:tr w:rsidR="00CE2D44" w:rsidRPr="00655836" w14:paraId="70DF8181" w14:textId="77777777" w:rsidTr="001C1B59">
        <w:tc>
          <w:tcPr>
            <w:tcW w:w="2593" w:type="dxa"/>
            <w:tcBorders>
              <w:left w:val="single" w:sz="4" w:space="0" w:color="BFBFBF"/>
              <w:bottom w:val="single" w:sz="4" w:space="0" w:color="BFBFBF"/>
              <w:right w:val="single" w:sz="4" w:space="0" w:color="BFBFBF"/>
            </w:tcBorders>
            <w:shd w:val="clear" w:color="auto" w:fill="DEEAF1"/>
            <w:vAlign w:val="center"/>
          </w:tcPr>
          <w:p w14:paraId="41814217" w14:textId="77777777" w:rsidR="00CE2D44" w:rsidRPr="00655836" w:rsidRDefault="00CE2D44" w:rsidP="001C1B59">
            <w:pPr>
              <w:contextualSpacing/>
            </w:pPr>
            <w:r w:rsidRPr="00655836">
              <w:rPr>
                <w:b/>
                <w:bCs/>
              </w:rPr>
              <w:t>Titolarità del contenuto trasportato</w:t>
            </w:r>
          </w:p>
        </w:tc>
        <w:tc>
          <w:tcPr>
            <w:tcW w:w="3617" w:type="dxa"/>
            <w:tcBorders>
              <w:bottom w:val="single" w:sz="4" w:space="0" w:color="BFBFBF"/>
              <w:right w:val="single" w:sz="4" w:space="0" w:color="BFBFBF"/>
            </w:tcBorders>
            <w:shd w:val="clear" w:color="auto" w:fill="D6E4F0"/>
            <w:vAlign w:val="center"/>
          </w:tcPr>
          <w:p w14:paraId="16D147FF" w14:textId="77777777" w:rsidR="00CE2D44" w:rsidRPr="00655836" w:rsidRDefault="00CE2D44" w:rsidP="001C1B59">
            <w:pPr>
              <w:contextualSpacing/>
            </w:pPr>
            <w:r w:rsidRPr="00655836">
              <w:t>Società Telefoniche (Wind, Vodafone, FASTWEB ecc.)</w:t>
            </w:r>
          </w:p>
        </w:tc>
        <w:tc>
          <w:tcPr>
            <w:tcW w:w="3678" w:type="dxa"/>
            <w:tcBorders>
              <w:bottom w:val="single" w:sz="4" w:space="0" w:color="BFBFBF"/>
              <w:right w:val="single" w:sz="4" w:space="0" w:color="BFBFBF"/>
            </w:tcBorders>
            <w:shd w:val="clear" w:color="auto" w:fill="FCE4D6"/>
            <w:vAlign w:val="center"/>
          </w:tcPr>
          <w:p w14:paraId="75C3BABB" w14:textId="77777777" w:rsidR="00CE2D44" w:rsidRPr="00655836" w:rsidRDefault="00CE2D44" w:rsidP="001C1B59">
            <w:pPr>
              <w:contextualSpacing/>
            </w:pPr>
            <w:r w:rsidRPr="00655836">
              <w:t>Gestore della rete</w:t>
            </w:r>
          </w:p>
        </w:tc>
      </w:tr>
      <w:tr w:rsidR="00CE2D44" w:rsidRPr="00655836" w14:paraId="3ACA40EE" w14:textId="77777777" w:rsidTr="001C1B59">
        <w:tc>
          <w:tcPr>
            <w:tcW w:w="2593" w:type="dxa"/>
            <w:tcBorders>
              <w:left w:val="single" w:sz="4" w:space="0" w:color="BFBFBF"/>
              <w:bottom w:val="single" w:sz="4" w:space="0" w:color="BFBFBF"/>
              <w:right w:val="single" w:sz="4" w:space="0" w:color="BFBFBF"/>
            </w:tcBorders>
            <w:shd w:val="clear" w:color="auto" w:fill="DEEAF1"/>
            <w:vAlign w:val="center"/>
          </w:tcPr>
          <w:p w14:paraId="49782F85" w14:textId="77777777" w:rsidR="00CE2D44" w:rsidRPr="00655836" w:rsidRDefault="00CE2D44" w:rsidP="001C1B59">
            <w:pPr>
              <w:contextualSpacing/>
            </w:pPr>
            <w:r w:rsidRPr="00655836">
              <w:rPr>
                <w:b/>
                <w:bCs/>
              </w:rPr>
              <w:t>Ruolo del soggetto</w:t>
            </w:r>
          </w:p>
        </w:tc>
        <w:tc>
          <w:tcPr>
            <w:tcW w:w="3617" w:type="dxa"/>
            <w:tcBorders>
              <w:bottom w:val="single" w:sz="4" w:space="0" w:color="BFBFBF"/>
              <w:right w:val="single" w:sz="4" w:space="0" w:color="BFBFBF"/>
            </w:tcBorders>
            <w:shd w:val="clear" w:color="auto" w:fill="D6E4F0"/>
            <w:vAlign w:val="center"/>
          </w:tcPr>
          <w:p w14:paraId="22C3CC52" w14:textId="77777777" w:rsidR="00CE2D44" w:rsidRPr="00655836" w:rsidRDefault="00CE2D44" w:rsidP="001C1B59">
            <w:pPr>
              <w:contextualSpacing/>
            </w:pPr>
            <w:r w:rsidRPr="00655836">
              <w:t>Fornitore del servizio e utilizzatore dell’infrastruttura</w:t>
            </w:r>
          </w:p>
        </w:tc>
        <w:tc>
          <w:tcPr>
            <w:tcW w:w="3678" w:type="dxa"/>
            <w:tcBorders>
              <w:bottom w:val="single" w:sz="4" w:space="0" w:color="BFBFBF"/>
              <w:right w:val="single" w:sz="4" w:space="0" w:color="BFBFBF"/>
            </w:tcBorders>
            <w:shd w:val="clear" w:color="auto" w:fill="FCE4D6"/>
            <w:vAlign w:val="center"/>
          </w:tcPr>
          <w:p w14:paraId="4C8238CF" w14:textId="77777777" w:rsidR="00CE2D44" w:rsidRPr="00655836" w:rsidRDefault="00CE2D44" w:rsidP="001C1B59">
            <w:pPr>
              <w:contextualSpacing/>
            </w:pPr>
            <w:r w:rsidRPr="00655836">
              <w:t>Venditore commerciale del prodotto</w:t>
            </w:r>
          </w:p>
        </w:tc>
      </w:tr>
      <w:tr w:rsidR="00CE2D44" w:rsidRPr="00655836" w14:paraId="3CC23071" w14:textId="77777777" w:rsidTr="001C1B59">
        <w:tc>
          <w:tcPr>
            <w:tcW w:w="2593" w:type="dxa"/>
            <w:tcBorders>
              <w:left w:val="single" w:sz="4" w:space="0" w:color="BFBFBF"/>
              <w:bottom w:val="single" w:sz="4" w:space="0" w:color="BFBFBF"/>
              <w:right w:val="single" w:sz="4" w:space="0" w:color="BFBFBF"/>
            </w:tcBorders>
            <w:shd w:val="clear" w:color="auto" w:fill="DEEAF1"/>
            <w:vAlign w:val="center"/>
          </w:tcPr>
          <w:p w14:paraId="7C29BB3B" w14:textId="77777777" w:rsidR="00CE2D44" w:rsidRPr="00655836" w:rsidRDefault="00CE2D44" w:rsidP="001C1B59">
            <w:pPr>
              <w:contextualSpacing/>
            </w:pPr>
            <w:r w:rsidRPr="00655836">
              <w:rPr>
                <w:b/>
                <w:bCs/>
              </w:rPr>
              <w:t>Rapporto con il suolo pubblico</w:t>
            </w:r>
          </w:p>
        </w:tc>
        <w:tc>
          <w:tcPr>
            <w:tcW w:w="3617" w:type="dxa"/>
            <w:tcBorders>
              <w:bottom w:val="single" w:sz="4" w:space="0" w:color="BFBFBF"/>
              <w:right w:val="single" w:sz="4" w:space="0" w:color="BFBFBF"/>
            </w:tcBorders>
            <w:shd w:val="clear" w:color="auto" w:fill="D6E4F0"/>
            <w:vAlign w:val="center"/>
          </w:tcPr>
          <w:p w14:paraId="6800BF4A" w14:textId="77777777" w:rsidR="00CE2D44" w:rsidRPr="00655836" w:rsidRDefault="00CE2D44" w:rsidP="001C1B59">
            <w:pPr>
              <w:contextualSpacing/>
            </w:pPr>
            <w:r w:rsidRPr="00655836">
              <w:t>Concreto, funzionale, strumentale</w:t>
            </w:r>
          </w:p>
        </w:tc>
        <w:tc>
          <w:tcPr>
            <w:tcW w:w="3678" w:type="dxa"/>
            <w:tcBorders>
              <w:bottom w:val="single" w:sz="4" w:space="0" w:color="BFBFBF"/>
              <w:right w:val="single" w:sz="4" w:space="0" w:color="BFBFBF"/>
            </w:tcBorders>
            <w:shd w:val="clear" w:color="auto" w:fill="FCE4D6"/>
            <w:vAlign w:val="center"/>
          </w:tcPr>
          <w:p w14:paraId="7FB779A2" w14:textId="77777777" w:rsidR="00CE2D44" w:rsidRPr="00655836" w:rsidRDefault="00CE2D44" w:rsidP="001C1B59">
            <w:pPr>
              <w:contextualSpacing/>
            </w:pPr>
            <w:r w:rsidRPr="00655836">
              <w:t>Assente</w:t>
            </w:r>
          </w:p>
        </w:tc>
      </w:tr>
      <w:tr w:rsidR="00CE2D44" w:rsidRPr="00655836" w14:paraId="366E9D66" w14:textId="77777777" w:rsidTr="001C1B59">
        <w:tc>
          <w:tcPr>
            <w:tcW w:w="2593" w:type="dxa"/>
            <w:tcBorders>
              <w:left w:val="single" w:sz="4" w:space="0" w:color="BFBFBF"/>
              <w:bottom w:val="single" w:sz="4" w:space="0" w:color="BFBFBF"/>
              <w:right w:val="single" w:sz="4" w:space="0" w:color="BFBFBF"/>
            </w:tcBorders>
            <w:shd w:val="clear" w:color="auto" w:fill="DEEAF1"/>
            <w:vAlign w:val="center"/>
          </w:tcPr>
          <w:p w14:paraId="00C92ACF" w14:textId="77777777" w:rsidR="00CE2D44" w:rsidRPr="00655836" w:rsidRDefault="00CE2D44" w:rsidP="001C1B59">
            <w:pPr>
              <w:contextualSpacing/>
            </w:pPr>
            <w:r w:rsidRPr="00655836">
              <w:rPr>
                <w:b/>
                <w:bCs/>
              </w:rPr>
              <w:t>Tipo di attività</w:t>
            </w:r>
          </w:p>
        </w:tc>
        <w:tc>
          <w:tcPr>
            <w:tcW w:w="3617" w:type="dxa"/>
            <w:tcBorders>
              <w:bottom w:val="single" w:sz="4" w:space="0" w:color="BFBFBF"/>
              <w:right w:val="single" w:sz="4" w:space="0" w:color="BFBFBF"/>
            </w:tcBorders>
            <w:shd w:val="clear" w:color="auto" w:fill="D6E4F0"/>
            <w:vAlign w:val="center"/>
          </w:tcPr>
          <w:p w14:paraId="407BECD0" w14:textId="77777777" w:rsidR="00CE2D44" w:rsidRPr="00655836" w:rsidRDefault="00CE2D44" w:rsidP="001C1B59">
            <w:pPr>
              <w:contextualSpacing/>
            </w:pPr>
            <w:r w:rsidRPr="00655836">
              <w:t>Tecnica + commerciale</w:t>
            </w:r>
          </w:p>
        </w:tc>
        <w:tc>
          <w:tcPr>
            <w:tcW w:w="3678" w:type="dxa"/>
            <w:tcBorders>
              <w:bottom w:val="single" w:sz="4" w:space="0" w:color="BFBFBF"/>
              <w:right w:val="single" w:sz="4" w:space="0" w:color="BFBFBF"/>
            </w:tcBorders>
            <w:shd w:val="clear" w:color="auto" w:fill="FCE4D6"/>
            <w:vAlign w:val="center"/>
          </w:tcPr>
          <w:p w14:paraId="6D38C872" w14:textId="77777777" w:rsidR="00CE2D44" w:rsidRPr="00655836" w:rsidRDefault="00CE2D44" w:rsidP="001C1B59">
            <w:pPr>
              <w:contextualSpacing/>
            </w:pPr>
            <w:r w:rsidRPr="00655836">
              <w:t>Solo commerciale</w:t>
            </w:r>
          </w:p>
        </w:tc>
      </w:tr>
      <w:tr w:rsidR="00CE2D44" w:rsidRPr="00655836" w14:paraId="52EA3E39" w14:textId="77777777" w:rsidTr="001C1B59">
        <w:tc>
          <w:tcPr>
            <w:tcW w:w="2593" w:type="dxa"/>
            <w:tcBorders>
              <w:left w:val="single" w:sz="4" w:space="0" w:color="BFBFBF"/>
              <w:bottom w:val="single" w:sz="4" w:space="0" w:color="BFBFBF"/>
              <w:right w:val="single" w:sz="4" w:space="0" w:color="BFBFBF"/>
            </w:tcBorders>
            <w:shd w:val="clear" w:color="auto" w:fill="DEEAF1"/>
            <w:vAlign w:val="center"/>
          </w:tcPr>
          <w:p w14:paraId="4C991FC1" w14:textId="77777777" w:rsidR="00CE2D44" w:rsidRPr="00655836" w:rsidRDefault="00CE2D44" w:rsidP="001C1B59">
            <w:pPr>
              <w:contextualSpacing/>
            </w:pPr>
            <w:r w:rsidRPr="00655836">
              <w:rPr>
                <w:b/>
                <w:bCs/>
              </w:rPr>
              <w:t>Uso della rete</w:t>
            </w:r>
          </w:p>
        </w:tc>
        <w:tc>
          <w:tcPr>
            <w:tcW w:w="3617" w:type="dxa"/>
            <w:tcBorders>
              <w:bottom w:val="single" w:sz="4" w:space="0" w:color="BFBFBF"/>
              <w:right w:val="single" w:sz="4" w:space="0" w:color="BFBFBF"/>
            </w:tcBorders>
            <w:shd w:val="clear" w:color="auto" w:fill="D6E4F0"/>
            <w:vAlign w:val="center"/>
          </w:tcPr>
          <w:p w14:paraId="296416D1" w14:textId="77777777" w:rsidR="00CE2D44" w:rsidRPr="00655836" w:rsidRDefault="00CE2D44" w:rsidP="001C1B59">
            <w:pPr>
              <w:contextualSpacing/>
            </w:pPr>
            <w:r w:rsidRPr="00655836">
              <w:t>SÌ</w:t>
            </w:r>
          </w:p>
        </w:tc>
        <w:tc>
          <w:tcPr>
            <w:tcW w:w="3678" w:type="dxa"/>
            <w:tcBorders>
              <w:bottom w:val="single" w:sz="4" w:space="0" w:color="BFBFBF"/>
              <w:right w:val="single" w:sz="4" w:space="0" w:color="BFBFBF"/>
            </w:tcBorders>
            <w:shd w:val="clear" w:color="auto" w:fill="FCE4D6"/>
            <w:vAlign w:val="center"/>
          </w:tcPr>
          <w:p w14:paraId="7FCC1262" w14:textId="77777777" w:rsidR="00CE2D44" w:rsidRPr="00655836" w:rsidRDefault="00CE2D44" w:rsidP="001C1B59">
            <w:pPr>
              <w:contextualSpacing/>
            </w:pPr>
            <w:r w:rsidRPr="00655836">
              <w:t>NO</w:t>
            </w:r>
          </w:p>
        </w:tc>
      </w:tr>
      <w:tr w:rsidR="00CE2D44" w:rsidRPr="00655836" w14:paraId="0D3F64E0" w14:textId="77777777" w:rsidTr="001C1B59">
        <w:tc>
          <w:tcPr>
            <w:tcW w:w="2593" w:type="dxa"/>
            <w:tcBorders>
              <w:left w:val="single" w:sz="4" w:space="0" w:color="BFBFBF"/>
              <w:bottom w:val="single" w:sz="4" w:space="0" w:color="BFBFBF"/>
              <w:right w:val="single" w:sz="4" w:space="0" w:color="BFBFBF"/>
            </w:tcBorders>
            <w:shd w:val="clear" w:color="auto" w:fill="DEEAF1"/>
            <w:vAlign w:val="center"/>
          </w:tcPr>
          <w:p w14:paraId="7F61FE06" w14:textId="77777777" w:rsidR="00CE2D44" w:rsidRPr="00655836" w:rsidRDefault="00CE2D44" w:rsidP="001C1B59">
            <w:pPr>
              <w:contextualSpacing/>
            </w:pPr>
            <w:r w:rsidRPr="00655836">
              <w:rPr>
                <w:b/>
                <w:bCs/>
              </w:rPr>
              <w:t>Qualificazione giuridica</w:t>
            </w:r>
          </w:p>
        </w:tc>
        <w:tc>
          <w:tcPr>
            <w:tcW w:w="3617" w:type="dxa"/>
            <w:tcBorders>
              <w:bottom w:val="single" w:sz="4" w:space="0" w:color="BFBFBF"/>
              <w:right w:val="single" w:sz="4" w:space="0" w:color="BFBFBF"/>
            </w:tcBorders>
            <w:shd w:val="clear" w:color="auto" w:fill="D6E4F0"/>
            <w:vAlign w:val="center"/>
          </w:tcPr>
          <w:p w14:paraId="6D5B2CE7" w14:textId="77777777" w:rsidR="00CE2D44" w:rsidRPr="00655836" w:rsidRDefault="00CE2D44" w:rsidP="001C1B59">
            <w:pPr>
              <w:contextualSpacing/>
            </w:pPr>
            <w:r w:rsidRPr="00655836">
              <w:t>Uso mediato della rete → soggettività passiva CUP</w:t>
            </w:r>
          </w:p>
        </w:tc>
        <w:tc>
          <w:tcPr>
            <w:tcW w:w="3678" w:type="dxa"/>
            <w:tcBorders>
              <w:bottom w:val="single" w:sz="4" w:space="0" w:color="BFBFBF"/>
              <w:right w:val="single" w:sz="4" w:space="0" w:color="BFBFBF"/>
            </w:tcBorders>
            <w:shd w:val="clear" w:color="auto" w:fill="FCE4D6"/>
            <w:vAlign w:val="center"/>
          </w:tcPr>
          <w:p w14:paraId="5DD69C84" w14:textId="77777777" w:rsidR="00CE2D44" w:rsidRPr="00655836" w:rsidRDefault="00CE2D44" w:rsidP="001C1B59">
            <w:pPr>
              <w:contextualSpacing/>
            </w:pPr>
            <w:r w:rsidRPr="00655836">
              <w:t>Nessun uso della rete → escluso dalla soggettività passiva</w:t>
            </w:r>
          </w:p>
        </w:tc>
      </w:tr>
    </w:tbl>
    <w:p w14:paraId="540D8E96" w14:textId="77777777" w:rsidR="00CE2D44" w:rsidRPr="00655836" w:rsidRDefault="00CE2D44" w:rsidP="00CE2D44">
      <w:pPr>
        <w:contextualSpacing/>
      </w:pPr>
    </w:p>
    <w:p w14:paraId="2723E696" w14:textId="77777777" w:rsidR="00CE2D44" w:rsidRPr="00655836" w:rsidRDefault="00CE2D44" w:rsidP="00CE2D44">
      <w:pPr>
        <w:ind w:firstLine="708"/>
        <w:contextualSpacing/>
      </w:pPr>
      <w:r w:rsidRPr="00655836">
        <w:rPr>
          <w:b/>
          <w:u w:val="single"/>
        </w:rPr>
        <w:t>Prima della recente pronuncia della Corte di Cassazione</w:t>
      </w:r>
      <w:r w:rsidRPr="00655836">
        <w:t xml:space="preserve">, innanzi richiamata, già confermava quanto fin qui rilevato la più recente giurisprudenza in materia nell’ambito delle telecomunicazioni; fra tante si richiama la recentissima sentenza resa dal </w:t>
      </w:r>
      <w:r w:rsidRPr="00655836">
        <w:rPr>
          <w:b/>
          <w:bCs/>
          <w:u w:val="single"/>
        </w:rPr>
        <w:t>TRIBUNALE DI BERGAMO n. 1523 del 25.11.2025 contro FASTWEB S.p.A., nonché ancor più di recente TRIBUNALE DI BERGAMO 289 del 21.03.2026  contro VODAFONE, ed ancora Tribunale di Treviso n. 240/2025 pubblicata il 20/02/2025, resa in appello, e la sentenza del Tribunale di Piacenza n. 207 del 06.05.2025. Che vengono indicate tra le altre per le puntuali motivazioni addotte, ed infatti:</w:t>
      </w:r>
    </w:p>
    <w:p w14:paraId="2751D705" w14:textId="77777777" w:rsidR="00CE2D44" w:rsidRPr="00655836" w:rsidRDefault="00CE2D44" w:rsidP="00CE2D44">
      <w:pPr>
        <w:ind w:firstLine="708"/>
        <w:contextualSpacing/>
      </w:pPr>
      <w:r w:rsidRPr="00655836">
        <w:t>Il Giudice di Bergamo ha così precisato:</w:t>
      </w:r>
    </w:p>
    <w:p w14:paraId="09B29C15" w14:textId="77777777" w:rsidR="00CE2D44" w:rsidRPr="00655836" w:rsidRDefault="00CE2D44" w:rsidP="00CE2D44">
      <w:pPr>
        <w:ind w:firstLine="708"/>
        <w:contextualSpacing/>
        <w:rPr>
          <w:iCs/>
        </w:rPr>
      </w:pPr>
      <w:r w:rsidRPr="00655836">
        <w:rPr>
          <w:i/>
          <w:iCs/>
        </w:rPr>
        <w:lastRenderedPageBreak/>
        <w:t xml:space="preserve">“La norma nel testo attualmente vigente dispone: il canone è dovuto dal soggetto titolare dell’atto di concessione dell’occupazione del suolo pubblico e dai soggetti che occupano il suolo pubblico, </w:t>
      </w:r>
      <w:r w:rsidRPr="00655836">
        <w:rPr>
          <w:b/>
          <w:bCs/>
          <w:i/>
          <w:iCs/>
        </w:rPr>
        <w:t>anche in via mediata, attraverso l’utilizzo materiale delle infrastrutture del soggetto titolare della concessione</w:t>
      </w:r>
      <w:r w:rsidRPr="00655836">
        <w:rPr>
          <w:i/>
          <w:iCs/>
        </w:rPr>
        <w:t xml:space="preserve"> sulla base del numero delle rispettive utenze moltiplicate per la seguente tariffa forfetaria. Si ritiene, soprattutto alla luce della modifica del testo normativo ad opera della legge n. 178/2020, che il legislatore abbia inteso imporre il pagamento del canone de quo a tutti gli operatori che, nell’erogare il servizio di pubblica utilità (quale è quello delle telecomunicazioni di Fastweb spa), si avvalgono dei cavi e delle strutture del soggetto che è titolare della concessione e che, per il tramite di questo utilizzo (appunto, mediatamente), occupano il suolo pubblico. L’espressione “utilizzo materiale” va interpretata alla luce della volontà del legislatore come sinonimo di utilizzo che non necessariamente rimanda ad “una modificazione della realtà esterna”. Invero il canone è imposto a tutti quei soggetti che si avvalgono di fatto delle occupazioni permanenti del territorio comunale con cavi e condutture. E poiché è incontestato che Fastweb spa si avvale mediatamente (o virtualmente che dir si voglia) della rete infrastrutturale di Tim/Telecom spa si ritiene che essa rientri fra i soggetti obbligati contemplati dalla norma e soggetto tenuto al pagamento (conforme sul punto Tribunale di Piacenza n. 207/2025; Tribunale Treviso n. 240/2025)”. TRIBUNALE DI BERGAMO n. 1523 del 25.11.2025 </w:t>
      </w:r>
      <w:r w:rsidRPr="00655836">
        <w:rPr>
          <w:iCs/>
        </w:rPr>
        <w:t>(</w:t>
      </w:r>
      <w:r w:rsidRPr="00655836">
        <w:rPr>
          <w:b/>
          <w:bCs/>
          <w:iCs/>
        </w:rPr>
        <w:t>doc. 10</w:t>
      </w:r>
    </w:p>
    <w:p w14:paraId="241A8D20" w14:textId="77777777" w:rsidR="00CE2D44" w:rsidRPr="00655836" w:rsidRDefault="00CE2D44" w:rsidP="00CE2D44">
      <w:pPr>
        <w:ind w:firstLine="708"/>
        <w:contextualSpacing/>
        <w:rPr>
          <w:iCs/>
        </w:rPr>
      </w:pPr>
      <w:r w:rsidRPr="00655836">
        <w:rPr>
          <w:iCs/>
        </w:rPr>
        <w:t xml:space="preserve">Sempre il </w:t>
      </w:r>
      <w:r w:rsidRPr="00655836">
        <w:rPr>
          <w:b/>
          <w:bCs/>
          <w:iCs/>
        </w:rPr>
        <w:t>Tribunale di Bergamo con la sentenza 289/2026 ha ribadito</w:t>
      </w:r>
      <w:r w:rsidRPr="00655836">
        <w:rPr>
          <w:iCs/>
        </w:rPr>
        <w:t>:</w:t>
      </w:r>
    </w:p>
    <w:p w14:paraId="29A4C0A5" w14:textId="6BE23749" w:rsidR="00CE2D44" w:rsidRPr="00655836" w:rsidRDefault="00CE2D44" w:rsidP="00CE2D44">
      <w:pPr>
        <w:ind w:firstLine="708"/>
        <w:contextualSpacing/>
        <w:rPr>
          <w:i/>
          <w:iCs/>
        </w:rPr>
      </w:pPr>
      <w:r w:rsidRPr="00655836">
        <w:rPr>
          <w:iCs/>
        </w:rPr>
        <w:t>“</w:t>
      </w:r>
      <w:r w:rsidRPr="00655836">
        <w:rPr>
          <w:i/>
          <w:iCs/>
        </w:rPr>
        <w:t xml:space="preserve">le attuali normative fanno riferimento ad un nuovo concetto basato sull’occupazione in via mediata, dove sussistono una pluralità di soggetti passivi, costituiti dal soggetto titolare e dai soggetti che occupano ed utilizzano l’area. </w:t>
      </w:r>
    </w:p>
    <w:p w14:paraId="307F4060" w14:textId="77777777" w:rsidR="00CE2D44" w:rsidRPr="00655836" w:rsidRDefault="00CE2D44" w:rsidP="00CE2D44">
      <w:pPr>
        <w:ind w:firstLine="708"/>
        <w:contextualSpacing/>
        <w:rPr>
          <w:i/>
          <w:iCs/>
        </w:rPr>
      </w:pPr>
      <w:r w:rsidRPr="00655836">
        <w:rPr>
          <w:i/>
          <w:iCs/>
        </w:rPr>
        <w:t>Pi</w:t>
      </w:r>
      <w:r>
        <w:rPr>
          <w:i/>
          <w:iCs/>
        </w:rPr>
        <w:t>ù</w:t>
      </w:r>
      <w:r w:rsidRPr="00655836">
        <w:rPr>
          <w:i/>
          <w:iCs/>
        </w:rPr>
        <w:t xml:space="preserve"> precisamente, risulta aggiornata e superata la precedente normativa, che considerava il solo concessionario quale unico soggetto passivo, rendendo adeguata la normativa ad una tipologia relativa ad un mercato liberalizzato, dove vi sono più operatori che utilizzano la stessa infrastruttura per la fornitura del proprio servizio di telefonia. </w:t>
      </w:r>
    </w:p>
    <w:p w14:paraId="1CD572D3" w14:textId="77777777" w:rsidR="00CE2D44" w:rsidRPr="00655836" w:rsidRDefault="00CE2D44" w:rsidP="00CE2D44">
      <w:pPr>
        <w:ind w:firstLine="708"/>
        <w:contextualSpacing/>
        <w:rPr>
          <w:i/>
          <w:iCs/>
        </w:rPr>
      </w:pPr>
      <w:r w:rsidRPr="00655836">
        <w:rPr>
          <w:i/>
          <w:iCs/>
        </w:rPr>
        <w:t xml:space="preserve">Inoltre, diversamente da quanto affermato da parte attrice, gli accordi </w:t>
      </w:r>
      <w:proofErr w:type="spellStart"/>
      <w:r w:rsidRPr="00655836">
        <w:rPr>
          <w:i/>
          <w:iCs/>
        </w:rPr>
        <w:t>wholesale</w:t>
      </w:r>
      <w:proofErr w:type="spellEnd"/>
      <w:r w:rsidRPr="00655836">
        <w:rPr>
          <w:i/>
          <w:iCs/>
        </w:rPr>
        <w:t xml:space="preserve"> sono pienamente riferibile alla fattispecie connessa” all’utilizzo materiale “.</w:t>
      </w:r>
    </w:p>
    <w:p w14:paraId="43A2DB39" w14:textId="3686A2D5" w:rsidR="00CE2D44" w:rsidRPr="00655836" w:rsidRDefault="00CE2D44" w:rsidP="00CE2D44">
      <w:pPr>
        <w:ind w:firstLine="708"/>
        <w:contextualSpacing/>
        <w:rPr>
          <w:i/>
          <w:iCs/>
        </w:rPr>
      </w:pPr>
      <w:proofErr w:type="gramStart"/>
      <w:r w:rsidRPr="00655836">
        <w:rPr>
          <w:i/>
          <w:iCs/>
        </w:rPr>
        <w:t>Infatti</w:t>
      </w:r>
      <w:proofErr w:type="gramEnd"/>
      <w:r w:rsidRPr="00655836">
        <w:rPr>
          <w:i/>
          <w:iCs/>
        </w:rPr>
        <w:t xml:space="preserve"> gli accordi </w:t>
      </w:r>
      <w:proofErr w:type="spellStart"/>
      <w:r w:rsidRPr="00655836">
        <w:rPr>
          <w:i/>
          <w:iCs/>
        </w:rPr>
        <w:t>wholesale</w:t>
      </w:r>
      <w:proofErr w:type="spellEnd"/>
      <w:r w:rsidRPr="00655836">
        <w:rPr>
          <w:i/>
          <w:iCs/>
        </w:rPr>
        <w:t xml:space="preserve"> VULA (Virtual </w:t>
      </w:r>
      <w:proofErr w:type="spellStart"/>
      <w:r w:rsidRPr="00655836">
        <w:rPr>
          <w:i/>
          <w:iCs/>
        </w:rPr>
        <w:t>Unbundled</w:t>
      </w:r>
      <w:proofErr w:type="spellEnd"/>
      <w:r w:rsidRPr="00655836">
        <w:rPr>
          <w:i/>
          <w:iCs/>
        </w:rPr>
        <w:t xml:space="preserve"> Local Acces</w:t>
      </w:r>
      <w:r w:rsidR="00572508">
        <w:rPr>
          <w:i/>
          <w:iCs/>
        </w:rPr>
        <w:t>s</w:t>
      </w:r>
      <w:r w:rsidRPr="00655836">
        <w:rPr>
          <w:i/>
          <w:iCs/>
        </w:rPr>
        <w:t xml:space="preserve">) sono accordi commerciali tra operatori di telecomunicazioni che permettono l’accesso alle reti di accesso locali </w:t>
      </w:r>
      <w:proofErr w:type="gramStart"/>
      <w:r w:rsidRPr="00655836">
        <w:rPr>
          <w:i/>
          <w:iCs/>
        </w:rPr>
        <w:t>( reti</w:t>
      </w:r>
      <w:proofErr w:type="gramEnd"/>
      <w:r w:rsidRPr="00655836">
        <w:rPr>
          <w:i/>
          <w:iCs/>
        </w:rPr>
        <w:t xml:space="preserve"> di fibra ottica o di </w:t>
      </w:r>
      <w:proofErr w:type="gramStart"/>
      <w:r w:rsidRPr="00655836">
        <w:rPr>
          <w:i/>
          <w:iCs/>
        </w:rPr>
        <w:t>rame )</w:t>
      </w:r>
      <w:proofErr w:type="gramEnd"/>
      <w:r w:rsidRPr="00655836">
        <w:rPr>
          <w:i/>
          <w:iCs/>
        </w:rPr>
        <w:t xml:space="preserve"> di un operatore dominante a un altro </w:t>
      </w:r>
      <w:proofErr w:type="gramStart"/>
      <w:r w:rsidRPr="00655836">
        <w:rPr>
          <w:i/>
          <w:iCs/>
        </w:rPr>
        <w:t>operatore ,</w:t>
      </w:r>
      <w:proofErr w:type="gramEnd"/>
      <w:r w:rsidRPr="00655836">
        <w:rPr>
          <w:i/>
          <w:iCs/>
        </w:rPr>
        <w:t xml:space="preserve"> a condizioni eque e non </w:t>
      </w:r>
      <w:proofErr w:type="gramStart"/>
      <w:r w:rsidRPr="00655836">
        <w:rPr>
          <w:i/>
          <w:iCs/>
        </w:rPr>
        <w:t>discriminatorie .</w:t>
      </w:r>
      <w:proofErr w:type="gramEnd"/>
      <w:r w:rsidRPr="00655836">
        <w:rPr>
          <w:i/>
          <w:iCs/>
        </w:rPr>
        <w:t xml:space="preserve"> </w:t>
      </w:r>
    </w:p>
    <w:p w14:paraId="59C0F9FD" w14:textId="7A9B63B1" w:rsidR="00CE2D44" w:rsidRPr="00655836" w:rsidRDefault="00CE2D44" w:rsidP="00CE2D44">
      <w:pPr>
        <w:ind w:firstLine="708"/>
        <w:contextualSpacing/>
        <w:rPr>
          <w:i/>
          <w:iCs/>
        </w:rPr>
      </w:pPr>
      <w:r w:rsidRPr="00655836">
        <w:rPr>
          <w:i/>
          <w:iCs/>
        </w:rPr>
        <w:t xml:space="preserve">In pratica, un operatore che non ha una rete di accesso propria può utilizzare la rete di un altro operatore per offrire servizi di accesso a internet e voce ai propri clienti. </w:t>
      </w:r>
    </w:p>
    <w:p w14:paraId="5B434868" w14:textId="441F2A02" w:rsidR="00CE2D44" w:rsidRPr="00655836" w:rsidRDefault="00CE2D44" w:rsidP="00CE2D44">
      <w:pPr>
        <w:ind w:firstLine="708"/>
        <w:contextualSpacing/>
        <w:rPr>
          <w:i/>
          <w:iCs/>
        </w:rPr>
      </w:pPr>
      <w:r w:rsidRPr="00655836">
        <w:rPr>
          <w:i/>
          <w:iCs/>
        </w:rPr>
        <w:lastRenderedPageBreak/>
        <w:t>Anche se l’accesso è definito “virtuale</w:t>
      </w:r>
      <w:r w:rsidR="00577B6B">
        <w:rPr>
          <w:i/>
          <w:iCs/>
        </w:rPr>
        <w:t>”</w:t>
      </w:r>
      <w:r w:rsidRPr="00655836">
        <w:rPr>
          <w:i/>
          <w:iCs/>
        </w:rPr>
        <w:t xml:space="preserve"> in ambito tecnico – commerciale, lo stesso comporta un flusso fisico di dati che transita comunque mediante cavi e condutture esistenti sul suolo pubblico comunale. </w:t>
      </w:r>
    </w:p>
    <w:p w14:paraId="3F3DB465" w14:textId="2F5AD0E8" w:rsidR="00CE2D44" w:rsidRPr="00655836" w:rsidRDefault="00CE2D44" w:rsidP="00CE2D44">
      <w:pPr>
        <w:ind w:firstLine="708"/>
        <w:contextualSpacing/>
        <w:rPr>
          <w:b/>
          <w:bCs/>
        </w:rPr>
      </w:pPr>
      <w:r w:rsidRPr="00655836">
        <w:rPr>
          <w:i/>
          <w:iCs/>
        </w:rPr>
        <w:t>In base alle numerose sentenze di merito sull’argomento in questione, il criterio legato alla materialità dell’uso dell’infrastruttura di altro operatore, risulta compreso anche quello legato alla modalità di accesso virtuale,</w:t>
      </w:r>
      <w:r w:rsidR="00577B6B">
        <w:rPr>
          <w:i/>
          <w:iCs/>
        </w:rPr>
        <w:t xml:space="preserve"> </w:t>
      </w:r>
      <w:r w:rsidRPr="00655836">
        <w:rPr>
          <w:i/>
          <w:iCs/>
        </w:rPr>
        <w:t xml:space="preserve">legata all’evoluzione ed al progresso tecnologico nell’ambito della telefonia. </w:t>
      </w:r>
      <w:r w:rsidRPr="00655836">
        <w:t xml:space="preserve">Tribunale di Bergamo n. 289 del 21.3.2026 </w:t>
      </w:r>
      <w:r w:rsidRPr="00655836">
        <w:rPr>
          <w:b/>
          <w:bCs/>
        </w:rPr>
        <w:t>(doc. 11).</w:t>
      </w:r>
    </w:p>
    <w:p w14:paraId="3D3E4EC6" w14:textId="77777777" w:rsidR="00CE2D44" w:rsidRPr="00655836" w:rsidRDefault="00CE2D44" w:rsidP="00CE2D44">
      <w:pPr>
        <w:ind w:firstLine="708"/>
        <w:contextualSpacing/>
      </w:pPr>
      <w:r w:rsidRPr="00655836">
        <w:t xml:space="preserve">Di particolare rilievo sistematico è la recentissima </w:t>
      </w:r>
      <w:r w:rsidRPr="00655836">
        <w:rPr>
          <w:b/>
          <w:bCs/>
        </w:rPr>
        <w:t>sentenza del Tribunale di Napoli n. 5948 del 13.04.2026 (RG 16629/2025)</w:t>
      </w:r>
      <w:r w:rsidRPr="00655836">
        <w:t xml:space="preserve"> (doc. 11), pronunciata – con riferimento a una controversia analoga avente ad oggetto un avviso di accertamento CUP per gli anni 2021-2024 </w:t>
      </w:r>
      <w:r w:rsidRPr="00655836">
        <w:rPr>
          <w:b/>
          <w:bCs/>
        </w:rPr>
        <w:t>proposto proprio da Wind Tre</w:t>
      </w:r>
      <w:r w:rsidRPr="00655836">
        <w:t xml:space="preserve"> – che ha confermato la piena legittimità dell’accertamento su tutti i profili di merito contestati, rendendo una motivazione di particolare rilievo e ben chiarendo il concetto di </w:t>
      </w:r>
      <w:r w:rsidRPr="00655836">
        <w:rPr>
          <w:i/>
          <w:iCs/>
        </w:rPr>
        <w:t xml:space="preserve">“utilizzo materiale” </w:t>
      </w:r>
      <w:r w:rsidRPr="00655836">
        <w:t>(</w:t>
      </w:r>
      <w:r w:rsidRPr="00655836">
        <w:rPr>
          <w:b/>
          <w:bCs/>
        </w:rPr>
        <w:t xml:space="preserve">Tribunale Napoli n.5948 del 13.4.2026 doc. 12): </w:t>
      </w:r>
    </w:p>
    <w:p w14:paraId="1A60D1BB" w14:textId="77777777" w:rsidR="00CE2D44" w:rsidRPr="00655836" w:rsidRDefault="00CE2D44" w:rsidP="00CE2D44">
      <w:pPr>
        <w:ind w:firstLine="708"/>
        <w:contextualSpacing/>
        <w:rPr>
          <w:i/>
          <w:iCs/>
        </w:rPr>
      </w:pPr>
      <w:r w:rsidRPr="00655836">
        <w:rPr>
          <w:i/>
          <w:iCs/>
        </w:rPr>
        <w:t>“Questo giudice ritiene di dover aderire alla lettura secondo la quale l'espressione «utilizzo materiale» non vada intesa né come installazione di cavi o condutture ulteriori, né come indispensabile modificazione percepibile della realtà esterna, bensì come equivalente di un utilizzo concreto dell'infrastruttura in concessione, idoneo a integrare un'occupazione mediata del suolo pubblico quando l'operatore, per erogare il servizio venduto alla clientela, si avvale della rete del concessionario. In tale prospettiva, la ratio della modifica normativa è proprio quella di coinvolgere nel pagamento del canone anche gli operatori che, pur non essendo titolari della concessione, traggono un vantaggio immediato e diretto dall'uso dell'infrastruttura in concessione per la fornitura del servizio. Diversamente, la previsione normativa finirebbe per essere priva di effettiva portata applicativa nel settore in cui l'utilizzo della rete altrui è tecnicamente fisiologico.”</w:t>
      </w:r>
    </w:p>
    <w:p w14:paraId="0F5AB792" w14:textId="77777777" w:rsidR="00CE2D44" w:rsidRPr="00655836" w:rsidRDefault="00CE2D44" w:rsidP="00CE2D44">
      <w:pPr>
        <w:ind w:firstLine="708"/>
        <w:contextualSpacing/>
      </w:pPr>
      <w:r w:rsidRPr="00655836">
        <w:t>Il Tribunale di Napoli ha altresì chiarito l’inapplicabilità dell’art. 5, comma 14-</w:t>
      </w:r>
      <w:r w:rsidRPr="00655836">
        <w:rPr>
          <w:i/>
          <w:iCs/>
        </w:rPr>
        <w:t>quinquies</w:t>
      </w:r>
      <w:r w:rsidRPr="00655836">
        <w:t>, D.L. 146/2021 al settore delle telecomunicazioni, osservando che “</w:t>
      </w:r>
      <w:r w:rsidRPr="00655836">
        <w:rPr>
          <w:i/>
          <w:iCs/>
        </w:rPr>
        <w:t>la separazione cui la disposizione si riferisce va intesa con riguardo ai settori nei quali la dissociazione tra attività di distribuzione e attività di vendita è strutturalmente più netta […] soggetti dedicati alla sola vendita, che, limitandosi alla commercializzazione, non occupano il suolo pubblico neppure in via mediata e non utilizzano materialmente l’infrastruttura</w:t>
      </w:r>
      <w:r w:rsidRPr="00655836">
        <w:t>”.</w:t>
      </w:r>
    </w:p>
    <w:p w14:paraId="26411E34" w14:textId="77777777" w:rsidR="00CE2D44" w:rsidRPr="00655836" w:rsidRDefault="00CE2D44" w:rsidP="00CE2D44">
      <w:pPr>
        <w:ind w:firstLine="708"/>
        <w:contextualSpacing/>
      </w:pPr>
      <w:r w:rsidRPr="00655836">
        <w:t>Con specifico riguardo alla legittimità del metodo di calcolo induttivo, il Tribunale di Napoli ha ritenuto pienamente legittimo il ricorso a criteri presuntivi fondati su dati AGCOM rapportati alla popolazione residente, statuendo che “</w:t>
      </w:r>
      <w:r w:rsidRPr="00655836">
        <w:rPr>
          <w:i/>
          <w:iCs/>
        </w:rPr>
        <w:t xml:space="preserve">il ricorso a criteri presuntivi fondati su dati AGCOM, rapportati alla popolazione residente e alle quote di mercato, costituisce una legittima modalità ricostruttiva del presupposto impositivo, conforme ai principi generali in </w:t>
      </w:r>
      <w:r w:rsidRPr="00655836">
        <w:rPr>
          <w:i/>
          <w:iCs/>
        </w:rPr>
        <w:lastRenderedPageBreak/>
        <w:t>materia di entrate patrimoniali e in ogni caso giustificata dalla mancata collaborazione del contribuente. Non può, pertanto, invocarsi a proprio vantaggio una situazione di incertezza determinata dalla stessa condotta dell’operatore</w:t>
      </w:r>
      <w:r w:rsidRPr="00655836">
        <w:t>”.</w:t>
      </w:r>
    </w:p>
    <w:p w14:paraId="2B307347" w14:textId="77777777" w:rsidR="00CE2D44" w:rsidRPr="00655836" w:rsidRDefault="00CE2D44" w:rsidP="00CE2D44">
      <w:pPr>
        <w:ind w:firstLine="708"/>
        <w:contextualSpacing/>
      </w:pPr>
      <w:r w:rsidRPr="00655836">
        <w:t>Infine, il Tribunale di Napoli ha respinto la tesi della sufficienza del pagamento del minimo forfettario, chiarendo che “</w:t>
      </w:r>
      <w:r w:rsidRPr="00655836">
        <w:rPr>
          <w:i/>
          <w:iCs/>
        </w:rPr>
        <w:t>il minimo di € 800,00 previsto dalla legge opera solo ove il prodotto tra utenze e tariffa risulti inferiore a tale soglia, ma presuppone comunque una corretta e veritiera dichiarazione delle utenze attive. In mancanza di tale presupposto, il versamento del minimo non è idoneo a estinguere l’obbligazione nella sua effettiva consistenza</w:t>
      </w:r>
      <w:r w:rsidRPr="00655836">
        <w:t>”.</w:t>
      </w:r>
    </w:p>
    <w:p w14:paraId="7CC34215" w14:textId="77777777" w:rsidR="00CE2D44" w:rsidRPr="00655836" w:rsidRDefault="00CE2D44" w:rsidP="00CE2D44">
      <w:pPr>
        <w:ind w:firstLine="708"/>
        <w:contextualSpacing/>
      </w:pPr>
      <w:r w:rsidRPr="00655836">
        <w:t xml:space="preserve">Ed ancora, i giudici del </w:t>
      </w:r>
      <w:r w:rsidRPr="00655836">
        <w:rPr>
          <w:b/>
          <w:bCs/>
        </w:rPr>
        <w:t>Tribunale di TREVISO</w:t>
      </w:r>
      <w:r w:rsidRPr="00655836">
        <w:t xml:space="preserve"> hanno rigettato, ancora una volta, l’appello di una primaria compagnia telefonica che insisteva nel ritenersi estranea alla soggettività passiva mediata in relazione alla fornitura del servizio di telecomunicazioni.</w:t>
      </w:r>
    </w:p>
    <w:p w14:paraId="69CB10EB" w14:textId="77777777" w:rsidR="00CE2D44" w:rsidRPr="00655836" w:rsidRDefault="00CE2D44" w:rsidP="00CE2D44">
      <w:pPr>
        <w:ind w:firstLine="708"/>
        <w:contextualSpacing/>
      </w:pPr>
      <w:r w:rsidRPr="00655836">
        <w:t>Si legge nella sentenza:</w:t>
      </w:r>
    </w:p>
    <w:p w14:paraId="2E54F9CA" w14:textId="77777777" w:rsidR="00CE2D44" w:rsidRPr="00655836" w:rsidRDefault="00CE2D44" w:rsidP="00CE2D44">
      <w:pPr>
        <w:ind w:firstLine="708"/>
        <w:contextualSpacing/>
      </w:pPr>
      <w:r w:rsidRPr="00655836">
        <w:rPr>
          <w:i/>
          <w:iCs/>
        </w:rPr>
        <w:t xml:space="preserve">“Si ritiene, soprattutto alla luce della modifica del testo normativo ad opera della legge n. 178/2020, che il legislatore abbia inteso imporre il pagamento del canone de quo a tutti gli operatori che, nell’erogare il servizio di pubblica utilità (quale è quello delle telecomunicazioni), si avvalgono dei cavi e delle strutture del soggetto che è titolare della concessione e che, per il tramite di questo utilizzo (appunto, mediatamente), occupano il suolo pubblico. L’espressione “utilizzo materiale” va interpretata alla luce di tale </w:t>
      </w:r>
      <w:proofErr w:type="spellStart"/>
      <w:r w:rsidRPr="00655836">
        <w:rPr>
          <w:i/>
          <w:iCs/>
        </w:rPr>
        <w:t>voluntas</w:t>
      </w:r>
      <w:proofErr w:type="spellEnd"/>
      <w:r w:rsidRPr="00655836">
        <w:rPr>
          <w:i/>
          <w:iCs/>
        </w:rPr>
        <w:t xml:space="preserve"> legis come sinonimo di utilizzo che non necessariamente rimanda ad una modificazione della realtà esterna (quale è quella, ipotizzata dall’appellante, che si realizza con l’installazione di “cavi propri” nella infrastruttura a rete fissa altrui). Ciò in quanto il canone è imposto a quanti, comunque, si avvalgono di fatto delle occupazioni permanenti del territorio comunale con cavi e condutture. E poiché è incontestato che l’operatore, attraverso le varie forme di tecnologia descritte in atti, si avvale della rete infrastrutturale di TIM, si ritiene che esso rientri fra i soggetti obbligati contemplati dalla norma”. </w:t>
      </w:r>
      <w:r w:rsidRPr="00655836">
        <w:rPr>
          <w:b/>
          <w:bCs/>
          <w:i/>
          <w:iCs/>
        </w:rPr>
        <w:t xml:space="preserve">Tribunale di Treviso n. 240/2025 del 20/02/2025, resa in appello </w:t>
      </w:r>
      <w:r w:rsidRPr="00655836">
        <w:rPr>
          <w:iCs/>
        </w:rPr>
        <w:t>(</w:t>
      </w:r>
      <w:r w:rsidRPr="00655836">
        <w:rPr>
          <w:b/>
          <w:bCs/>
          <w:iCs/>
        </w:rPr>
        <w:t>doc. 13</w:t>
      </w:r>
      <w:r w:rsidRPr="00655836">
        <w:rPr>
          <w:iCs/>
        </w:rPr>
        <w:t>)</w:t>
      </w:r>
      <w:r w:rsidRPr="00655836">
        <w:rPr>
          <w:i/>
          <w:iCs/>
        </w:rPr>
        <w:t>.</w:t>
      </w:r>
    </w:p>
    <w:p w14:paraId="0CFF7BE0" w14:textId="77777777" w:rsidR="00CE2D44" w:rsidRPr="00655836" w:rsidRDefault="00CE2D44" w:rsidP="00CE2D44">
      <w:pPr>
        <w:ind w:firstLine="708"/>
        <w:contextualSpacing/>
      </w:pPr>
      <w:r w:rsidRPr="00655836">
        <w:t xml:space="preserve">Il Tribunale di </w:t>
      </w:r>
      <w:r w:rsidRPr="00655836">
        <w:rPr>
          <w:b/>
          <w:bCs/>
        </w:rPr>
        <w:t>PIACENZA,</w:t>
      </w:r>
      <w:r w:rsidRPr="00655836">
        <w:t xml:space="preserve"> poi, rigettando l’opposizione di Vodafone, ha sempre posto l’accento sul concetto di occupazione mediata e sulla </w:t>
      </w:r>
      <w:r w:rsidRPr="00655836">
        <w:rPr>
          <w:i/>
          <w:iCs/>
        </w:rPr>
        <w:t>ratio</w:t>
      </w:r>
      <w:r w:rsidRPr="00655836">
        <w:t xml:space="preserve"> della norma di interpretazione autentica.</w:t>
      </w:r>
    </w:p>
    <w:p w14:paraId="403FEA69" w14:textId="77777777" w:rsidR="00CE2D44" w:rsidRPr="00655836" w:rsidRDefault="00CE2D44" w:rsidP="00CE2D44">
      <w:pPr>
        <w:ind w:firstLine="708"/>
        <w:contextualSpacing/>
      </w:pPr>
      <w:r w:rsidRPr="00655836">
        <w:t>Si legge in sentenza:</w:t>
      </w:r>
    </w:p>
    <w:p w14:paraId="6F109429" w14:textId="77777777" w:rsidR="00CE2D44" w:rsidRDefault="00CE2D44" w:rsidP="00CE2D44">
      <w:pPr>
        <w:ind w:firstLine="708"/>
        <w:contextualSpacing/>
        <w:rPr>
          <w:i/>
          <w:iCs/>
        </w:rPr>
      </w:pPr>
      <w:r w:rsidRPr="00655836">
        <w:rPr>
          <w:i/>
          <w:iCs/>
        </w:rPr>
        <w:t xml:space="preserve">“5. Con l’art. 5, comma 14-quinquies, del D.L. 146/2021, il legislatore ha dettato una norma di interpretazione autentica stabilendo, per quanto qui rileva, che: a) per le occupazioni permanenti di suolo pubblico effettuate nei settori in cui è prevista una separazione, in ragione di assetti normativi, regolamentari o contrattuali, tra i soggetti titolari delle infrastrutture ed i soggetti titolari del contratto di vendita del bene distribuito alla </w:t>
      </w:r>
      <w:r w:rsidRPr="00655836">
        <w:rPr>
          <w:i/>
          <w:iCs/>
        </w:rPr>
        <w:lastRenderedPageBreak/>
        <w:t xml:space="preserve">clientela finale, non configurandosi alcuna occupazione in via mediata ed alcun utilizzo materiale delle infrastrutture da parte della società di vendita, il canone è dovuto esclusivamente dal soggetto titolare dell’atto di concessione delle infrastrutture, in base alle utenze delle predette società di vendita. </w:t>
      </w:r>
    </w:p>
    <w:p w14:paraId="6A10D6D0" w14:textId="77777777" w:rsidR="00CE2D44" w:rsidRDefault="00CE2D44" w:rsidP="00CE2D44">
      <w:pPr>
        <w:ind w:firstLine="708"/>
        <w:contextualSpacing/>
        <w:rPr>
          <w:i/>
          <w:iCs/>
        </w:rPr>
      </w:pPr>
      <w:r w:rsidRPr="00655836">
        <w:rPr>
          <w:i/>
          <w:iCs/>
        </w:rPr>
        <w:t xml:space="preserve">6. La norma che ha introdotto la c.d. soggettività passiva mediata, letta alla luce dell’intervento di interpretazione autentica, va intesa nel senso che l’esclusione dalla debenza del canone non è generalizzata ma esclusivamente dedicata a quei settori in cui è prevista una separazione fra i titolari delle infrastrutture ed i titolari del contratto di vendita del bene distribuito alla clientela finale, previsione riferibile a quei settori – come quelli del gas e dell’energia elettrica – in cui la normativa di riferimento impone una netta separazione tra l’attività di distribuzione e quella di vendita, lasciando per il resto inalterata l’originaria previsione. </w:t>
      </w:r>
    </w:p>
    <w:p w14:paraId="230DD563" w14:textId="77777777" w:rsidR="00CE2D44" w:rsidRDefault="00CE2D44" w:rsidP="00CE2D44">
      <w:pPr>
        <w:ind w:firstLine="708"/>
        <w:contextualSpacing/>
        <w:rPr>
          <w:i/>
          <w:iCs/>
        </w:rPr>
      </w:pPr>
      <w:r w:rsidRPr="00655836">
        <w:rPr>
          <w:i/>
          <w:iCs/>
        </w:rPr>
        <w:t xml:space="preserve">7. Diversamente argomentando, infatti, non si capirebbe la ragione per cui il legislatore abbia inteso mantenere in vigore la previsione introdotta dalla L. n. 178/2020, di debenza del canone da parte sia del diretto intestatario dell’infrastruttura che di tutti coloro che anche in via mediata, attraverso l’utilizzo materiale delle infrastrutture del soggetto titolare della concessione, ne fanno utilizzazione, accanto a quella di interpretazione autentica che invece riserva la soggettività passiva del canone al solo concessionario dell’infrastruttura. </w:t>
      </w:r>
    </w:p>
    <w:p w14:paraId="64BFF90D" w14:textId="77777777" w:rsidR="00CE2D44" w:rsidRDefault="00CE2D44" w:rsidP="00CE2D44">
      <w:pPr>
        <w:ind w:firstLine="708"/>
        <w:contextualSpacing/>
        <w:rPr>
          <w:i/>
          <w:iCs/>
        </w:rPr>
      </w:pPr>
      <w:r w:rsidRPr="00655836">
        <w:rPr>
          <w:i/>
          <w:iCs/>
        </w:rPr>
        <w:t xml:space="preserve">8. La ratio della norma di interpretazione autentica, dunque, va ricercata nella peculiare caratteristica del sistema che opera per le imprese di distribuzione del gas e dell’energia elettrica dove le società titolari dei contratti di vendita non utilizzano, neppure in via mediata, la rete di distribuzione della materia prima ai clienti finali, limitandosi solamente alla commercializzazione del prodotto. </w:t>
      </w:r>
    </w:p>
    <w:p w14:paraId="33C24981" w14:textId="77777777" w:rsidR="00CE2D44" w:rsidRDefault="00CE2D44" w:rsidP="00CE2D44">
      <w:pPr>
        <w:ind w:firstLine="708"/>
        <w:contextualSpacing/>
        <w:rPr>
          <w:i/>
          <w:iCs/>
        </w:rPr>
      </w:pPr>
      <w:r w:rsidRPr="00655836">
        <w:rPr>
          <w:i/>
          <w:iCs/>
        </w:rPr>
        <w:t xml:space="preserve">9. Per il servizio di telefonia, come quello in esame, l’operatore telefonico non si limita alla mera commercializzazione del servizio ma fa uso, seppur mediato, della rete infrastrutturale di TIM, collegandovisi mediante i sistemi descritti nell’atto di citazione, tra cui la distribuzione BITSTREAM NGA, per cui l’operatore affitta l’intera tratta che va dal PDI alle abitazioni dei clienti, indipendentemente dall’architettura posta “a valle” della centrale (FTTC/FTTH), con il traffico di tutti gli operatori trasportato separato tramite l’uso delle VLAN. </w:t>
      </w:r>
    </w:p>
    <w:p w14:paraId="3F8AB547" w14:textId="77777777" w:rsidR="00CE2D44" w:rsidRDefault="00CE2D44" w:rsidP="00CE2D44">
      <w:pPr>
        <w:ind w:firstLine="708"/>
        <w:contextualSpacing/>
        <w:rPr>
          <w:i/>
          <w:iCs/>
        </w:rPr>
      </w:pPr>
      <w:r w:rsidRPr="00655836">
        <w:rPr>
          <w:i/>
          <w:iCs/>
        </w:rPr>
        <w:t xml:space="preserve">10. Peraltro nel criterio di materialità dell’uso dell’infrastruttura altrui deve intendersi incluso anche quello con modalità virtuale considerata l’evoluzione tecnologica nel campo della telefonia. </w:t>
      </w:r>
    </w:p>
    <w:p w14:paraId="47592F59" w14:textId="77777777" w:rsidR="00CE2D44" w:rsidRPr="00655836" w:rsidRDefault="00CE2D44" w:rsidP="00CE2D44">
      <w:pPr>
        <w:ind w:firstLine="708"/>
        <w:contextualSpacing/>
        <w:rPr>
          <w:b/>
          <w:bCs/>
        </w:rPr>
      </w:pPr>
      <w:r w:rsidRPr="00655836">
        <w:rPr>
          <w:i/>
          <w:iCs/>
        </w:rPr>
        <w:t xml:space="preserve">11. Ne consegue, da tutto quanto precede, che VODAFONE non possa essere considerata al pari di una mera società di commercializzazione di prodotti telefonici ma, </w:t>
      </w:r>
      <w:r w:rsidRPr="00655836">
        <w:rPr>
          <w:i/>
          <w:iCs/>
        </w:rPr>
        <w:lastRenderedPageBreak/>
        <w:t xml:space="preserve">diversamente, vada ritenuta un operatore telefonico che si avvale, nel caso di specie, in via mediata di infrastrutture del concessionario TIM, sì che la stessa rientra nella previsione di cui all’art. 1, comma 831, della L. n. 160/2019, così come modificato dalla L. n. 178/2020, e deve essere ritenuta soggetto passivo ai fini del CUP”. </w:t>
      </w:r>
      <w:r w:rsidRPr="00655836">
        <w:rPr>
          <w:b/>
          <w:bCs/>
          <w:i/>
          <w:iCs/>
        </w:rPr>
        <w:t>Tribunale di Piacenza n. 207 del 06.05.2025</w:t>
      </w:r>
      <w:r w:rsidRPr="00655836">
        <w:rPr>
          <w:b/>
          <w:bCs/>
          <w:iCs/>
        </w:rPr>
        <w:t xml:space="preserve"> (doc. 14)</w:t>
      </w:r>
      <w:r w:rsidRPr="00655836">
        <w:rPr>
          <w:b/>
          <w:bCs/>
          <w:i/>
          <w:iCs/>
        </w:rPr>
        <w:t>.</w:t>
      </w:r>
    </w:p>
    <w:p w14:paraId="437A38E8" w14:textId="77777777" w:rsidR="00CE2D44" w:rsidRPr="00655836" w:rsidRDefault="00CE2D44" w:rsidP="00CE2D44">
      <w:pPr>
        <w:ind w:firstLine="360"/>
        <w:contextualSpacing/>
        <w:rPr>
          <w:b/>
          <w:bCs/>
          <w:i/>
          <w:iCs/>
        </w:rPr>
      </w:pPr>
      <w:r w:rsidRPr="00655836">
        <w:t xml:space="preserve">Anche con successiva pronuncia, il </w:t>
      </w:r>
      <w:r w:rsidRPr="00655836">
        <w:rPr>
          <w:b/>
          <w:bCs/>
        </w:rPr>
        <w:t>Tribunale di Piacenza – i</w:t>
      </w:r>
      <w:r w:rsidRPr="00655836">
        <w:rPr>
          <w:b/>
          <w:bCs/>
          <w:u w:val="single"/>
        </w:rPr>
        <w:t>n funzione di giudice di secondo grado (</w:t>
      </w:r>
      <w:proofErr w:type="spellStart"/>
      <w:r w:rsidRPr="00655836">
        <w:rPr>
          <w:b/>
          <w:bCs/>
          <w:u w:val="single"/>
        </w:rPr>
        <w:t>sent</w:t>
      </w:r>
      <w:proofErr w:type="spellEnd"/>
      <w:r w:rsidRPr="00655836">
        <w:rPr>
          <w:b/>
          <w:bCs/>
          <w:u w:val="single"/>
        </w:rPr>
        <w:t>. 350 del 16.07.2025, R.G. 1562/2024) (doc. 15</w:t>
      </w:r>
      <w:r w:rsidRPr="00655836">
        <w:rPr>
          <w:u w:val="single"/>
        </w:rPr>
        <w:t xml:space="preserve">) </w:t>
      </w:r>
      <w:r w:rsidRPr="00655836">
        <w:t xml:space="preserve">– ha confermato in appello il medesimo orientamento, precisando che “l’utilizzo materiale non implica modificazione fisica del suolo e l’occupazione mediata ricorre anche in caso di utilizzo virtuale e condiviso della rete” e che “la separazione di cui alla norma interpretativa non è configurabile quando il venditore utilizza la rete del concessionario per erogare il servizio” il giudice di appello ha infatti precisato che:” </w:t>
      </w:r>
      <w:r w:rsidRPr="00655836">
        <w:rPr>
          <w:b/>
          <w:bCs/>
          <w:i/>
          <w:iCs/>
        </w:rPr>
        <w:t>Diversamente argomentando, infatti, non si capirebbe la ragione per cui il legislatore abbia inteso mantenere in vigore la previsione introdotta dalla L.n.178/2020, di debenza del canone da parte sia del diretto intestatario dell’infrastruttura che di tutti coloro che anche in via mediata, attraverso l'utilizzo materiale delle infrastrutture del soggetto titolare della concessione ne fanno utilizzazione, accanto a quella di interpretazione autentica che invece riserva la soggettività passiva del canone al solo concessionario dell’infrastruttura.</w:t>
      </w:r>
    </w:p>
    <w:p w14:paraId="42E5F260" w14:textId="77777777" w:rsidR="00CE2D44" w:rsidRPr="00655836" w:rsidRDefault="00CE2D44" w:rsidP="00CE2D44">
      <w:pPr>
        <w:numPr>
          <w:ilvl w:val="0"/>
          <w:numId w:val="3"/>
        </w:numPr>
        <w:contextualSpacing/>
        <w:rPr>
          <w:b/>
          <w:bCs/>
          <w:i/>
          <w:iCs/>
        </w:rPr>
      </w:pPr>
      <w:r w:rsidRPr="00655836">
        <w:rPr>
          <w:b/>
          <w:bCs/>
          <w:i/>
          <w:iCs/>
        </w:rPr>
        <w:t>La ratio della norma di interpretazione autentica, dunque, va ricercata nella peculiare caratteristica del sistema che opera per le imprese di distribuzione del gas e dell’energia elettrica dove le società titolari dei contratti di vendita non utilizzano, neppure in via mediata, la rete di distribuzione della materia prima ai clienti finali limitandosi solamente alla commercializzazione del prodotto</w:t>
      </w:r>
    </w:p>
    <w:p w14:paraId="0A901B67" w14:textId="77777777" w:rsidR="00CE2D44" w:rsidRPr="00655836" w:rsidRDefault="00CE2D44" w:rsidP="00CE2D44">
      <w:pPr>
        <w:numPr>
          <w:ilvl w:val="0"/>
          <w:numId w:val="3"/>
        </w:numPr>
        <w:contextualSpacing/>
        <w:rPr>
          <w:i/>
          <w:iCs/>
        </w:rPr>
      </w:pPr>
      <w:r w:rsidRPr="00655836">
        <w:rPr>
          <w:i/>
          <w:iCs/>
        </w:rPr>
        <w:t>Per il servizio di telefonia, come quello in esame, l’operatore telefonico non si limita alla mera commercializzazione del servizio ma fa uso, seppur mediato, della rete infrastrutturale di T. collegandovisi mediante i sistemi descritti nell’atto di citazione (cfr. pagg. 7,8,9 dove è descritto il tipo di connessione e le modalità di accesso alla rete come distribuzione BITSTREAM NGA e L’Operatore (V.) “affitta” l’intera tratta che va dal PDI alle abitazioni dei clienti, indipendentemente dall’architettura posta “a valle” della centrale (FTTC).. sia nel caso di FTTC che di FTTH la fibra ottica trasporta il traffico di tutti gli operatori, separato tramite l’uso delle VLAN (Virtual LAN).)</w:t>
      </w:r>
    </w:p>
    <w:p w14:paraId="5577FFAE" w14:textId="77777777" w:rsidR="00CE2D44" w:rsidRPr="00655836" w:rsidRDefault="00CE2D44" w:rsidP="00CE2D44">
      <w:pPr>
        <w:numPr>
          <w:ilvl w:val="0"/>
          <w:numId w:val="3"/>
        </w:numPr>
        <w:contextualSpacing/>
        <w:rPr>
          <w:i/>
          <w:iCs/>
        </w:rPr>
      </w:pPr>
      <w:proofErr w:type="gramStart"/>
      <w:r w:rsidRPr="00655836">
        <w:rPr>
          <w:i/>
          <w:iCs/>
        </w:rPr>
        <w:t>Peraltro</w:t>
      </w:r>
      <w:proofErr w:type="gramEnd"/>
      <w:r w:rsidRPr="00655836">
        <w:rPr>
          <w:i/>
          <w:iCs/>
        </w:rPr>
        <w:t xml:space="preserve"> nel criterio di materialità dell’uso dell’infrastruttura altrui deve intendersi incluso anche quello con modalità virtuale considerata l’evoluzione tecnologica nel campo della telefonia.” </w:t>
      </w:r>
    </w:p>
    <w:p w14:paraId="77989810" w14:textId="77777777" w:rsidR="00CE2D44" w:rsidRPr="00655836" w:rsidRDefault="00CE2D44" w:rsidP="00CE2D44">
      <w:pPr>
        <w:ind w:firstLine="360"/>
        <w:contextualSpacing/>
      </w:pPr>
      <w:r w:rsidRPr="00655836">
        <w:lastRenderedPageBreak/>
        <w:t xml:space="preserve">Ancora, il Tribunale di </w:t>
      </w:r>
      <w:r w:rsidRPr="00655836">
        <w:rPr>
          <w:b/>
          <w:bCs/>
        </w:rPr>
        <w:t xml:space="preserve">IVREA </w:t>
      </w:r>
      <w:r w:rsidRPr="00655836">
        <w:t xml:space="preserve">– </w:t>
      </w:r>
      <w:r w:rsidRPr="00655836">
        <w:rPr>
          <w:b/>
          <w:bCs/>
        </w:rPr>
        <w:t>in funzione di giudice di secondo grado (</w:t>
      </w:r>
      <w:proofErr w:type="spellStart"/>
      <w:r w:rsidRPr="00655836">
        <w:rPr>
          <w:b/>
          <w:bCs/>
        </w:rPr>
        <w:t>sent</w:t>
      </w:r>
      <w:proofErr w:type="spellEnd"/>
      <w:r w:rsidRPr="00655836">
        <w:rPr>
          <w:b/>
          <w:bCs/>
        </w:rPr>
        <w:t>. 29.09.2025, n. 1255)</w:t>
      </w:r>
      <w:r w:rsidRPr="00655836">
        <w:t xml:space="preserve"> </w:t>
      </w:r>
      <w:r w:rsidRPr="00655836">
        <w:rPr>
          <w:b/>
          <w:bCs/>
        </w:rPr>
        <w:t>(doc. 16)</w:t>
      </w:r>
      <w:r w:rsidRPr="00655836">
        <w:t xml:space="preserve"> – ha rigettato l’appello proposto da un primario operatore telefonico avverso una decisione favorevole al Comune impositore, chiarendo che “</w:t>
      </w:r>
      <w:r w:rsidRPr="00655836">
        <w:rPr>
          <w:i/>
          <w:iCs/>
        </w:rPr>
        <w:t>il concetto di utilizzo materiale delle infrastrutture, di cui all’art. 1, comma 831, L. n. 160/2019, non va inteso in senso meramente fisico o strutturale, ma come utilizzo concreto e funzionale, idoneo a produrre un vantaggio economico diretto per l’operatore che eroga il servizio</w:t>
      </w:r>
      <w:r w:rsidRPr="00655836">
        <w:t>”, con la conseguenza che “</w:t>
      </w:r>
      <w:r w:rsidRPr="00655836">
        <w:rPr>
          <w:i/>
          <w:iCs/>
        </w:rPr>
        <w:t>l’occupazione mediata del suolo pubblico è ravvisabile anche quando l’operatore accede alle infrastrutture del concessionario mediante sistemi tecnologici quali VULA, WS, FTTH OS, risultando irrilevante l’assenza di una materiale posa in opera di nuovi cav</w:t>
      </w:r>
      <w:r w:rsidRPr="00655836">
        <w:t>i”.</w:t>
      </w:r>
    </w:p>
    <w:p w14:paraId="340EA68F" w14:textId="77777777" w:rsidR="00CE2D44" w:rsidRPr="00655836" w:rsidRDefault="00CE2D44" w:rsidP="00CE2D44">
      <w:pPr>
        <w:ind w:firstLine="360"/>
        <w:contextualSpacing/>
      </w:pPr>
      <w:r w:rsidRPr="00655836">
        <w:t xml:space="preserve">Ancora, il </w:t>
      </w:r>
      <w:r w:rsidRPr="00655836">
        <w:rPr>
          <w:b/>
          <w:bCs/>
        </w:rPr>
        <w:t>Tribunale di</w:t>
      </w:r>
      <w:r w:rsidRPr="00655836">
        <w:t xml:space="preserve"> </w:t>
      </w:r>
      <w:r w:rsidRPr="00655836">
        <w:rPr>
          <w:b/>
          <w:bCs/>
        </w:rPr>
        <w:t>BOLZANO (</w:t>
      </w:r>
      <w:proofErr w:type="spellStart"/>
      <w:r w:rsidRPr="00655836">
        <w:rPr>
          <w:b/>
          <w:bCs/>
        </w:rPr>
        <w:t>sent</w:t>
      </w:r>
      <w:proofErr w:type="spellEnd"/>
      <w:r w:rsidRPr="00655836">
        <w:rPr>
          <w:b/>
          <w:bCs/>
        </w:rPr>
        <w:t>. 08.04.2024, n. 431) (doc. 17)</w:t>
      </w:r>
      <w:r w:rsidRPr="00655836">
        <w:t xml:space="preserve"> ha chiarito che la separazione rilevante ai fini dell’art. 5, comma 14-quinquies, D.L. 146/2021, riguarda esclusivamente i settori del gas e dell’energia elettrica e ha preso posizione esplicita contro la tesi della separazione per via contrattuale, osservando che tale tesi “</w:t>
      </w:r>
      <w:r w:rsidRPr="00655836">
        <w:rPr>
          <w:i/>
          <w:iCs/>
        </w:rPr>
        <w:t>parte da una premessa errata, confondendo un contratto di accesso o condivisione della rete con una separazione funzionale delle attività che non è rinvenibile nella realtà tecnica e normativa del settore TLC</w:t>
      </w:r>
      <w:r w:rsidRPr="00655836">
        <w:t>”; ha ulteriormente affermato che “</w:t>
      </w:r>
      <w:r w:rsidRPr="00655836">
        <w:rPr>
          <w:i/>
          <w:iCs/>
        </w:rPr>
        <w:t>sono soggetti passivi del canone tutti gli operatori che utilizzano, anche in via mediata, la rete del concessionario</w:t>
      </w:r>
      <w:r w:rsidRPr="00655836">
        <w:t>” e che “</w:t>
      </w:r>
      <w:r w:rsidRPr="00655836">
        <w:rPr>
          <w:i/>
          <w:iCs/>
        </w:rPr>
        <w:t>l’uso materiale dell’infrastruttura non richiede l’installazione fisica di cavi e include anche l’utilizzo virtuale, coerentemente con l’evoluzione tecnologica</w:t>
      </w:r>
      <w:r w:rsidRPr="00655836">
        <w:t>”.</w:t>
      </w:r>
    </w:p>
    <w:p w14:paraId="31188275" w14:textId="77777777" w:rsidR="00CE2D44" w:rsidRPr="00655836" w:rsidRDefault="00CE2D44" w:rsidP="00CE2D44">
      <w:pPr>
        <w:ind w:firstLine="360"/>
        <w:contextualSpacing/>
        <w:rPr>
          <w:i/>
          <w:iCs/>
        </w:rPr>
      </w:pPr>
      <w:r w:rsidRPr="00655836">
        <w:t xml:space="preserve">Si menziona, anche, la sentenza resa dal </w:t>
      </w:r>
      <w:r w:rsidRPr="00655836">
        <w:rPr>
          <w:b/>
          <w:bCs/>
        </w:rPr>
        <w:t>Tribunale di Bolzano n. 908/2025 del 15.10.2025</w:t>
      </w:r>
      <w:r w:rsidRPr="00655836">
        <w:t xml:space="preserve">, che si produce </w:t>
      </w:r>
      <w:r w:rsidRPr="00655836">
        <w:rPr>
          <w:b/>
          <w:bCs/>
        </w:rPr>
        <w:t>(doc.18)</w:t>
      </w:r>
      <w:r w:rsidRPr="00655836">
        <w:t xml:space="preserve">, che ha precisato: </w:t>
      </w:r>
      <w:r w:rsidRPr="00655836">
        <w:rPr>
          <w:i/>
          <w:iCs/>
        </w:rPr>
        <w:t xml:space="preserve">“nel settore delle telecomunicazioni, il legislatore non appare aver imposto alcuna separazione, ma anzi, in attuazione delle direttive europee settoriali, ha incentivato la condivisione delle reti (cfr. nella giurisprudenza di questo Tribunale di Bolzano le sentenze </w:t>
      </w:r>
      <w:proofErr w:type="spellStart"/>
      <w:r w:rsidRPr="00655836">
        <w:rPr>
          <w:i/>
          <w:iCs/>
        </w:rPr>
        <w:t>nn</w:t>
      </w:r>
      <w:proofErr w:type="spellEnd"/>
      <w:r w:rsidRPr="00655836">
        <w:rPr>
          <w:i/>
          <w:iCs/>
        </w:rPr>
        <w:t>. 431 e 649/2024).</w:t>
      </w:r>
    </w:p>
    <w:p w14:paraId="1451996C" w14:textId="77777777" w:rsidR="00CE2D44" w:rsidRPr="00655836" w:rsidRDefault="00CE2D44" w:rsidP="00CE2D44">
      <w:pPr>
        <w:ind w:firstLine="360"/>
        <w:contextualSpacing/>
      </w:pPr>
      <w:r w:rsidRPr="00655836">
        <w:rPr>
          <w:i/>
          <w:iCs/>
        </w:rPr>
        <w:t>È, infatti, la natura stessa dell'infrastruttura ad esigere una compresenza di più operatori, che agiscono sulla stessa rete del concessionario, il quale, a sua volta, utilizza l'infrastruttura assieme ai propri ... Quindi, per la particolarità della fattispecie, il concetto della “separazione” deve ritenersi applicabile a casistiche differenti rispetto a quella di cui è causa, come i settori del gas e dell’energia elettrica</w:t>
      </w:r>
      <w:r w:rsidRPr="00655836">
        <w:t>."</w:t>
      </w:r>
    </w:p>
    <w:p w14:paraId="197792B0" w14:textId="77777777" w:rsidR="00CE2D44" w:rsidRPr="00655836" w:rsidRDefault="00CE2D44" w:rsidP="00CE2D44">
      <w:pPr>
        <w:contextualSpacing/>
      </w:pPr>
      <w:r w:rsidRPr="00655836">
        <w:t>Tale sentenza è stata preceduta già da:</w:t>
      </w:r>
    </w:p>
    <w:p w14:paraId="1B43243C" w14:textId="77777777" w:rsidR="00CE2D44" w:rsidRPr="00655836" w:rsidRDefault="00CE2D44" w:rsidP="00CE2D44">
      <w:pPr>
        <w:contextualSpacing/>
      </w:pPr>
      <w:r w:rsidRPr="00655836">
        <w:t>- Tribunale di Bolzano Sentenza N. 431/2024</w:t>
      </w:r>
    </w:p>
    <w:p w14:paraId="79D1D168" w14:textId="77777777" w:rsidR="00CE2D44" w:rsidRPr="00655836" w:rsidRDefault="00CE2D44" w:rsidP="00CE2D44">
      <w:pPr>
        <w:contextualSpacing/>
      </w:pPr>
      <w:bookmarkStart w:id="0" w:name="m_4538845636176179816_m_-648566957053672"/>
      <w:r w:rsidRPr="00655836">
        <w:t>- Tribunale di Bolzano Sentenza N. 649/2024</w:t>
      </w:r>
      <w:bookmarkEnd w:id="0"/>
    </w:p>
    <w:p w14:paraId="015B8B28" w14:textId="77777777" w:rsidR="00CE2D44" w:rsidRPr="00655836" w:rsidRDefault="00CE2D44" w:rsidP="00CE2D44">
      <w:pPr>
        <w:contextualSpacing/>
      </w:pPr>
      <w:r w:rsidRPr="00655836">
        <w:t>- Tribunale di Padova Sentenza N. 1341/2024</w:t>
      </w:r>
    </w:p>
    <w:p w14:paraId="2FF62120" w14:textId="77777777" w:rsidR="00CE2D44" w:rsidRPr="00655836" w:rsidRDefault="00CE2D44" w:rsidP="00CE2D44">
      <w:pPr>
        <w:contextualSpacing/>
      </w:pPr>
      <w:r w:rsidRPr="00655836">
        <w:t>- Giudice di Pace di Treviso Sentenza N. 1409/2023</w:t>
      </w:r>
    </w:p>
    <w:p w14:paraId="106186D2" w14:textId="77777777" w:rsidR="00CE2D44" w:rsidRPr="00655836" w:rsidRDefault="00CE2D44" w:rsidP="00CE2D44">
      <w:pPr>
        <w:contextualSpacing/>
      </w:pPr>
      <w:r w:rsidRPr="00655836">
        <w:t>- Giudice di Pace di Treviso Sentenza N. 1410/2023</w:t>
      </w:r>
    </w:p>
    <w:p w14:paraId="087DDC21" w14:textId="77777777" w:rsidR="00CE2D44" w:rsidRPr="00655836" w:rsidRDefault="00CE2D44" w:rsidP="00CE2D44">
      <w:pPr>
        <w:contextualSpacing/>
      </w:pPr>
      <w:r w:rsidRPr="00655836">
        <w:lastRenderedPageBreak/>
        <w:t>- Giudice di Pace di Treviso Sentenza N. 1407/2023</w:t>
      </w:r>
    </w:p>
    <w:p w14:paraId="5F7291CD" w14:textId="77777777" w:rsidR="00CE2D44" w:rsidRPr="00655836" w:rsidRDefault="00CE2D44" w:rsidP="00CE2D44">
      <w:pPr>
        <w:contextualSpacing/>
      </w:pPr>
      <w:r w:rsidRPr="00655836">
        <w:t>- Giudice di Pace di Treviso Sentenza N. 1411/2023</w:t>
      </w:r>
    </w:p>
    <w:p w14:paraId="49504352" w14:textId="77777777" w:rsidR="00CE2D44" w:rsidRPr="00655836" w:rsidRDefault="00CE2D44" w:rsidP="00CE2D44">
      <w:pPr>
        <w:contextualSpacing/>
      </w:pPr>
      <w:r w:rsidRPr="00655836">
        <w:t>- Giudice di Pace di Treviso Sentenza N. 1414/2023</w:t>
      </w:r>
    </w:p>
    <w:p w14:paraId="27337ADB" w14:textId="77777777" w:rsidR="00CE2D44" w:rsidRPr="00655836" w:rsidRDefault="00CE2D44" w:rsidP="00CE2D44">
      <w:pPr>
        <w:contextualSpacing/>
      </w:pPr>
      <w:r w:rsidRPr="00655836">
        <w:t>- Giudice di Pace di Treviso Sentenza N. 167/2024</w:t>
      </w:r>
    </w:p>
    <w:p w14:paraId="7CFCE3C5" w14:textId="77777777" w:rsidR="00CE2D44" w:rsidRPr="00655836" w:rsidRDefault="00CE2D44" w:rsidP="00CE2D44">
      <w:pPr>
        <w:contextualSpacing/>
      </w:pPr>
      <w:r w:rsidRPr="00655836">
        <w:t>- Giudice di Pace di Treviso Sentenza N. 168/2024</w:t>
      </w:r>
    </w:p>
    <w:p w14:paraId="0CBAEFF6" w14:textId="77777777" w:rsidR="00CE2D44" w:rsidRPr="00655836" w:rsidRDefault="00CE2D44" w:rsidP="00CE2D44">
      <w:pPr>
        <w:contextualSpacing/>
      </w:pPr>
      <w:r w:rsidRPr="00655836">
        <w:t>- Giudice di Pace di Treviso Sentenza N. 294/2024</w:t>
      </w:r>
    </w:p>
    <w:p w14:paraId="7A94595A" w14:textId="77777777" w:rsidR="00CE2D44" w:rsidRPr="00655836" w:rsidRDefault="00CE2D44" w:rsidP="00CE2D44">
      <w:pPr>
        <w:contextualSpacing/>
      </w:pPr>
      <w:r w:rsidRPr="00655836">
        <w:t>- Giudice di Pace di Treviso RG 5618/2023</w:t>
      </w:r>
    </w:p>
    <w:p w14:paraId="2834B93F" w14:textId="77777777" w:rsidR="00CE2D44" w:rsidRPr="00655836" w:rsidRDefault="00CE2D44" w:rsidP="00CE2D44">
      <w:pPr>
        <w:contextualSpacing/>
      </w:pPr>
      <w:r w:rsidRPr="00655836">
        <w:t>- Giudice di Pace di Treviso RG 5744/2023</w:t>
      </w:r>
    </w:p>
    <w:p w14:paraId="09B380EE" w14:textId="77777777" w:rsidR="00CE2D44" w:rsidRPr="00655836" w:rsidRDefault="00CE2D44" w:rsidP="00CE2D44">
      <w:pPr>
        <w:contextualSpacing/>
      </w:pPr>
      <w:r w:rsidRPr="00655836">
        <w:t>- Giudice di Pace di Treviso RG 5434/2023</w:t>
      </w:r>
    </w:p>
    <w:p w14:paraId="4665D22C" w14:textId="77777777" w:rsidR="00CE2D44" w:rsidRPr="00655836" w:rsidRDefault="00CE2D44" w:rsidP="00CE2D44">
      <w:pPr>
        <w:contextualSpacing/>
      </w:pPr>
      <w:r w:rsidRPr="00655836">
        <w:t>- Giudice di Pace di Padova Sentenza N. 1511/2023</w:t>
      </w:r>
    </w:p>
    <w:p w14:paraId="4B3CC62A" w14:textId="77777777" w:rsidR="00CE2D44" w:rsidRPr="00655836" w:rsidRDefault="00CE2D44" w:rsidP="00CE2D44">
      <w:pPr>
        <w:contextualSpacing/>
      </w:pPr>
      <w:r w:rsidRPr="00655836">
        <w:t>- Giudice di Pace di Padova Sentenza N. 1550/2023</w:t>
      </w:r>
    </w:p>
    <w:p w14:paraId="758B0D79" w14:textId="77777777" w:rsidR="00CE2D44" w:rsidRPr="00655836" w:rsidRDefault="00CE2D44" w:rsidP="00CE2D44">
      <w:pPr>
        <w:contextualSpacing/>
      </w:pPr>
      <w:r w:rsidRPr="00655836">
        <w:t>- Giudice di Pace di Padova Sentenza N. 454/2024</w:t>
      </w:r>
    </w:p>
    <w:p w14:paraId="7290E173" w14:textId="77777777" w:rsidR="00CE2D44" w:rsidRPr="00655836" w:rsidRDefault="00CE2D44" w:rsidP="00CE2D44">
      <w:pPr>
        <w:contextualSpacing/>
      </w:pPr>
      <w:r w:rsidRPr="00655836">
        <w:t>- Giudice di Pace di Padova Sentenza N. 6795/2024</w:t>
      </w:r>
    </w:p>
    <w:p w14:paraId="3B25FAC7" w14:textId="77777777" w:rsidR="00CE2D44" w:rsidRPr="00655836" w:rsidRDefault="00CE2D44" w:rsidP="00CE2D44">
      <w:pPr>
        <w:contextualSpacing/>
      </w:pPr>
      <w:r w:rsidRPr="00655836">
        <w:t>- Giudice di Pace di Padova Sentenza N. 1058/2024</w:t>
      </w:r>
    </w:p>
    <w:p w14:paraId="3B1283D4" w14:textId="77777777" w:rsidR="00CE2D44" w:rsidRPr="00655836" w:rsidRDefault="00CE2D44" w:rsidP="00CE2D44">
      <w:pPr>
        <w:contextualSpacing/>
      </w:pPr>
      <w:r w:rsidRPr="00655836">
        <w:t>- Giudice di Pace di Padova RG 5385/2023</w:t>
      </w:r>
    </w:p>
    <w:p w14:paraId="50582632" w14:textId="77777777" w:rsidR="00CE2D44" w:rsidRPr="00655836" w:rsidRDefault="00CE2D44" w:rsidP="00CE2D44">
      <w:pPr>
        <w:contextualSpacing/>
      </w:pPr>
      <w:r w:rsidRPr="00655836">
        <w:t>- Giudice di Pace di Padova RG 4099/2023</w:t>
      </w:r>
    </w:p>
    <w:p w14:paraId="60BE1F42" w14:textId="77777777" w:rsidR="00CE2D44" w:rsidRPr="00655836" w:rsidRDefault="00CE2D44" w:rsidP="00CE2D44">
      <w:pPr>
        <w:contextualSpacing/>
      </w:pPr>
      <w:r w:rsidRPr="00655836">
        <w:t>- Giudice di Pace di Rovigo Sentenza N. 665/2023</w:t>
      </w:r>
    </w:p>
    <w:p w14:paraId="78C211AC" w14:textId="77777777" w:rsidR="00CE2D44" w:rsidRPr="00655836" w:rsidRDefault="00CE2D44" w:rsidP="00CE2D44">
      <w:pPr>
        <w:contextualSpacing/>
      </w:pPr>
      <w:r w:rsidRPr="00655836">
        <w:t>- Giudice di Pace di Rovigo Sentenza N. 666/2023</w:t>
      </w:r>
    </w:p>
    <w:p w14:paraId="482CE680" w14:textId="77777777" w:rsidR="00CE2D44" w:rsidRPr="00655836" w:rsidRDefault="00CE2D44" w:rsidP="00CE2D44">
      <w:pPr>
        <w:contextualSpacing/>
      </w:pPr>
      <w:r w:rsidRPr="00655836">
        <w:t>- Giudice di Pace di Rovigo RG 5588/2023</w:t>
      </w:r>
    </w:p>
    <w:p w14:paraId="7D938F71" w14:textId="77777777" w:rsidR="00CE2D44" w:rsidRPr="00655836" w:rsidRDefault="00CE2D44" w:rsidP="00CE2D44">
      <w:pPr>
        <w:contextualSpacing/>
      </w:pPr>
      <w:r w:rsidRPr="00655836">
        <w:t>- Giudice di Pace di Rovigo RG 5949/2023</w:t>
      </w:r>
    </w:p>
    <w:p w14:paraId="20F2E52D" w14:textId="77777777" w:rsidR="00CE2D44" w:rsidRPr="00655836" w:rsidRDefault="00CE2D44" w:rsidP="00CE2D44">
      <w:pPr>
        <w:contextualSpacing/>
      </w:pPr>
      <w:r w:rsidRPr="00655836">
        <w:t>- Giudice di Pace di Rovigo Sentenza N. 219/2024</w:t>
      </w:r>
    </w:p>
    <w:p w14:paraId="214EC465" w14:textId="77777777" w:rsidR="00CE2D44" w:rsidRPr="00655836" w:rsidRDefault="00CE2D44" w:rsidP="00CE2D44">
      <w:pPr>
        <w:contextualSpacing/>
      </w:pPr>
      <w:r w:rsidRPr="00655836">
        <w:t>- Giudice di Pace di Viterbo RG 1716/2023</w:t>
      </w:r>
    </w:p>
    <w:p w14:paraId="65D11062" w14:textId="77777777" w:rsidR="00CE2D44" w:rsidRPr="00655836" w:rsidRDefault="00CE2D44" w:rsidP="00CE2D44">
      <w:pPr>
        <w:contextualSpacing/>
      </w:pPr>
      <w:r w:rsidRPr="00655836">
        <w:t>- Giudice di Pace di Ancona Sentenza N. 80/2024</w:t>
      </w:r>
    </w:p>
    <w:p w14:paraId="206E7A90" w14:textId="77777777" w:rsidR="00CE2D44" w:rsidRPr="00655836" w:rsidRDefault="00CE2D44" w:rsidP="00CE2D44">
      <w:pPr>
        <w:contextualSpacing/>
      </w:pPr>
      <w:r w:rsidRPr="00655836">
        <w:t>- Giudice di Pace di Monza RG 6910/2023</w:t>
      </w:r>
    </w:p>
    <w:p w14:paraId="49609C8F" w14:textId="77777777" w:rsidR="00CE2D44" w:rsidRPr="00655836" w:rsidRDefault="00CE2D44" w:rsidP="00CE2D44">
      <w:pPr>
        <w:contextualSpacing/>
      </w:pPr>
      <w:r w:rsidRPr="00655836">
        <w:t>- Giudice di Pace di Portoferraio Sentenza N. 17/2024</w:t>
      </w:r>
    </w:p>
    <w:p w14:paraId="1A630746" w14:textId="77777777" w:rsidR="00CE2D44" w:rsidRPr="00655836" w:rsidRDefault="00CE2D44" w:rsidP="00CE2D44">
      <w:pPr>
        <w:contextualSpacing/>
      </w:pPr>
      <w:r w:rsidRPr="00655836">
        <w:t>- Giudice di Pace di Parma RG 3192/2023</w:t>
      </w:r>
    </w:p>
    <w:p w14:paraId="641ABC6E" w14:textId="77777777" w:rsidR="00CE2D44" w:rsidRPr="00655836" w:rsidRDefault="00CE2D44" w:rsidP="00CE2D44">
      <w:pPr>
        <w:contextualSpacing/>
      </w:pPr>
      <w:r w:rsidRPr="00655836">
        <w:t>- Giudice di Pace di Novara Sentenza N. 4824/2023</w:t>
      </w:r>
    </w:p>
    <w:p w14:paraId="70BBA40C" w14:textId="77777777" w:rsidR="00CE2D44" w:rsidRPr="00655836" w:rsidRDefault="00CE2D44" w:rsidP="00CE2D44">
      <w:pPr>
        <w:contextualSpacing/>
      </w:pPr>
      <w:r w:rsidRPr="00655836">
        <w:t>- Giudice di Pace di Lanciano RG 639/2023</w:t>
      </w:r>
    </w:p>
    <w:p w14:paraId="69914343" w14:textId="77777777" w:rsidR="00CE2D44" w:rsidRPr="00655836" w:rsidRDefault="00CE2D44" w:rsidP="00CE2D44">
      <w:pPr>
        <w:contextualSpacing/>
      </w:pPr>
      <w:r w:rsidRPr="00655836">
        <w:t>- Giudice di Pace di Ivrea RG 2842/2023</w:t>
      </w:r>
    </w:p>
    <w:p w14:paraId="04CE588E" w14:textId="77777777" w:rsidR="00CE2D44" w:rsidRPr="00655836" w:rsidRDefault="00CE2D44" w:rsidP="00CE2D44">
      <w:pPr>
        <w:contextualSpacing/>
      </w:pPr>
      <w:r w:rsidRPr="00655836">
        <w:t>- Giudice di Pace di Sondrio Sentenza N. 117/2024</w:t>
      </w:r>
    </w:p>
    <w:p w14:paraId="7B27F2AF" w14:textId="77777777" w:rsidR="00CE2D44" w:rsidRPr="00655836" w:rsidRDefault="00CE2D44" w:rsidP="00CE2D44">
      <w:pPr>
        <w:contextualSpacing/>
      </w:pPr>
      <w:r w:rsidRPr="00655836">
        <w:t>- Giudice di Pace di Belluno RG 1263/2023</w:t>
      </w:r>
    </w:p>
    <w:p w14:paraId="46961F22" w14:textId="291D542B" w:rsidR="00CE2D44" w:rsidRPr="00655836" w:rsidRDefault="00CE2D44" w:rsidP="00CE2D44">
      <w:pPr>
        <w:ind w:firstLine="708"/>
        <w:contextualSpacing/>
      </w:pPr>
      <w:r w:rsidRPr="00655836">
        <w:t>Inoltre, va anche rilevato che l’avviso di accertamento impugnato risulta pienamente motivato: esso indica espressamente il presupposto impositivo (utilizzo in via mediata della rete del concessionario per le annualità 2021-202</w:t>
      </w:r>
      <w:r w:rsidR="00EF56F2">
        <w:t>5</w:t>
      </w:r>
      <w:r w:rsidRPr="00655836">
        <w:t xml:space="preserve">), la norma applicata (art. 1, comma 831, L. 160/2019), il metodo di calcolo adottato (stima induttiva basata sulle quote di mercato AGCOM </w:t>
      </w:r>
      <w:r w:rsidRPr="00EF11A5">
        <w:t xml:space="preserve">applicate alla popolazione residente nel Comune di </w:t>
      </w:r>
      <w:r w:rsidR="00EF56F2" w:rsidRPr="00EF11A5">
        <w:t>Francavilla al Mare</w:t>
      </w:r>
      <w:r w:rsidRPr="00EF11A5">
        <w:t xml:space="preserve">), le singole </w:t>
      </w:r>
      <w:r w:rsidRPr="00EF11A5">
        <w:lastRenderedPageBreak/>
        <w:t xml:space="preserve">annualità e i relativi importi (€ </w:t>
      </w:r>
      <w:r w:rsidR="00EF11A5" w:rsidRPr="00EF11A5">
        <w:t>1.240</w:t>
      </w:r>
      <w:r w:rsidRPr="00EF11A5">
        <w:t xml:space="preserve"> per il 2021; € </w:t>
      </w:r>
      <w:r w:rsidR="00EF11A5" w:rsidRPr="00EF11A5">
        <w:t>497,68</w:t>
      </w:r>
      <w:r w:rsidRPr="00EF11A5">
        <w:t xml:space="preserve"> per il 2022; € </w:t>
      </w:r>
      <w:r w:rsidR="00EF11A5" w:rsidRPr="00EF11A5">
        <w:t>544,32</w:t>
      </w:r>
      <w:r w:rsidRPr="00EF11A5">
        <w:t xml:space="preserve"> per il 2023; € </w:t>
      </w:r>
      <w:r w:rsidR="00EF11A5" w:rsidRPr="00EF11A5">
        <w:t>502,48</w:t>
      </w:r>
      <w:r w:rsidRPr="00EF11A5">
        <w:t xml:space="preserve"> per il 2024</w:t>
      </w:r>
      <w:r w:rsidR="00EF11A5" w:rsidRPr="00EF11A5">
        <w:t xml:space="preserve"> e 558,60 per il 2025</w:t>
      </w:r>
      <w:r w:rsidRPr="00EF11A5">
        <w:t>), la sanzione applicata ai sensi dell’art. 2 del Regolamento Comunale, nonché gli interessi calcolati</w:t>
      </w:r>
      <w:r w:rsidRPr="00655836">
        <w:t xml:space="preserve"> ai sensi dell’art. 1, comma 802, L. 160/2019. </w:t>
      </w:r>
    </w:p>
    <w:p w14:paraId="08352310" w14:textId="77777777" w:rsidR="00CE2D44" w:rsidRPr="00655836" w:rsidRDefault="00CE2D44" w:rsidP="00CE2D44">
      <w:pPr>
        <w:ind w:firstLine="708"/>
        <w:contextualSpacing/>
      </w:pPr>
      <w:r w:rsidRPr="00655836">
        <w:t>L’atto soddisfa pienamente i requisiti di certezza, liquidità ed esigibilità richiesti dalla norma, consentendo al destinatario di comprendere appieno le ragioni della pretesa e di articolare adeguatamente la propria difesa — come del resto ha fatto Wind Tre con il presente ricorso in opposizione.</w:t>
      </w:r>
    </w:p>
    <w:p w14:paraId="798EC9C4" w14:textId="77777777" w:rsidR="00CE2D44" w:rsidRPr="00655836" w:rsidRDefault="00CE2D44" w:rsidP="00CE2D44">
      <w:pPr>
        <w:ind w:firstLine="708"/>
        <w:contextualSpacing/>
      </w:pPr>
      <w:r w:rsidRPr="00655836">
        <w:t>Si rileva, peraltro, che Wind Tre non ha mosso contestazione specifica sul numero di utenze sulla base delle quali è stato calcolato l’importo del canone, determinato sulla base dei dati ufficiali dell’Osservatorio sulle Comunicazioni AGCOM, come esplicitato nel testo dell’avviso di accertamento.</w:t>
      </w:r>
    </w:p>
    <w:p w14:paraId="75DF63CE" w14:textId="77777777" w:rsidR="00CE2D44" w:rsidRPr="00655836" w:rsidRDefault="00CE2D44" w:rsidP="00CE2D44">
      <w:pPr>
        <w:ind w:firstLine="708"/>
        <w:contextualSpacing/>
      </w:pPr>
      <w:r w:rsidRPr="00655836">
        <w:t xml:space="preserve">Il ricorso al metodo induttivo si è reso necessario esclusivamente a causa dell’omessa autodichiarazione da parte di Wind Tre, che non ha trasmesso al Comune la dichiarazione delle utenze attive per nessuna delle annualità in verifica, nonostante l’espressa richiesta formulata da Archivia Solution S.p.A. con nota del 17 luglio 2025 (doc. 3). </w:t>
      </w:r>
    </w:p>
    <w:p w14:paraId="1604BC91" w14:textId="38BE3C2C" w:rsidR="00CE2D44" w:rsidRPr="00655836" w:rsidRDefault="00CE2D44" w:rsidP="000E44C2">
      <w:pPr>
        <w:ind w:firstLine="567"/>
        <w:contextualSpacing/>
      </w:pPr>
      <w:r w:rsidRPr="00655836">
        <w:t xml:space="preserve">Spetta dunque a Wind Tre, che ha determinato con la propria inadempienza la necessità di ricorrere a tale metodo, fornire la prova contraria, dimostrando documentalmente il numero esatto delle utenze servite nel Comune di </w:t>
      </w:r>
      <w:r w:rsidR="00EF11A5">
        <w:t xml:space="preserve">Francavilla al mare </w:t>
      </w:r>
      <w:r w:rsidRPr="00655836">
        <w:t>per gli anni 2021, 2022, 2023 e 2024</w:t>
      </w:r>
      <w:r w:rsidR="00EF11A5">
        <w:t xml:space="preserve"> e 2025.</w:t>
      </w:r>
    </w:p>
    <w:p w14:paraId="3A0EB17F" w14:textId="41176BA8" w:rsidR="001F43C8" w:rsidRDefault="00870754" w:rsidP="000E44C2">
      <w:pPr>
        <w:pStyle w:val="Paragrafoelenco"/>
        <w:numPr>
          <w:ilvl w:val="0"/>
          <w:numId w:val="1"/>
        </w:numPr>
        <w:spacing w:before="240" w:after="120"/>
        <w:ind w:left="0" w:firstLine="567"/>
        <w:rPr>
          <w:b/>
          <w:bCs/>
        </w:rPr>
      </w:pPr>
      <w:r w:rsidRPr="006E6ED0">
        <w:rPr>
          <w:b/>
          <w:bCs/>
        </w:rPr>
        <w:t xml:space="preserve">IN MERITO AL SECONDO MOTIVO DI RICORSO </w:t>
      </w:r>
      <w:r w:rsidRPr="000E44C2">
        <w:rPr>
          <w:b/>
          <w:bCs/>
          <w:i/>
        </w:rPr>
        <w:t>“LA NATURA TRIBUTARIA DEL CUP E LE SUE P</w:t>
      </w:r>
      <w:r w:rsidR="00EF11A5" w:rsidRPr="000E44C2">
        <w:rPr>
          <w:b/>
          <w:bCs/>
          <w:i/>
        </w:rPr>
        <w:t>IU’</w:t>
      </w:r>
      <w:r w:rsidRPr="000E44C2">
        <w:rPr>
          <w:b/>
          <w:bCs/>
          <w:i/>
        </w:rPr>
        <w:t xml:space="preserve"> IMMEDIATE IMPLICAZIONI. LE CONSEGUENZE CONNESSE ALLE VICENDE DEL REGOLAMENTO COMUNALE</w:t>
      </w:r>
      <w:r w:rsidRPr="006E6ED0">
        <w:rPr>
          <w:b/>
          <w:bCs/>
        </w:rPr>
        <w:t>”</w:t>
      </w:r>
    </w:p>
    <w:p w14:paraId="13008348" w14:textId="77777777" w:rsidR="000E00FC" w:rsidRDefault="000E00FC" w:rsidP="000E44C2">
      <w:pPr>
        <w:ind w:firstLine="567"/>
      </w:pPr>
      <w:r>
        <w:t xml:space="preserve">Wind Tre deduce, in via subordinata, che – ai sensi dell’art. 35 del Regolamento Comunale approvato con Delibera C.C. n. 66 del 29 dicembre 2020 – il canone sarebbe esigibile unicamente nei confronti del soggetto titolare dell’atto di concessione all’occupazione. </w:t>
      </w:r>
    </w:p>
    <w:p w14:paraId="15B90F77" w14:textId="77777777" w:rsidR="000E00FC" w:rsidRDefault="000E00FC" w:rsidP="000E44C2">
      <w:pPr>
        <w:ind w:left="360" w:firstLine="207"/>
      </w:pPr>
      <w:r>
        <w:t>La tesi è infondata e va respinta.</w:t>
      </w:r>
    </w:p>
    <w:p w14:paraId="77930572" w14:textId="77777777" w:rsidR="000E00FC" w:rsidRDefault="000E00FC" w:rsidP="000E44C2">
      <w:pPr>
        <w:ind w:firstLine="567"/>
      </w:pPr>
      <w:r>
        <w:t>In primo luogo, il Regolamento Comunale va letto in conformità con le disposizioni legislative di rango superiore e, in particolare, con l’art. 1, comma 831, della Legge n. 160/2019, come modificato dalla L. n. 178/2020: l’Ente Locale, nell’esercizio della propria potestà regolamentare, non può derogare a una norma di legge, né interpretarla in senso restrittivo rispetto a quanto stabilito dal Legislatore statale.</w:t>
      </w:r>
    </w:p>
    <w:p w14:paraId="5E44CF9D" w14:textId="77777777" w:rsidR="000E00FC" w:rsidRDefault="000E00FC" w:rsidP="000E44C2">
      <w:pPr>
        <w:ind w:firstLine="567"/>
      </w:pPr>
      <w:r>
        <w:lastRenderedPageBreak/>
        <w:t>In secondo luogo, le disposizioni regolamentari richiamate da Wind Tre devono essere lette in modo sistematico e non isolato: esse disciplinano le modalità di dichiarazione e versamento del canone da parte del concessionario, senza per questo escludere la soggettività passiva mediata degli altri utilizzatori della rete, espressamente prevista dalla legge.</w:t>
      </w:r>
    </w:p>
    <w:p w14:paraId="10DD94C7" w14:textId="77777777" w:rsidR="000E00FC" w:rsidRDefault="000E00FC" w:rsidP="000E44C2">
      <w:pPr>
        <w:ind w:firstLine="567"/>
      </w:pPr>
      <w:r>
        <w:t xml:space="preserve">In terzo luogo, e in ogni caso, anche a voler ritenere che il Regolamento Comunale contenga una previsione difformemente interpretata rispetto alla legge, essa sarebbe priva di efficacia giuridica in quanto adottata in contrasto con una norma di rango primario. </w:t>
      </w:r>
    </w:p>
    <w:p w14:paraId="1FA1487F" w14:textId="77777777" w:rsidR="000E00FC" w:rsidRDefault="000E00FC" w:rsidP="000E44C2">
      <w:pPr>
        <w:ind w:firstLine="567"/>
      </w:pPr>
      <w:r>
        <w:t>La legge statale prevale sul regolamento comunale, con la conseguenza che la soggettività passiva mediata di Wind Tre S.p.A. trova diretto fondamento nell’art. 1, comma 831, L. 160/2019, indipendentemente dal contenuto del Regolamento locale.</w:t>
      </w:r>
    </w:p>
    <w:p w14:paraId="0966FE71" w14:textId="77777777" w:rsidR="000E00FC" w:rsidRPr="00B71669" w:rsidRDefault="000E00FC" w:rsidP="000E44C2">
      <w:pPr>
        <w:ind w:firstLine="567"/>
      </w:pPr>
      <w:r w:rsidRPr="00B71669">
        <w:t>Il terzo motivo di opposizione è pertanto infondato e va rigettato.</w:t>
      </w:r>
    </w:p>
    <w:p w14:paraId="4F3BE168" w14:textId="69851DC5" w:rsidR="000E00FC" w:rsidRPr="00FA1629" w:rsidRDefault="006E7B1C" w:rsidP="006E7B1C">
      <w:pPr>
        <w:pStyle w:val="Paragrafoelenco"/>
        <w:numPr>
          <w:ilvl w:val="0"/>
          <w:numId w:val="4"/>
        </w:numPr>
        <w:ind w:left="0" w:firstLine="567"/>
      </w:pPr>
      <w:r>
        <w:rPr>
          <w:b/>
          <w:bCs/>
        </w:rPr>
        <w:t xml:space="preserve"> e 4 - </w:t>
      </w:r>
      <w:r w:rsidR="000E44C2" w:rsidRPr="006E7B1C">
        <w:rPr>
          <w:b/>
          <w:bCs/>
        </w:rPr>
        <w:t>Sull’eccepito difetto di motivazione</w:t>
      </w:r>
      <w:r w:rsidR="000E00FC" w:rsidRPr="006E7B1C">
        <w:rPr>
          <w:b/>
          <w:bCs/>
        </w:rPr>
        <w:t>.</w:t>
      </w:r>
    </w:p>
    <w:p w14:paraId="47434100" w14:textId="5A0C79F6" w:rsidR="000E00FC" w:rsidRDefault="000E00FC" w:rsidP="000E44C2">
      <w:pPr>
        <w:ind w:firstLine="567"/>
      </w:pPr>
      <w:r w:rsidRPr="00FA1629">
        <w:t xml:space="preserve">L’avviso di accertamento impugnato risulta </w:t>
      </w:r>
      <w:r w:rsidR="000E44C2">
        <w:t>puntualmente</w:t>
      </w:r>
      <w:r w:rsidRPr="00FA1629">
        <w:t xml:space="preserve"> motivato: esso indica espressamente il presupposto impositivo (utilizzo in via mediata della rete del concessionario per le annualità 2021-202</w:t>
      </w:r>
      <w:r>
        <w:t>5</w:t>
      </w:r>
      <w:r w:rsidRPr="00FA1629">
        <w:t xml:space="preserve">), la norma applicata (art. 1, comma 831, L. 160/2019), il metodo di calcolo adottato (stima induttiva basata sulle quote di mercato AGCOM applicate alla popolazione residente nel Comune di </w:t>
      </w:r>
      <w:r>
        <w:t>Francavilla al Mare</w:t>
      </w:r>
      <w:r w:rsidRPr="00FA1629">
        <w:t xml:space="preserve">), il totale dell’importo accertato pari a Euro </w:t>
      </w:r>
      <w:r>
        <w:t>3.343</w:t>
      </w:r>
      <w:r w:rsidRPr="00FA1629">
        <w:t>,</w:t>
      </w:r>
      <w:r>
        <w:t>08</w:t>
      </w:r>
      <w:r w:rsidRPr="00FA1629">
        <w:t xml:space="preserve"> la sanzione applicata ai sensi del Regolamento Comunale, nonché gli interessi calcolati ai sensi dell’art. 1, comma 802, L. 160/2019. </w:t>
      </w:r>
    </w:p>
    <w:p w14:paraId="7A217E41" w14:textId="77777777" w:rsidR="000E00FC" w:rsidRPr="00FA1629" w:rsidRDefault="000E00FC" w:rsidP="000E44C2">
      <w:pPr>
        <w:ind w:left="142" w:firstLine="425"/>
      </w:pPr>
      <w:r w:rsidRPr="00FA1629">
        <w:t>L’atto soddisfa pienamente i requisiti di certezza, liquidità ed esigibilità richiesti dalla norma, consentendo al destinatario di comprendere appieno le ragioni della pretesa e di articolare adeguatamente la propria difesa – come del resto ha fatto Wind Tre con il presente ricorso in opposizione.</w:t>
      </w:r>
    </w:p>
    <w:p w14:paraId="71F57AF9" w14:textId="77777777" w:rsidR="000E00FC" w:rsidRPr="00FA1629" w:rsidRDefault="000E00FC" w:rsidP="000E44C2">
      <w:pPr>
        <w:ind w:firstLine="567"/>
      </w:pPr>
      <w:r w:rsidRPr="00FA1629">
        <w:t xml:space="preserve">Si rileva, peraltro, che Wind Tre non ha mosso contestazione specifica sul numero di utenze sulla base delle quali è stato calcolato l’importo del canone, determinato sulla base dei dati ufficiali dell’Osservatorio sulle Comunicazioni AGCOM, come esplicitato nel testo dell’avviso di </w:t>
      </w:r>
      <w:r w:rsidRPr="001F6D41">
        <w:t>accertamento (</w:t>
      </w:r>
      <w:r w:rsidRPr="000E44C2">
        <w:rPr>
          <w:b/>
        </w:rPr>
        <w:t>doc. 4</w:t>
      </w:r>
      <w:r w:rsidRPr="001F6D41">
        <w:t>).</w:t>
      </w:r>
    </w:p>
    <w:p w14:paraId="1E14A4DE" w14:textId="77777777" w:rsidR="006E7B1C" w:rsidRDefault="006E7B1C" w:rsidP="006E7B1C">
      <w:pPr>
        <w:pStyle w:val="Paragrafoelenco"/>
        <w:numPr>
          <w:ilvl w:val="0"/>
          <w:numId w:val="5"/>
        </w:numPr>
        <w:rPr>
          <w:b/>
          <w:bCs/>
        </w:rPr>
      </w:pPr>
      <w:r>
        <w:rPr>
          <w:b/>
          <w:bCs/>
        </w:rPr>
        <w:t>In merito alla determinazione del Tributo</w:t>
      </w:r>
    </w:p>
    <w:p w14:paraId="717B89EE" w14:textId="2B25BCBF" w:rsidR="000E00FC" w:rsidRPr="006E7B1C" w:rsidRDefault="006E7B1C" w:rsidP="006E7B1C">
      <w:pPr>
        <w:ind w:firstLine="360"/>
        <w:rPr>
          <w:bCs/>
        </w:rPr>
      </w:pPr>
      <w:r w:rsidRPr="006E7B1C">
        <w:rPr>
          <w:bCs/>
        </w:rPr>
        <w:t>Si specifica che i</w:t>
      </w:r>
      <w:r w:rsidR="000E00FC" w:rsidRPr="006E7B1C">
        <w:rPr>
          <w:bCs/>
        </w:rPr>
        <w:t xml:space="preserve">l ricorso al metodo induttivo si è reso necessario esclusivamente a causa dell’omessa autodichiarazione da parte di Wind Tre, che non ha trasmesso al Comune la dichiarazione delle utenze attive per nessuna delle annualità in verifica, nonostante l’espressa richiesta formulata da Risco </w:t>
      </w:r>
      <w:proofErr w:type="spellStart"/>
      <w:r w:rsidR="000E00FC" w:rsidRPr="006E7B1C">
        <w:rPr>
          <w:bCs/>
        </w:rPr>
        <w:t>srl</w:t>
      </w:r>
      <w:proofErr w:type="spellEnd"/>
      <w:r w:rsidR="000E00FC" w:rsidRPr="006E7B1C">
        <w:rPr>
          <w:bCs/>
        </w:rPr>
        <w:t xml:space="preserve">.  (doc. </w:t>
      </w:r>
      <w:r w:rsidR="001F6D41" w:rsidRPr="006E7B1C">
        <w:rPr>
          <w:bCs/>
        </w:rPr>
        <w:t>n.</w:t>
      </w:r>
      <w:r w:rsidR="000E00FC" w:rsidRPr="006E7B1C">
        <w:rPr>
          <w:bCs/>
        </w:rPr>
        <w:t xml:space="preserve">3). </w:t>
      </w:r>
    </w:p>
    <w:p w14:paraId="2B6769D2" w14:textId="7B80251B" w:rsidR="000E00FC" w:rsidRPr="00FA1629" w:rsidRDefault="000E00FC" w:rsidP="000E44C2">
      <w:pPr>
        <w:ind w:firstLine="567"/>
      </w:pPr>
      <w:r w:rsidRPr="00FA1629">
        <w:t xml:space="preserve">Spetta dunque a Wind Tre, che ha determinato con la propria inadempienza la necessità di ricorrere a tale metodo, fornire la prova contraria, dimostrando </w:t>
      </w:r>
      <w:r w:rsidRPr="00FA1629">
        <w:lastRenderedPageBreak/>
        <w:t xml:space="preserve">documentalmente il numero esatto delle utenze servite nel Comune di </w:t>
      </w:r>
      <w:r>
        <w:t>Francavilla al Mare per le annualità 2021,2022,2022,2024 e 2025.</w:t>
      </w:r>
    </w:p>
    <w:p w14:paraId="5CBCB049" w14:textId="77777777" w:rsidR="000E00FC" w:rsidRDefault="000E00FC" w:rsidP="000E44C2">
      <w:pPr>
        <w:ind w:firstLine="567"/>
      </w:pPr>
      <w:r w:rsidRPr="001910EF">
        <w:t xml:space="preserve">L'avviso di accertamento è dunque pienamente legittimo nel metodo e nel </w:t>
      </w:r>
      <w:r w:rsidRPr="000E44C2">
        <w:rPr>
          <w:i/>
        </w:rPr>
        <w:t>quantum</w:t>
      </w:r>
      <w:r w:rsidRPr="001910EF">
        <w:t>, e ogni contestazione sul punto va rigettata</w:t>
      </w:r>
      <w:r>
        <w:t>.</w:t>
      </w:r>
    </w:p>
    <w:p w14:paraId="19D5CE05" w14:textId="2868ECAA" w:rsidR="00214F98" w:rsidRDefault="003407F2" w:rsidP="006E7B1C">
      <w:pPr>
        <w:pStyle w:val="Paragrafoelenco"/>
        <w:numPr>
          <w:ilvl w:val="0"/>
          <w:numId w:val="5"/>
        </w:numPr>
        <w:ind w:left="0" w:firstLine="567"/>
        <w:rPr>
          <w:rFonts w:eastAsia="Times New Roman"/>
          <w:b/>
          <w:bCs/>
          <w:kern w:val="1"/>
          <w:lang w:eastAsia="ar-SA"/>
        </w:rPr>
      </w:pPr>
      <w:r w:rsidRPr="003407F2">
        <w:rPr>
          <w:rFonts w:eastAsia="Times New Roman"/>
          <w:b/>
          <w:bCs/>
          <w:kern w:val="1"/>
          <w:lang w:eastAsia="ar-SA"/>
        </w:rPr>
        <w:t xml:space="preserve">IN MERITO </w:t>
      </w:r>
      <w:r w:rsidR="00F77C3C" w:rsidRPr="006E7B1C">
        <w:rPr>
          <w:rFonts w:eastAsia="Times New Roman"/>
          <w:b/>
          <w:bCs/>
          <w:i/>
          <w:kern w:val="1"/>
          <w:lang w:eastAsia="ar-SA"/>
        </w:rPr>
        <w:t>“ALL’</w:t>
      </w:r>
      <w:r w:rsidRPr="006E7B1C">
        <w:rPr>
          <w:rFonts w:eastAsia="Times New Roman"/>
          <w:b/>
          <w:bCs/>
          <w:i/>
          <w:kern w:val="1"/>
          <w:lang w:eastAsia="ar-SA"/>
        </w:rPr>
        <w:t>ILLEGITTIMITÀ ED INFONDATEZZA DELL’AVVISO IN VIRTÙ DELL’AVVENUTA COMUNICAZIONE DELLE UTENZE ATTIVE E DELL’AVVENUTO VERSAMENTO DEL CUP CAVI E CONDUTTORE DA PARTE DI WIND TRE PER LE OCCUPAZIONI SVOLTE NEGLI ANNI 2021, 2022, 2023, 2024 E 2025</w:t>
      </w:r>
      <w:r w:rsidRPr="003407F2">
        <w:rPr>
          <w:rFonts w:eastAsia="Times New Roman"/>
          <w:b/>
          <w:bCs/>
          <w:kern w:val="1"/>
          <w:lang w:eastAsia="ar-SA"/>
        </w:rPr>
        <w:t>”</w:t>
      </w:r>
    </w:p>
    <w:p w14:paraId="7FCF35BB" w14:textId="77777777" w:rsidR="00334543" w:rsidRDefault="008E5090" w:rsidP="006E7B1C">
      <w:pPr>
        <w:ind w:firstLine="567"/>
        <w:rPr>
          <w:rFonts w:eastAsia="Times New Roman"/>
          <w:kern w:val="1"/>
          <w:lang w:eastAsia="ar-SA"/>
        </w:rPr>
      </w:pPr>
      <w:r w:rsidRPr="008E5090">
        <w:rPr>
          <w:rFonts w:eastAsia="Times New Roman"/>
          <w:kern w:val="1"/>
          <w:lang w:eastAsia="ar-SA"/>
        </w:rPr>
        <w:t xml:space="preserve">La </w:t>
      </w:r>
      <w:r>
        <w:rPr>
          <w:rFonts w:eastAsia="Times New Roman"/>
          <w:kern w:val="1"/>
          <w:lang w:eastAsia="ar-SA"/>
        </w:rPr>
        <w:t xml:space="preserve">ricorrente deduce con il sesto motivo di ricorso di aver presentato le dichiarazioni circa le utenze e pertanto l’avviso impugnato risulterebbe illegittimo. </w:t>
      </w:r>
    </w:p>
    <w:p w14:paraId="6B8CDF77" w14:textId="60E1E16A" w:rsidR="00334543" w:rsidRDefault="008E5090" w:rsidP="0095501E">
      <w:pPr>
        <w:ind w:firstLine="708"/>
        <w:rPr>
          <w:rFonts w:eastAsia="Times New Roman"/>
          <w:kern w:val="1"/>
          <w:lang w:eastAsia="ar-SA"/>
        </w:rPr>
      </w:pPr>
      <w:r>
        <w:rPr>
          <w:rFonts w:eastAsia="Times New Roman"/>
          <w:kern w:val="1"/>
          <w:lang w:eastAsia="ar-SA"/>
        </w:rPr>
        <w:t xml:space="preserve">L’avversa doglianza è infondata. </w:t>
      </w:r>
    </w:p>
    <w:p w14:paraId="07C59ACF" w14:textId="77777777" w:rsidR="006E7B1C" w:rsidRDefault="0095501E" w:rsidP="0095501E">
      <w:pPr>
        <w:ind w:firstLine="708"/>
        <w:rPr>
          <w:rFonts w:eastAsia="Times New Roman"/>
          <w:b/>
          <w:kern w:val="1"/>
          <w:lang w:eastAsia="ar-SA"/>
        </w:rPr>
      </w:pPr>
      <w:r>
        <w:rPr>
          <w:rFonts w:eastAsia="Times New Roman"/>
          <w:kern w:val="1"/>
          <w:lang w:eastAsia="ar-SA"/>
        </w:rPr>
        <w:t>I</w:t>
      </w:r>
      <w:r w:rsidR="008E5090">
        <w:rPr>
          <w:rFonts w:eastAsia="Times New Roman"/>
          <w:kern w:val="1"/>
          <w:lang w:eastAsia="ar-SA"/>
        </w:rPr>
        <w:t>l Comune,</w:t>
      </w:r>
      <w:r w:rsidR="00334543">
        <w:rPr>
          <w:rFonts w:eastAsia="Times New Roman"/>
          <w:kern w:val="1"/>
          <w:lang w:eastAsia="ar-SA"/>
        </w:rPr>
        <w:t xml:space="preserve"> nell’ottica della trasparenza e leale collaborazione con il Contribuente, </w:t>
      </w:r>
      <w:r w:rsidR="006E7B1C">
        <w:rPr>
          <w:rFonts w:eastAsia="Times New Roman"/>
          <w:kern w:val="1"/>
          <w:lang w:eastAsia="ar-SA"/>
        </w:rPr>
        <w:t>ha tempestivamente</w:t>
      </w:r>
      <w:r w:rsidR="00334543">
        <w:rPr>
          <w:rFonts w:eastAsia="Times New Roman"/>
          <w:kern w:val="1"/>
          <w:lang w:eastAsia="ar-SA"/>
        </w:rPr>
        <w:t xml:space="preserve"> </w:t>
      </w:r>
      <w:r w:rsidR="008E5090">
        <w:rPr>
          <w:rFonts w:eastAsia="Times New Roman"/>
          <w:kern w:val="1"/>
          <w:lang w:eastAsia="ar-SA"/>
        </w:rPr>
        <w:t>rappresenta</w:t>
      </w:r>
      <w:r w:rsidR="006E7B1C">
        <w:rPr>
          <w:rFonts w:eastAsia="Times New Roman"/>
          <w:kern w:val="1"/>
          <w:lang w:eastAsia="ar-SA"/>
        </w:rPr>
        <w:t>to c</w:t>
      </w:r>
      <w:r w:rsidR="008E5090">
        <w:rPr>
          <w:rFonts w:eastAsia="Times New Roman"/>
          <w:kern w:val="1"/>
          <w:lang w:eastAsia="ar-SA"/>
        </w:rPr>
        <w:t>he</w:t>
      </w:r>
      <w:r w:rsidR="006E7B1C">
        <w:rPr>
          <w:rFonts w:eastAsia="Times New Roman"/>
          <w:kern w:val="1"/>
          <w:lang w:eastAsia="ar-SA"/>
        </w:rPr>
        <w:t>,</w:t>
      </w:r>
      <w:r w:rsidR="008E5090">
        <w:rPr>
          <w:rFonts w:eastAsia="Times New Roman"/>
          <w:kern w:val="1"/>
          <w:lang w:eastAsia="ar-SA"/>
        </w:rPr>
        <w:t xml:space="preserve"> solo per una annualità</w:t>
      </w:r>
      <w:r w:rsidR="006E7B1C">
        <w:rPr>
          <w:rFonts w:eastAsia="Times New Roman"/>
          <w:kern w:val="1"/>
          <w:lang w:eastAsia="ar-SA"/>
        </w:rPr>
        <w:t>,</w:t>
      </w:r>
      <w:r w:rsidR="008E5090">
        <w:rPr>
          <w:rFonts w:eastAsia="Times New Roman"/>
          <w:kern w:val="1"/>
          <w:lang w:eastAsia="ar-SA"/>
        </w:rPr>
        <w:t xml:space="preserve"> la società aveva presentato un dato numerico, ancorché irrisorio, per tutte le altre annualità</w:t>
      </w:r>
      <w:r w:rsidR="006E7B1C">
        <w:rPr>
          <w:rFonts w:eastAsia="Times New Roman"/>
          <w:kern w:val="1"/>
          <w:lang w:eastAsia="ar-SA"/>
        </w:rPr>
        <w:t>,</w:t>
      </w:r>
      <w:r w:rsidR="008E5090">
        <w:rPr>
          <w:rFonts w:eastAsia="Times New Roman"/>
          <w:kern w:val="1"/>
          <w:lang w:eastAsia="ar-SA"/>
        </w:rPr>
        <w:t xml:space="preserve"> invece</w:t>
      </w:r>
      <w:r w:rsidR="006E7B1C">
        <w:rPr>
          <w:rFonts w:eastAsia="Times New Roman"/>
          <w:kern w:val="1"/>
          <w:lang w:eastAsia="ar-SA"/>
        </w:rPr>
        <w:t>,</w:t>
      </w:r>
      <w:r w:rsidR="008E5090">
        <w:rPr>
          <w:rFonts w:eastAsia="Times New Roman"/>
          <w:kern w:val="1"/>
          <w:lang w:eastAsia="ar-SA"/>
        </w:rPr>
        <w:t xml:space="preserve"> la società dichiarava n. </w:t>
      </w:r>
      <w:r w:rsidR="008E5090" w:rsidRPr="006E7B1C">
        <w:rPr>
          <w:rFonts w:eastAsia="Times New Roman"/>
          <w:b/>
          <w:kern w:val="1"/>
          <w:lang w:eastAsia="ar-SA"/>
        </w:rPr>
        <w:t>“0” utenze</w:t>
      </w:r>
      <w:r w:rsidR="006E7B1C">
        <w:rPr>
          <w:rFonts w:eastAsia="Times New Roman"/>
          <w:b/>
          <w:kern w:val="1"/>
          <w:lang w:eastAsia="ar-SA"/>
        </w:rPr>
        <w:t>.</w:t>
      </w:r>
    </w:p>
    <w:p w14:paraId="24188E9A" w14:textId="4FC371AA" w:rsidR="008E5090" w:rsidRPr="00334543" w:rsidRDefault="006E7B1C" w:rsidP="006E7B1C">
      <w:pPr>
        <w:ind w:firstLine="708"/>
        <w:rPr>
          <w:rFonts w:eastAsia="Times New Roman"/>
          <w:i/>
          <w:iCs/>
          <w:kern w:val="1"/>
          <w:lang w:eastAsia="ar-SA"/>
        </w:rPr>
      </w:pPr>
      <w:r w:rsidRPr="006E7B1C">
        <w:rPr>
          <w:rFonts w:eastAsia="Times New Roman"/>
          <w:kern w:val="1"/>
          <w:lang w:eastAsia="ar-SA"/>
        </w:rPr>
        <w:t>Ed infatti,</w:t>
      </w:r>
      <w:r>
        <w:rPr>
          <w:rFonts w:eastAsia="Times New Roman"/>
          <w:b/>
          <w:kern w:val="1"/>
          <w:lang w:eastAsia="ar-SA"/>
        </w:rPr>
        <w:t xml:space="preserve"> </w:t>
      </w:r>
      <w:r w:rsidR="008E5090" w:rsidRPr="006E7B1C">
        <w:rPr>
          <w:rFonts w:eastAsia="Times New Roman"/>
          <w:iCs/>
          <w:kern w:val="1"/>
          <w:lang w:eastAsia="ar-SA"/>
        </w:rPr>
        <w:t xml:space="preserve">con </w:t>
      </w:r>
      <w:r w:rsidRPr="006E7B1C">
        <w:rPr>
          <w:rFonts w:eastAsia="Times New Roman"/>
          <w:iCs/>
          <w:kern w:val="1"/>
          <w:lang w:eastAsia="ar-SA"/>
        </w:rPr>
        <w:t xml:space="preserve">nota </w:t>
      </w:r>
      <w:r w:rsidR="008E5090" w:rsidRPr="006E7B1C">
        <w:rPr>
          <w:rFonts w:eastAsia="Times New Roman"/>
          <w:iCs/>
          <w:kern w:val="1"/>
          <w:lang w:eastAsia="ar-SA"/>
        </w:rPr>
        <w:t>trasmessa in data 02/02/2026, si chiedeva una puntuale dichiarazione del n</w:t>
      </w:r>
      <w:r>
        <w:rPr>
          <w:rFonts w:eastAsia="Times New Roman"/>
          <w:iCs/>
          <w:kern w:val="1"/>
          <w:lang w:eastAsia="ar-SA"/>
        </w:rPr>
        <w:t>umero</w:t>
      </w:r>
      <w:r w:rsidR="008E5090" w:rsidRPr="006E7B1C">
        <w:rPr>
          <w:rFonts w:eastAsia="Times New Roman"/>
          <w:iCs/>
          <w:kern w:val="1"/>
          <w:lang w:eastAsia="ar-SA"/>
        </w:rPr>
        <w:t xml:space="preserve"> di utenze attive nel Comune di Francavilla al Mare, specificando che la società risulta</w:t>
      </w:r>
      <w:r>
        <w:rPr>
          <w:rFonts w:eastAsia="Times New Roman"/>
          <w:iCs/>
          <w:kern w:val="1"/>
          <w:lang w:eastAsia="ar-SA"/>
        </w:rPr>
        <w:t>va</w:t>
      </w:r>
      <w:r w:rsidR="008E5090" w:rsidRPr="006E7B1C">
        <w:rPr>
          <w:rFonts w:eastAsia="Times New Roman"/>
          <w:iCs/>
          <w:kern w:val="1"/>
          <w:lang w:eastAsia="ar-SA"/>
        </w:rPr>
        <w:t xml:space="preserve"> soggetto passivo di imposta poiché utilizza</w:t>
      </w:r>
      <w:r>
        <w:rPr>
          <w:rFonts w:eastAsia="Times New Roman"/>
          <w:iCs/>
          <w:kern w:val="1"/>
          <w:lang w:eastAsia="ar-SA"/>
        </w:rPr>
        <w:t>trice</w:t>
      </w:r>
      <w:r w:rsidR="008E5090" w:rsidRPr="006E7B1C">
        <w:rPr>
          <w:rFonts w:eastAsia="Times New Roman"/>
          <w:iCs/>
          <w:kern w:val="1"/>
          <w:lang w:eastAsia="ar-SA"/>
        </w:rPr>
        <w:t xml:space="preserve"> in via mediata </w:t>
      </w:r>
      <w:r>
        <w:rPr>
          <w:rFonts w:eastAsia="Times New Roman"/>
          <w:iCs/>
          <w:kern w:val="1"/>
          <w:lang w:eastAsia="ar-SA"/>
        </w:rPr>
        <w:t>del</w:t>
      </w:r>
      <w:r w:rsidR="008E5090" w:rsidRPr="006E7B1C">
        <w:rPr>
          <w:rFonts w:eastAsia="Times New Roman"/>
          <w:iCs/>
          <w:kern w:val="1"/>
          <w:lang w:eastAsia="ar-SA"/>
        </w:rPr>
        <w:t>la rete telefonica</w:t>
      </w:r>
      <w:r>
        <w:rPr>
          <w:rFonts w:eastAsia="Times New Roman"/>
          <w:iCs/>
          <w:kern w:val="1"/>
          <w:lang w:eastAsia="ar-SA"/>
        </w:rPr>
        <w:t xml:space="preserve">, specificando che in caso di mancato e puntuale riscontro l’Ente sarebbe stato </w:t>
      </w:r>
      <w:r w:rsidR="008E5090" w:rsidRPr="006E7B1C">
        <w:rPr>
          <w:rFonts w:eastAsia="Times New Roman"/>
          <w:iCs/>
          <w:kern w:val="1"/>
          <w:lang w:eastAsia="ar-SA"/>
        </w:rPr>
        <w:t>costretto a ricorrere alla determinazione del canone in modo induttivo, sulla base dei dati forniti da Punto</w:t>
      </w:r>
      <w:r w:rsidR="007B692D">
        <w:rPr>
          <w:rFonts w:eastAsia="Times New Roman"/>
          <w:iCs/>
          <w:kern w:val="1"/>
          <w:lang w:eastAsia="ar-SA"/>
        </w:rPr>
        <w:t xml:space="preserve"> </w:t>
      </w:r>
      <w:r w:rsidR="008E5090" w:rsidRPr="006E7B1C">
        <w:rPr>
          <w:rFonts w:eastAsia="Times New Roman"/>
          <w:iCs/>
          <w:kern w:val="1"/>
          <w:lang w:eastAsia="ar-SA"/>
        </w:rPr>
        <w:t>Fisco, incrociati con quelli forniti da AGCOM</w:t>
      </w:r>
      <w:r w:rsidR="008E5090" w:rsidRPr="00334543">
        <w:rPr>
          <w:rFonts w:eastAsia="Times New Roman"/>
          <w:i/>
          <w:iCs/>
          <w:kern w:val="1"/>
          <w:lang w:eastAsia="ar-SA"/>
        </w:rPr>
        <w:t>.</w:t>
      </w:r>
    </w:p>
    <w:p w14:paraId="7DEE0A23" w14:textId="77777777" w:rsidR="007B692D" w:rsidRDefault="006E7B1C" w:rsidP="007B692D">
      <w:pPr>
        <w:ind w:firstLine="567"/>
        <w:rPr>
          <w:rFonts w:eastAsia="Times New Roman"/>
          <w:kern w:val="1"/>
          <w:lang w:eastAsia="ar-SA"/>
        </w:rPr>
      </w:pPr>
      <w:r>
        <w:rPr>
          <w:rFonts w:eastAsia="Times New Roman"/>
          <w:kern w:val="1"/>
          <w:lang w:eastAsia="ar-SA"/>
        </w:rPr>
        <w:t xml:space="preserve">A questo punto incombe sulla ricorrente l’onere di dimostrare </w:t>
      </w:r>
      <w:r w:rsidR="007B692D">
        <w:rPr>
          <w:rFonts w:eastAsia="Times New Roman"/>
          <w:kern w:val="1"/>
          <w:lang w:eastAsia="ar-SA"/>
        </w:rPr>
        <w:t xml:space="preserve">l’eventuale </w:t>
      </w:r>
      <w:r w:rsidR="008E5090" w:rsidRPr="006E6ED0">
        <w:rPr>
          <w:rFonts w:eastAsia="Times New Roman"/>
          <w:i/>
          <w:iCs/>
          <w:kern w:val="1"/>
          <w:lang w:eastAsia="ar-SA"/>
        </w:rPr>
        <w:t>quantum</w:t>
      </w:r>
      <w:r w:rsidR="008E5090">
        <w:rPr>
          <w:rFonts w:eastAsia="Times New Roman"/>
          <w:kern w:val="1"/>
          <w:lang w:eastAsia="ar-SA"/>
        </w:rPr>
        <w:t xml:space="preserve"> </w:t>
      </w:r>
      <w:r w:rsidR="007B692D">
        <w:rPr>
          <w:rFonts w:eastAsia="Times New Roman"/>
          <w:kern w:val="1"/>
          <w:lang w:eastAsia="ar-SA"/>
        </w:rPr>
        <w:t>minore</w:t>
      </w:r>
      <w:r w:rsidR="006E6ED0">
        <w:rPr>
          <w:rFonts w:eastAsia="Times New Roman"/>
          <w:kern w:val="1"/>
          <w:lang w:eastAsia="ar-SA"/>
        </w:rPr>
        <w:t>, annualità per annualità</w:t>
      </w:r>
      <w:r w:rsidR="007B692D">
        <w:rPr>
          <w:rFonts w:eastAsia="Times New Roman"/>
          <w:kern w:val="1"/>
          <w:lang w:eastAsia="ar-SA"/>
        </w:rPr>
        <w:t xml:space="preserve">, non potendosi limitare ad </w:t>
      </w:r>
      <w:r w:rsidR="00334543" w:rsidRPr="00334543">
        <w:rPr>
          <w:rFonts w:eastAsia="Times New Roman"/>
          <w:kern w:val="1"/>
          <w:lang w:eastAsia="ar-SA"/>
        </w:rPr>
        <w:t>affermare di avere presentato dichiarazioni pari a zero.</w:t>
      </w:r>
    </w:p>
    <w:p w14:paraId="6F8EB078" w14:textId="3007D23C" w:rsidR="006E6ED0" w:rsidRDefault="00334543" w:rsidP="007B692D">
      <w:pPr>
        <w:ind w:firstLine="567"/>
        <w:rPr>
          <w:rFonts w:eastAsia="Times New Roman"/>
          <w:kern w:val="1"/>
          <w:lang w:eastAsia="ar-SA"/>
        </w:rPr>
      </w:pPr>
      <w:r>
        <w:rPr>
          <w:rFonts w:eastAsia="Times New Roman"/>
          <w:kern w:val="1"/>
          <w:lang w:eastAsia="ar-SA"/>
        </w:rPr>
        <w:t xml:space="preserve">Al contrario, </w:t>
      </w:r>
      <w:r w:rsidRPr="00334543">
        <w:rPr>
          <w:rFonts w:eastAsia="Times New Roman"/>
          <w:kern w:val="1"/>
          <w:lang w:eastAsia="ar-SA"/>
        </w:rPr>
        <w:t xml:space="preserve">AGCOM pubblica periodicamente l’Osservatorio sulle comunicazioni, contenente dati relativi agli accessi di rete fissa, alle linee </w:t>
      </w:r>
      <w:r>
        <w:rPr>
          <w:rFonts w:eastAsia="Times New Roman"/>
          <w:kern w:val="1"/>
          <w:lang w:eastAsia="ar-SA"/>
        </w:rPr>
        <w:t>di diversa natura,</w:t>
      </w:r>
      <w:r w:rsidRPr="00334543">
        <w:rPr>
          <w:rFonts w:eastAsia="Times New Roman"/>
          <w:kern w:val="1"/>
          <w:lang w:eastAsia="ar-SA"/>
        </w:rPr>
        <w:t xml:space="preserve"> alle quote dei principali operatori del settore delle comunicazioni elettroniche</w:t>
      </w:r>
      <w:r>
        <w:rPr>
          <w:rFonts w:eastAsia="Times New Roman"/>
          <w:kern w:val="1"/>
          <w:lang w:eastAsia="ar-SA"/>
        </w:rPr>
        <w:t xml:space="preserve">. </w:t>
      </w:r>
      <w:r w:rsidRPr="00334543">
        <w:rPr>
          <w:rFonts w:eastAsia="Times New Roman"/>
          <w:kern w:val="1"/>
          <w:lang w:eastAsia="ar-SA"/>
        </w:rPr>
        <w:t>Tali dati</w:t>
      </w:r>
      <w:r>
        <w:rPr>
          <w:rFonts w:eastAsia="Times New Roman"/>
          <w:kern w:val="1"/>
          <w:lang w:eastAsia="ar-SA"/>
        </w:rPr>
        <w:t xml:space="preserve"> </w:t>
      </w:r>
      <w:r w:rsidRPr="00334543">
        <w:rPr>
          <w:rFonts w:eastAsia="Times New Roman"/>
          <w:kern w:val="1"/>
          <w:lang w:eastAsia="ar-SA"/>
        </w:rPr>
        <w:t>costituiscono un elemento oggettivo e pubblico utilizzabile dall’Ente quale parametro presuntivo di verifica dell’attendibilità delle dichiarazioni rese dagli operatori.</w:t>
      </w:r>
    </w:p>
    <w:p w14:paraId="0D48E770" w14:textId="77777777" w:rsidR="007B692D" w:rsidRDefault="006E6ED0" w:rsidP="007B692D">
      <w:pPr>
        <w:ind w:firstLine="567"/>
        <w:rPr>
          <w:rFonts w:eastAsia="Times New Roman"/>
          <w:kern w:val="1"/>
          <w:lang w:eastAsia="ar-SA"/>
        </w:rPr>
      </w:pPr>
      <w:r>
        <w:rPr>
          <w:rFonts w:eastAsia="Times New Roman"/>
          <w:kern w:val="1"/>
          <w:lang w:eastAsia="ar-SA"/>
        </w:rPr>
        <w:t>In assenza di qualsivoglia documentazione i dati adoperati dall’Ente</w:t>
      </w:r>
      <w:r w:rsidR="007B692D">
        <w:rPr>
          <w:rFonts w:eastAsia="Times New Roman"/>
          <w:kern w:val="1"/>
          <w:lang w:eastAsia="ar-SA"/>
        </w:rPr>
        <w:t>,</w:t>
      </w:r>
      <w:r>
        <w:rPr>
          <w:rFonts w:eastAsia="Times New Roman"/>
          <w:kern w:val="1"/>
          <w:lang w:eastAsia="ar-SA"/>
        </w:rPr>
        <w:t xml:space="preserve"> risultanti da AGCOM</w:t>
      </w:r>
      <w:r w:rsidR="007B692D">
        <w:rPr>
          <w:rFonts w:eastAsia="Times New Roman"/>
          <w:kern w:val="1"/>
          <w:lang w:eastAsia="ar-SA"/>
        </w:rPr>
        <w:t>,</w:t>
      </w:r>
      <w:r>
        <w:rPr>
          <w:rFonts w:eastAsia="Times New Roman"/>
          <w:kern w:val="1"/>
          <w:lang w:eastAsia="ar-SA"/>
        </w:rPr>
        <w:t xml:space="preserve"> risultano una legittima fonte di calcolo. </w:t>
      </w:r>
    </w:p>
    <w:p w14:paraId="083CBD1F" w14:textId="0274FD5E" w:rsidR="008E5090" w:rsidRPr="008E5090" w:rsidRDefault="007B692D" w:rsidP="007B692D">
      <w:pPr>
        <w:ind w:firstLine="567"/>
        <w:rPr>
          <w:rFonts w:eastAsia="Times New Roman"/>
          <w:kern w:val="1"/>
          <w:lang w:eastAsia="ar-SA"/>
        </w:rPr>
      </w:pPr>
      <w:r>
        <w:rPr>
          <w:rFonts w:eastAsia="Times New Roman"/>
          <w:kern w:val="1"/>
          <w:lang w:eastAsia="ar-SA"/>
        </w:rPr>
        <w:t>S</w:t>
      </w:r>
      <w:r w:rsidR="00213AB6">
        <w:rPr>
          <w:rFonts w:eastAsia="Times New Roman"/>
          <w:kern w:val="1"/>
          <w:lang w:eastAsia="ar-SA"/>
        </w:rPr>
        <w:t xml:space="preserve">i insiste per il rigetto del sesto motivo dell’avverso ricorso. </w:t>
      </w:r>
    </w:p>
    <w:p w14:paraId="4A724A98" w14:textId="6066A4B4" w:rsidR="003407F2" w:rsidRDefault="003407F2" w:rsidP="006E7B1C">
      <w:pPr>
        <w:pStyle w:val="Paragrafoelenco"/>
        <w:numPr>
          <w:ilvl w:val="0"/>
          <w:numId w:val="5"/>
        </w:numPr>
        <w:rPr>
          <w:rFonts w:eastAsia="Times New Roman"/>
          <w:b/>
          <w:bCs/>
          <w:kern w:val="1"/>
          <w:lang w:eastAsia="ar-SA"/>
        </w:rPr>
      </w:pPr>
      <w:r w:rsidRPr="003407F2">
        <w:rPr>
          <w:rFonts w:eastAsia="Times New Roman"/>
          <w:b/>
          <w:bCs/>
          <w:kern w:val="1"/>
          <w:lang w:eastAsia="ar-SA"/>
        </w:rPr>
        <w:t xml:space="preserve">IN MERITO </w:t>
      </w:r>
      <w:r w:rsidR="00555FD5" w:rsidRPr="007B692D">
        <w:rPr>
          <w:rFonts w:eastAsia="Times New Roman"/>
          <w:b/>
          <w:bCs/>
          <w:i/>
          <w:kern w:val="1"/>
          <w:lang w:eastAsia="ar-SA"/>
        </w:rPr>
        <w:t>“</w:t>
      </w:r>
      <w:r w:rsidRPr="007B692D">
        <w:rPr>
          <w:rFonts w:eastAsia="Times New Roman"/>
          <w:b/>
          <w:bCs/>
          <w:i/>
          <w:kern w:val="1"/>
          <w:lang w:eastAsia="ar-SA"/>
        </w:rPr>
        <w:t>AL</w:t>
      </w:r>
      <w:r w:rsidR="00555FD5" w:rsidRPr="007B692D">
        <w:rPr>
          <w:rFonts w:eastAsia="Times New Roman"/>
          <w:b/>
          <w:bCs/>
          <w:i/>
          <w:kern w:val="1"/>
          <w:lang w:eastAsia="ar-SA"/>
        </w:rPr>
        <w:t>L’</w:t>
      </w:r>
      <w:r w:rsidRPr="007B692D">
        <w:rPr>
          <w:rFonts w:eastAsia="Times New Roman"/>
          <w:b/>
          <w:bCs/>
          <w:i/>
          <w:kern w:val="1"/>
          <w:lang w:eastAsia="ar-SA"/>
        </w:rPr>
        <w:t>ILLEGITTIMITÀ ED INFONDATEZZA DELL’AVVISO IN VIRTÙ DELL’INAMMISSIBILITÀ DELLA PRETESA IMPOSITIVA RELATIVA AL PERIODO D’IMPOSTA 2025</w:t>
      </w:r>
      <w:r w:rsidRPr="003407F2">
        <w:rPr>
          <w:rFonts w:eastAsia="Times New Roman"/>
          <w:b/>
          <w:bCs/>
          <w:kern w:val="1"/>
          <w:lang w:eastAsia="ar-SA"/>
        </w:rPr>
        <w:t>”</w:t>
      </w:r>
    </w:p>
    <w:p w14:paraId="7B721752" w14:textId="223AF973" w:rsidR="003815AF" w:rsidRPr="003815AF" w:rsidRDefault="003815AF" w:rsidP="007B692D">
      <w:pPr>
        <w:pStyle w:val="Paragrafoelenco"/>
        <w:ind w:left="0" w:firstLine="567"/>
        <w:rPr>
          <w:rFonts w:eastAsia="Times New Roman"/>
          <w:kern w:val="1"/>
          <w:lang w:eastAsia="ar-SA"/>
        </w:rPr>
      </w:pPr>
      <w:r w:rsidRPr="003815AF">
        <w:rPr>
          <w:rFonts w:eastAsia="Times New Roman"/>
          <w:kern w:val="1"/>
          <w:lang w:eastAsia="ar-SA"/>
        </w:rPr>
        <w:lastRenderedPageBreak/>
        <w:t xml:space="preserve">La Ricorrente sostiene che la pretesa relativa al periodo d’imposta 2025 sarebbe stata azionata in carenza di potere impositivo, in quanto il termine per il relativo pagamento sarebbe scaduto soltanto il 30 aprile 2026, successivamente alla notifica dell’Avviso, avvenuta il </w:t>
      </w:r>
      <w:r>
        <w:rPr>
          <w:rFonts w:eastAsia="Times New Roman"/>
          <w:kern w:val="1"/>
          <w:lang w:eastAsia="ar-SA"/>
        </w:rPr>
        <w:t>10</w:t>
      </w:r>
      <w:r w:rsidRPr="003815AF">
        <w:rPr>
          <w:rFonts w:eastAsia="Times New Roman"/>
          <w:kern w:val="1"/>
          <w:lang w:eastAsia="ar-SA"/>
        </w:rPr>
        <w:t>/</w:t>
      </w:r>
      <w:r>
        <w:rPr>
          <w:rFonts w:eastAsia="Times New Roman"/>
          <w:kern w:val="1"/>
          <w:lang w:eastAsia="ar-SA"/>
        </w:rPr>
        <w:t>04</w:t>
      </w:r>
      <w:r w:rsidRPr="003815AF">
        <w:rPr>
          <w:rFonts w:eastAsia="Times New Roman"/>
          <w:kern w:val="1"/>
          <w:lang w:eastAsia="ar-SA"/>
        </w:rPr>
        <w:t>/2026.</w:t>
      </w:r>
    </w:p>
    <w:p w14:paraId="77A34C79" w14:textId="77777777" w:rsidR="007B692D" w:rsidRDefault="007B692D" w:rsidP="003815AF">
      <w:pPr>
        <w:pStyle w:val="Paragrafoelenco"/>
        <w:ind w:left="-142" w:firstLine="862"/>
        <w:rPr>
          <w:rFonts w:eastAsia="Times New Roman"/>
          <w:kern w:val="1"/>
          <w:lang w:eastAsia="ar-SA"/>
        </w:rPr>
      </w:pPr>
      <w:r>
        <w:rPr>
          <w:rFonts w:eastAsia="Times New Roman"/>
          <w:kern w:val="1"/>
          <w:lang w:eastAsia="ar-SA"/>
        </w:rPr>
        <w:t>Invero, l</w:t>
      </w:r>
      <w:r w:rsidR="003815AF" w:rsidRPr="003815AF">
        <w:rPr>
          <w:rFonts w:eastAsia="Times New Roman"/>
          <w:kern w:val="1"/>
          <w:lang w:eastAsia="ar-SA"/>
        </w:rPr>
        <w:t xml:space="preserve">a tesi </w:t>
      </w:r>
      <w:r>
        <w:rPr>
          <w:rFonts w:eastAsia="Times New Roman"/>
          <w:kern w:val="1"/>
          <w:lang w:eastAsia="ar-SA"/>
        </w:rPr>
        <w:t xml:space="preserve">avversa </w:t>
      </w:r>
      <w:r w:rsidR="003815AF" w:rsidRPr="003815AF">
        <w:rPr>
          <w:rFonts w:eastAsia="Times New Roman"/>
          <w:kern w:val="1"/>
          <w:lang w:eastAsia="ar-SA"/>
        </w:rPr>
        <w:t xml:space="preserve">muove da una lettura errata dell’art. 1, comma 831, L. n. 160/2019. </w:t>
      </w:r>
    </w:p>
    <w:p w14:paraId="25E72AED" w14:textId="77777777" w:rsidR="007B692D" w:rsidRDefault="003815AF" w:rsidP="003815AF">
      <w:pPr>
        <w:pStyle w:val="Paragrafoelenco"/>
        <w:ind w:left="-142" w:firstLine="862"/>
        <w:rPr>
          <w:rFonts w:eastAsia="Times New Roman"/>
          <w:kern w:val="1"/>
          <w:lang w:eastAsia="ar-SA"/>
        </w:rPr>
      </w:pPr>
      <w:r w:rsidRPr="003815AF">
        <w:rPr>
          <w:rFonts w:eastAsia="Times New Roman"/>
          <w:kern w:val="1"/>
          <w:lang w:eastAsia="ar-SA"/>
        </w:rPr>
        <w:t>La norma</w:t>
      </w:r>
      <w:r w:rsidR="007B692D">
        <w:rPr>
          <w:rFonts w:eastAsia="Times New Roman"/>
          <w:kern w:val="1"/>
          <w:lang w:eastAsia="ar-SA"/>
        </w:rPr>
        <w:t>, infatti,</w:t>
      </w:r>
      <w:r w:rsidRPr="003815AF">
        <w:rPr>
          <w:rFonts w:eastAsia="Times New Roman"/>
          <w:kern w:val="1"/>
          <w:lang w:eastAsia="ar-SA"/>
        </w:rPr>
        <w:t xml:space="preserve"> stabilisce che il versamento del canone è effettuato </w:t>
      </w:r>
      <w:r w:rsidRPr="007B692D">
        <w:rPr>
          <w:rFonts w:eastAsia="Times New Roman"/>
          <w:i/>
          <w:kern w:val="1"/>
          <w:lang w:eastAsia="ar-SA"/>
        </w:rPr>
        <w:t>"entro il 30 aprile di ciascun anno in unica soluzione"</w:t>
      </w:r>
      <w:r w:rsidRPr="003815AF">
        <w:rPr>
          <w:rFonts w:eastAsia="Times New Roman"/>
          <w:kern w:val="1"/>
          <w:lang w:eastAsia="ar-SA"/>
        </w:rPr>
        <w:t xml:space="preserve"> e che il numero complessivo delle utenze da assumere a base del calcolo </w:t>
      </w:r>
      <w:r w:rsidRPr="007B692D">
        <w:rPr>
          <w:rFonts w:eastAsia="Times New Roman"/>
          <w:i/>
          <w:kern w:val="1"/>
          <w:lang w:eastAsia="ar-SA"/>
        </w:rPr>
        <w:t>"è quello risultante al 31 dicembre dell’anno precedente</w:t>
      </w:r>
      <w:r w:rsidRPr="003815AF">
        <w:rPr>
          <w:rFonts w:eastAsia="Times New Roman"/>
          <w:kern w:val="1"/>
          <w:lang w:eastAsia="ar-SA"/>
        </w:rPr>
        <w:t xml:space="preserve">", da comunicare con autodichiarazione entro il medesimo termine. </w:t>
      </w:r>
    </w:p>
    <w:p w14:paraId="79D69BFC" w14:textId="77777777" w:rsidR="007B692D" w:rsidRDefault="003815AF" w:rsidP="003815AF">
      <w:pPr>
        <w:pStyle w:val="Paragrafoelenco"/>
        <w:ind w:left="-142" w:firstLine="862"/>
        <w:rPr>
          <w:rFonts w:eastAsia="Times New Roman"/>
          <w:kern w:val="1"/>
          <w:lang w:eastAsia="ar-SA"/>
        </w:rPr>
      </w:pPr>
      <w:r w:rsidRPr="003815AF">
        <w:rPr>
          <w:rFonts w:eastAsia="Times New Roman"/>
          <w:kern w:val="1"/>
          <w:lang w:eastAsia="ar-SA"/>
        </w:rPr>
        <w:t>Il canone dovuto per ciascuna annualità va</w:t>
      </w:r>
      <w:r w:rsidR="007B692D">
        <w:rPr>
          <w:rFonts w:eastAsia="Times New Roman"/>
          <w:kern w:val="1"/>
          <w:lang w:eastAsia="ar-SA"/>
        </w:rPr>
        <w:t>,</w:t>
      </w:r>
      <w:r w:rsidRPr="003815AF">
        <w:rPr>
          <w:rFonts w:eastAsia="Times New Roman"/>
          <w:kern w:val="1"/>
          <w:lang w:eastAsia="ar-SA"/>
        </w:rPr>
        <w:t xml:space="preserve"> dunque</w:t>
      </w:r>
      <w:r w:rsidR="007B692D">
        <w:rPr>
          <w:rFonts w:eastAsia="Times New Roman"/>
          <w:kern w:val="1"/>
          <w:lang w:eastAsia="ar-SA"/>
        </w:rPr>
        <w:t>,</w:t>
      </w:r>
      <w:r w:rsidRPr="003815AF">
        <w:rPr>
          <w:rFonts w:eastAsia="Times New Roman"/>
          <w:kern w:val="1"/>
          <w:lang w:eastAsia="ar-SA"/>
        </w:rPr>
        <w:t xml:space="preserve"> versato entro il 30 aprile dell’anno stesso cui il canone si riferisce: il riferimento alle utenze rilevate al 31 dicembre dell’anno precedente attiene esclusivamente alla base di calcolo e non sposta in avanti di un anno la scadenza dell’obbligazione.</w:t>
      </w:r>
    </w:p>
    <w:p w14:paraId="020FD552" w14:textId="2945E7B4" w:rsidR="003815AF" w:rsidRPr="003815AF" w:rsidRDefault="003815AF" w:rsidP="003815AF">
      <w:pPr>
        <w:pStyle w:val="Paragrafoelenco"/>
        <w:ind w:left="-142" w:firstLine="862"/>
        <w:rPr>
          <w:rFonts w:eastAsia="Times New Roman"/>
          <w:kern w:val="1"/>
          <w:lang w:eastAsia="ar-SA"/>
        </w:rPr>
      </w:pPr>
      <w:r w:rsidRPr="003815AF">
        <w:rPr>
          <w:rFonts w:eastAsia="Times New Roman"/>
          <w:kern w:val="1"/>
          <w:lang w:eastAsia="ar-SA"/>
        </w:rPr>
        <w:t xml:space="preserve"> </w:t>
      </w:r>
      <w:r w:rsidRPr="003815AF">
        <w:rPr>
          <w:rFonts w:eastAsia="Times New Roman"/>
          <w:b/>
          <w:bCs/>
          <w:kern w:val="1"/>
          <w:u w:val="single"/>
          <w:lang w:eastAsia="ar-SA"/>
        </w:rPr>
        <w:t>Il canone per l’anno 2025 doveva pertanto essere versato entro il 30 aprile 2025</w:t>
      </w:r>
      <w:r w:rsidRPr="003815AF">
        <w:rPr>
          <w:rFonts w:eastAsia="Times New Roman"/>
          <w:kern w:val="1"/>
          <w:lang w:eastAsia="ar-SA"/>
        </w:rPr>
        <w:t xml:space="preserve"> — come del resto espressamente indicato nell’Avviso impugnato, che richiama la scadenza del 30 aprile di ciascun anno (doc. </w:t>
      </w:r>
      <w:r>
        <w:rPr>
          <w:rFonts w:eastAsia="Times New Roman"/>
          <w:kern w:val="1"/>
          <w:lang w:eastAsia="ar-SA"/>
        </w:rPr>
        <w:t>4</w:t>
      </w:r>
      <w:r w:rsidRPr="003815AF">
        <w:rPr>
          <w:rFonts w:eastAsia="Times New Roman"/>
          <w:kern w:val="1"/>
          <w:lang w:eastAsia="ar-SA"/>
        </w:rPr>
        <w:t>) — sicché, alla data di notifica dell’atto, l’omissione era già ampiamente maturata anche per tale annualità.</w:t>
      </w:r>
    </w:p>
    <w:p w14:paraId="635C7D62" w14:textId="6A0C6C9B" w:rsidR="003815AF" w:rsidRPr="003815AF" w:rsidRDefault="003815AF" w:rsidP="003815AF">
      <w:pPr>
        <w:pStyle w:val="Paragrafoelenco"/>
        <w:ind w:left="-142" w:firstLine="862"/>
        <w:rPr>
          <w:rFonts w:eastAsia="Times New Roman"/>
          <w:kern w:val="1"/>
          <w:lang w:eastAsia="ar-SA"/>
        </w:rPr>
      </w:pPr>
      <w:r w:rsidRPr="003815AF">
        <w:rPr>
          <w:rFonts w:eastAsia="Times New Roman"/>
          <w:kern w:val="1"/>
          <w:lang w:eastAsia="ar-SA"/>
        </w:rPr>
        <w:t xml:space="preserve">La diversa ricostruzione </w:t>
      </w:r>
      <w:r w:rsidR="007B692D">
        <w:rPr>
          <w:rFonts w:eastAsia="Times New Roman"/>
          <w:kern w:val="1"/>
          <w:lang w:eastAsia="ar-SA"/>
        </w:rPr>
        <w:t xml:space="preserve">operata </w:t>
      </w:r>
      <w:r w:rsidRPr="003815AF">
        <w:rPr>
          <w:rFonts w:eastAsia="Times New Roman"/>
          <w:kern w:val="1"/>
          <w:lang w:eastAsia="ar-SA"/>
        </w:rPr>
        <w:t>dalla Ricorrente — secondo cui il canone relativo alle occupazioni dell’anno di riferimento sarebbe esigibile soltanto a decorrere dal 30 aprile dell’anno successivo — confonde il criterio di quantificazione (le utenze risultanti al 31 dicembre dell’anno precedente) con il periodo di riferimento dell’obbligazione, e condurrebbe all’esito paradossale per cui ciascuna annualità del canone, pur riferita a un’occupazione permanente e continuativa già in atto, sarebbe sistematicamente versata con un anno di ritardo rispetto al presupposto che la giustifica.</w:t>
      </w:r>
    </w:p>
    <w:p w14:paraId="1BFC4C77" w14:textId="77777777" w:rsidR="003815AF" w:rsidRPr="003815AF" w:rsidRDefault="003815AF" w:rsidP="003815AF">
      <w:pPr>
        <w:pStyle w:val="Paragrafoelenco"/>
        <w:ind w:left="-142" w:firstLine="862"/>
        <w:rPr>
          <w:rFonts w:eastAsia="Times New Roman"/>
          <w:kern w:val="1"/>
          <w:lang w:eastAsia="ar-SA"/>
        </w:rPr>
      </w:pPr>
      <w:r w:rsidRPr="003815AF">
        <w:rPr>
          <w:rFonts w:eastAsia="Times New Roman"/>
          <w:kern w:val="1"/>
          <w:lang w:eastAsia="ar-SA"/>
        </w:rPr>
        <w:t>In ogni caso, e in via meramente subordinata, si osserva che anche il termine del 30 aprile 2026, invocato dalla stessa Ricorrente, è ormai ampiamente decorso senza che alcun versamento sia stato effettuato per l’annualità 2025: la censura, che non investe la fondatezza della pretesa ma soltanto il momento della sua esigibilità, si risolve pertanto in un formalismo privo di qualsiasi concreta utilità per la Ricorrente, pacificamente rimasta inadempiente anche rispetto alla scadenza da essa stessa indicata.</w:t>
      </w:r>
    </w:p>
    <w:p w14:paraId="69F1CA73" w14:textId="6DC88F41" w:rsidR="003815AF" w:rsidRPr="007B692D" w:rsidRDefault="003815AF" w:rsidP="007B692D">
      <w:pPr>
        <w:pStyle w:val="Paragrafoelenco"/>
        <w:ind w:left="0"/>
        <w:rPr>
          <w:rFonts w:eastAsia="Times New Roman"/>
          <w:bCs/>
          <w:kern w:val="1"/>
          <w:lang w:eastAsia="ar-SA"/>
        </w:rPr>
      </w:pPr>
      <w:r w:rsidRPr="007B692D">
        <w:rPr>
          <w:rFonts w:eastAsia="Times New Roman"/>
          <w:bCs/>
          <w:kern w:val="1"/>
          <w:lang w:eastAsia="ar-SA"/>
        </w:rPr>
        <w:t>Anche tale motivo va pertanto respinto.</w:t>
      </w:r>
    </w:p>
    <w:p w14:paraId="48DEF773" w14:textId="77777777" w:rsidR="00656F2B" w:rsidRPr="002A69CA" w:rsidRDefault="00656F2B" w:rsidP="004E5BA7">
      <w:pPr>
        <w:pStyle w:val="Paragrafoelenco"/>
        <w:ind w:left="0" w:firstLine="708"/>
        <w:rPr>
          <w:b/>
          <w:bCs/>
        </w:rPr>
      </w:pPr>
      <w:r>
        <w:rPr>
          <w:b/>
          <w:bCs/>
        </w:rPr>
        <w:t>SULL</w:t>
      </w:r>
      <w:r w:rsidRPr="002A69CA">
        <w:rPr>
          <w:b/>
          <w:bCs/>
        </w:rPr>
        <w:t>’ISTANZA DI SOSPENSIONE</w:t>
      </w:r>
    </w:p>
    <w:p w14:paraId="2CC7D411" w14:textId="4DE75AE8" w:rsidR="00656F2B" w:rsidRDefault="00656F2B" w:rsidP="007B692D">
      <w:pPr>
        <w:ind w:firstLine="708"/>
      </w:pPr>
      <w:r>
        <w:t xml:space="preserve">L’istanza di sospensione per le ragioni innanzi dette </w:t>
      </w:r>
      <w:proofErr w:type="gramStart"/>
      <w:r>
        <w:t>merita</w:t>
      </w:r>
      <w:r w:rsidR="000417CC">
        <w:t xml:space="preserve"> </w:t>
      </w:r>
      <w:r>
        <w:t>rigetto</w:t>
      </w:r>
      <w:proofErr w:type="gramEnd"/>
      <w:r>
        <w:t xml:space="preserve"> essendo assolutamente </w:t>
      </w:r>
      <w:r w:rsidRPr="00656F2B">
        <w:rPr>
          <w:b/>
          <w:bCs/>
          <w:u w:val="single"/>
        </w:rPr>
        <w:t>carente dei presupposti del</w:t>
      </w:r>
      <w:r w:rsidRPr="00EA57A8">
        <w:rPr>
          <w:b/>
          <w:bCs/>
          <w:u w:val="single"/>
        </w:rPr>
        <w:t xml:space="preserve"> </w:t>
      </w:r>
      <w:r w:rsidRPr="00EA57A8">
        <w:rPr>
          <w:b/>
          <w:bCs/>
          <w:i/>
          <w:iCs/>
          <w:u w:val="single"/>
        </w:rPr>
        <w:t>fumus boni iuris</w:t>
      </w:r>
      <w:r w:rsidRPr="00EA57A8">
        <w:rPr>
          <w:b/>
          <w:bCs/>
          <w:u w:val="single"/>
        </w:rPr>
        <w:t xml:space="preserve"> e del </w:t>
      </w:r>
      <w:r w:rsidRPr="00EA57A8">
        <w:rPr>
          <w:b/>
          <w:bCs/>
          <w:i/>
          <w:iCs/>
          <w:u w:val="single"/>
        </w:rPr>
        <w:t>periculum in mora.</w:t>
      </w:r>
      <w:r>
        <w:t xml:space="preserve"> </w:t>
      </w:r>
    </w:p>
    <w:p w14:paraId="3A315580" w14:textId="77777777" w:rsidR="004E5BA7" w:rsidRDefault="00B4524C" w:rsidP="004E5BA7">
      <w:pPr>
        <w:ind w:firstLine="709"/>
      </w:pPr>
      <w:r w:rsidRPr="00B4524C">
        <w:lastRenderedPageBreak/>
        <w:t xml:space="preserve">Sotto il profilo del </w:t>
      </w:r>
      <w:r w:rsidRPr="00B4524C">
        <w:rPr>
          <w:i/>
          <w:iCs/>
        </w:rPr>
        <w:t>fumus</w:t>
      </w:r>
      <w:r w:rsidRPr="00B4524C">
        <w:t>, la pretesa creditoria del Comune è pienamente fondata in diritto e trova ampia conferma nel</w:t>
      </w:r>
      <w:r w:rsidR="004E5BA7">
        <w:t xml:space="preserve">la recente pronuncia della Suprema Corte di Cassazione </w:t>
      </w:r>
      <w:r w:rsidR="004E5BA7" w:rsidRPr="00660742">
        <w:t>Sezione Terza Civile, sentenza n. 11479 del 28 aprile 202</w:t>
      </w:r>
      <w:r w:rsidR="004E5BA7">
        <w:t xml:space="preserve">6 e nel </w:t>
      </w:r>
      <w:r w:rsidRPr="00B4524C">
        <w:t>costante orientamento giurisprudenziale formatosi in materia.</w:t>
      </w:r>
    </w:p>
    <w:p w14:paraId="1FFE3F99" w14:textId="366C5805" w:rsidR="00B4524C" w:rsidRPr="00B4524C" w:rsidRDefault="00B4524C" w:rsidP="004E5BA7">
      <w:pPr>
        <w:ind w:firstLine="709"/>
      </w:pPr>
      <w:r w:rsidRPr="00B4524C">
        <w:t xml:space="preserve">Quanto al </w:t>
      </w:r>
      <w:r w:rsidRPr="00B4524C">
        <w:rPr>
          <w:i/>
          <w:iCs/>
        </w:rPr>
        <w:t>periculum in mora</w:t>
      </w:r>
      <w:r w:rsidRPr="00B4524C">
        <w:t xml:space="preserve">, non è stato provato da Wind Tre e non può ritenersi </w:t>
      </w:r>
      <w:r w:rsidRPr="004E5BA7">
        <w:rPr>
          <w:i/>
        </w:rPr>
        <w:t xml:space="preserve">in re </w:t>
      </w:r>
      <w:proofErr w:type="spellStart"/>
      <w:r w:rsidRPr="004E5BA7">
        <w:rPr>
          <w:i/>
        </w:rPr>
        <w:t>ipsa</w:t>
      </w:r>
      <w:proofErr w:type="spellEnd"/>
      <w:r w:rsidR="004E5BA7">
        <w:rPr>
          <w:i/>
        </w:rPr>
        <w:t xml:space="preserve">, </w:t>
      </w:r>
      <w:r w:rsidR="004E5BA7">
        <w:t xml:space="preserve">attese le </w:t>
      </w:r>
      <w:r w:rsidRPr="00B4524C">
        <w:t>dimensioni e la capacità economica di WIND TRE S.P.A., uno dei principali operatori telefonici nazionali.</w:t>
      </w:r>
    </w:p>
    <w:p w14:paraId="04015D7B" w14:textId="77777777" w:rsidR="001F43C8" w:rsidRDefault="001F43C8" w:rsidP="001F43C8">
      <w:pPr>
        <w:spacing w:before="120" w:after="120"/>
        <w:jc w:val="center"/>
      </w:pPr>
      <w:r>
        <w:t>* * *</w:t>
      </w:r>
    </w:p>
    <w:p w14:paraId="436BF50D" w14:textId="4FA636D7" w:rsidR="001F43C8" w:rsidRDefault="001F43C8" w:rsidP="001F43C8">
      <w:pPr>
        <w:ind w:firstLine="567"/>
      </w:pPr>
      <w:r>
        <w:t xml:space="preserve">Per tutto quanto sopra esposto, </w:t>
      </w:r>
      <w:r w:rsidR="004E5BA7">
        <w:t>l</w:t>
      </w:r>
      <w:r w:rsidR="001F6D41">
        <w:t xml:space="preserve">a società Risco </w:t>
      </w:r>
      <w:proofErr w:type="spellStart"/>
      <w:r w:rsidR="001F6D41">
        <w:t>srl</w:t>
      </w:r>
      <w:proofErr w:type="spellEnd"/>
      <w:r>
        <w:t>,</w:t>
      </w:r>
      <w:r w:rsidR="001F6D41">
        <w:t xml:space="preserve"> </w:t>
      </w:r>
      <w:r>
        <w:t>come in epigrafe rappresentat</w:t>
      </w:r>
      <w:r w:rsidR="004E5BA7">
        <w:t>a</w:t>
      </w:r>
      <w:r>
        <w:t xml:space="preserve"> e domiciliat</w:t>
      </w:r>
      <w:r w:rsidR="004E5BA7">
        <w:t>a</w:t>
      </w:r>
      <w:r>
        <w:t xml:space="preserve">, </w:t>
      </w:r>
    </w:p>
    <w:p w14:paraId="1FA4C47F" w14:textId="77777777" w:rsidR="001F43C8" w:rsidRDefault="001F43C8" w:rsidP="001F43C8">
      <w:pPr>
        <w:spacing w:before="60" w:after="60"/>
        <w:jc w:val="center"/>
      </w:pPr>
      <w:r>
        <w:rPr>
          <w:b/>
          <w:bCs/>
        </w:rPr>
        <w:t>conclude</w:t>
      </w:r>
    </w:p>
    <w:p w14:paraId="0F130EA3" w14:textId="0B5810E6" w:rsidR="001F43C8" w:rsidRDefault="001F43C8" w:rsidP="001F43C8">
      <w:pPr>
        <w:ind w:firstLine="567"/>
      </w:pPr>
      <w:r>
        <w:t xml:space="preserve">affinché l’Ill.ma Corte di Giustizia Tributaria di Primo Grado di </w:t>
      </w:r>
      <w:r w:rsidR="00C41FAA">
        <w:t>CHIETI</w:t>
      </w:r>
      <w:r>
        <w:t>, disattesa ogni contraria istanza ed eccezione, voglia:</w:t>
      </w:r>
    </w:p>
    <w:p w14:paraId="6925362A" w14:textId="77777777" w:rsidR="001F43C8" w:rsidRDefault="001F43C8" w:rsidP="001F43C8">
      <w:pPr>
        <w:ind w:firstLine="567"/>
      </w:pPr>
      <w:r>
        <w:rPr>
          <w:b/>
          <w:bCs/>
        </w:rPr>
        <w:t>rigettare il ricorso proposto</w:t>
      </w:r>
      <w:r>
        <w:t>, confermando la legittimità della pretesa dell’Ente con ogni conseguenziale statuizione di legge.</w:t>
      </w:r>
    </w:p>
    <w:p w14:paraId="539BD6E1" w14:textId="77777777" w:rsidR="001F43C8" w:rsidRDefault="001F43C8" w:rsidP="001F43C8">
      <w:pPr>
        <w:ind w:firstLine="567"/>
      </w:pPr>
      <w:r>
        <w:t>In via gradata, rideterminare il Canone e la sanzione nella misura che risulterà a seguito dell’eventuale fase istruttoria sulla base delle prove offerte dal ricorrente.</w:t>
      </w:r>
    </w:p>
    <w:p w14:paraId="1C8F459D" w14:textId="3692AF92" w:rsidR="001F43C8" w:rsidRDefault="001F43C8" w:rsidP="001F43C8">
      <w:pPr>
        <w:ind w:firstLine="567"/>
      </w:pPr>
      <w:r>
        <w:t>Con vittoria di spese e competenze di giudizio.</w:t>
      </w:r>
    </w:p>
    <w:p w14:paraId="3F6E63A3" w14:textId="77777777" w:rsidR="001F43C8" w:rsidRDefault="001F43C8" w:rsidP="001F43C8">
      <w:pPr>
        <w:spacing w:before="60"/>
        <w:ind w:firstLine="567"/>
      </w:pPr>
      <w:r>
        <w:t>Si chiede di essere autorizzati alla trattazione della controversia con collegamento da remoto.</w:t>
      </w:r>
    </w:p>
    <w:p w14:paraId="08F1489F" w14:textId="77777777" w:rsidR="001F43C8" w:rsidRDefault="001F43C8" w:rsidP="001F43C8">
      <w:pPr>
        <w:spacing w:before="40"/>
        <w:ind w:firstLine="567"/>
      </w:pPr>
      <w:r>
        <w:t>Con ogni riserva.</w:t>
      </w:r>
    </w:p>
    <w:p w14:paraId="2B7BBE86" w14:textId="77777777" w:rsidR="001F43C8" w:rsidRPr="00741779" w:rsidRDefault="001F43C8" w:rsidP="001F43C8">
      <w:pPr>
        <w:spacing w:before="120" w:after="120"/>
        <w:jc w:val="center"/>
      </w:pPr>
      <w:r>
        <w:t>* * *</w:t>
      </w:r>
    </w:p>
    <w:p w14:paraId="4548EE73" w14:textId="77777777" w:rsidR="001F43C8" w:rsidRDefault="001F43C8" w:rsidP="001F43C8">
      <w:pPr>
        <w:spacing w:before="240" w:after="120"/>
        <w:jc w:val="center"/>
      </w:pPr>
      <w:r>
        <w:rPr>
          <w:b/>
          <w:bCs/>
        </w:rPr>
        <w:t>Attestazione conformità degli atti depositati</w:t>
      </w:r>
    </w:p>
    <w:p w14:paraId="19F08E77" w14:textId="77777777" w:rsidR="001F43C8" w:rsidRDefault="001F43C8" w:rsidP="001F43C8">
      <w:r>
        <w:t>Io sottoscritta Avv. Maria Voccia De Felice (c.f. VCCMRA66M64G813U), in qualità di difensore nominato nel presente procedimento, attesto, ai sensi dell’art. 22, co. 2, d.lgs. 82/2005, la conformità con gli originali delle copie per immagine dei seguenti documenti depositati:</w:t>
      </w:r>
    </w:p>
    <w:p w14:paraId="3C963928" w14:textId="6BF034B4" w:rsidR="001F43C8" w:rsidRDefault="001F43C8" w:rsidP="001F43C8">
      <w:r>
        <w:rPr>
          <w:b/>
          <w:bCs/>
        </w:rPr>
        <w:t xml:space="preserve">Doc. A – </w:t>
      </w:r>
      <w:r>
        <w:t>Ricorso introduttivo del giudizio</w:t>
      </w:r>
    </w:p>
    <w:p w14:paraId="3D814D64" w14:textId="3594BD6B" w:rsidR="001F43C8" w:rsidRDefault="001F43C8" w:rsidP="001F43C8">
      <w:r>
        <w:t xml:space="preserve">Doc. 1 – </w:t>
      </w:r>
      <w:r w:rsidR="00913D2B" w:rsidRPr="00913D2B">
        <w:t>Delibera del Consiglio Comunale n. 9 del 18.03.2021</w:t>
      </w:r>
    </w:p>
    <w:p w14:paraId="2482D4B7" w14:textId="491911F3" w:rsidR="001F43C8" w:rsidRDefault="001F43C8" w:rsidP="001F43C8">
      <w:r>
        <w:t xml:space="preserve">Doc. 2 – </w:t>
      </w:r>
      <w:r w:rsidR="00913D2B" w:rsidRPr="00913D2B">
        <w:t>Determina n. 27 del 28/01/2021</w:t>
      </w:r>
    </w:p>
    <w:p w14:paraId="4A272CB9" w14:textId="68D11053" w:rsidR="001F43C8" w:rsidRDefault="001F43C8" w:rsidP="001F43C8">
      <w:r>
        <w:t>Doc. 3 –</w:t>
      </w:r>
      <w:r w:rsidR="00913D2B">
        <w:t xml:space="preserve"> Richiesta dichiarazione utenze</w:t>
      </w:r>
    </w:p>
    <w:p w14:paraId="5BEB908B" w14:textId="5D4E2AE3" w:rsidR="001F43C8" w:rsidRDefault="001F43C8" w:rsidP="001F43C8">
      <w:r>
        <w:t>Doc. 4 –</w:t>
      </w:r>
      <w:r w:rsidR="00913D2B">
        <w:t xml:space="preserve"> Avviso di accertamento impugnato</w:t>
      </w:r>
    </w:p>
    <w:p w14:paraId="124F6E1B" w14:textId="3BF2792E" w:rsidR="001C06E0" w:rsidRDefault="001F43C8" w:rsidP="001F43C8">
      <w:r>
        <w:t>Doc. 5 –</w:t>
      </w:r>
      <w:r w:rsidR="00913D2B">
        <w:t xml:space="preserve"> Quote rilevate da Agcom</w:t>
      </w:r>
    </w:p>
    <w:p w14:paraId="7DD7FF1B" w14:textId="4F8D43CC" w:rsidR="001F43C8" w:rsidRDefault="001F43C8" w:rsidP="001F43C8">
      <w:r>
        <w:t>Doc. 6 –</w:t>
      </w:r>
      <w:r w:rsidR="00913D2B">
        <w:t xml:space="preserve"> Istanza di </w:t>
      </w:r>
      <w:r w:rsidR="00660742">
        <w:t>annullamento</w:t>
      </w:r>
      <w:r w:rsidR="00913D2B">
        <w:t xml:space="preserve"> in autotutela</w:t>
      </w:r>
    </w:p>
    <w:p w14:paraId="387D7952" w14:textId="60DA152C" w:rsidR="001C06E0" w:rsidRDefault="001C06E0" w:rsidP="001F43C8">
      <w:r>
        <w:lastRenderedPageBreak/>
        <w:t xml:space="preserve">Doc. 7 </w:t>
      </w:r>
      <w:r w:rsidR="00660742">
        <w:t>–</w:t>
      </w:r>
      <w:r>
        <w:t xml:space="preserve"> </w:t>
      </w:r>
      <w:r w:rsidR="00660742">
        <w:t>Rigetto Istanza di annullamento in autotutela</w:t>
      </w:r>
    </w:p>
    <w:p w14:paraId="0D7E6627" w14:textId="6559BE0F" w:rsidR="00660742" w:rsidRDefault="00660742" w:rsidP="001F43C8">
      <w:r>
        <w:t xml:space="preserve">Doc. 8 – </w:t>
      </w:r>
      <w:r w:rsidRPr="00655836">
        <w:t xml:space="preserve">Circolare n. 1/DF del 20.01.2009 </w:t>
      </w:r>
    </w:p>
    <w:p w14:paraId="7CE79256" w14:textId="27F91DDB" w:rsidR="00660742" w:rsidRDefault="00660742" w:rsidP="001F43C8">
      <w:r>
        <w:t xml:space="preserve">Doc. 9 – </w:t>
      </w:r>
      <w:r w:rsidRPr="00660742">
        <w:t>CORTE SUPREMA DI CASSAZIONE, Sezione Terza Civile, sentenza n. 11479 del 28 aprile 2026</w:t>
      </w:r>
    </w:p>
    <w:p w14:paraId="4FEAB701" w14:textId="52DC463E" w:rsidR="001F43C8" w:rsidRDefault="004E5BA7" w:rsidP="001F43C8">
      <w:pPr>
        <w:spacing w:before="200"/>
      </w:pPr>
      <w:r>
        <w:t xml:space="preserve">Francavilla al Mare </w:t>
      </w:r>
      <w:r w:rsidR="001F43C8">
        <w:t>– Salerno, lì ___________</w:t>
      </w:r>
      <w:r w:rsidR="001F43C8">
        <w:tab/>
      </w:r>
      <w:r w:rsidR="001F43C8">
        <w:tab/>
      </w:r>
    </w:p>
    <w:p w14:paraId="7A7B7D99" w14:textId="77777777" w:rsidR="001F43C8" w:rsidRDefault="001F43C8" w:rsidP="001F43C8">
      <w:pPr>
        <w:spacing w:before="200"/>
        <w:jc w:val="right"/>
      </w:pPr>
      <w:r>
        <w:rPr>
          <w:b/>
          <w:bCs/>
        </w:rPr>
        <w:t>Avv. Maria Voccia De Felice</w:t>
      </w:r>
    </w:p>
    <w:p w14:paraId="44B8CC9F" w14:textId="77777777" w:rsidR="001F43C8" w:rsidRPr="001F43C8" w:rsidRDefault="001F43C8" w:rsidP="001F43C8">
      <w:pPr>
        <w:ind w:left="3966" w:firstLine="282"/>
        <w:jc w:val="left"/>
        <w:rPr>
          <w:b/>
          <w:bCs/>
        </w:rPr>
      </w:pPr>
    </w:p>
    <w:p w14:paraId="76252F12" w14:textId="77777777" w:rsidR="001F43C8" w:rsidRPr="00DF3609" w:rsidRDefault="001F43C8" w:rsidP="00DF3609">
      <w:pPr>
        <w:ind w:left="1134" w:hanging="283"/>
        <w:jc w:val="left"/>
      </w:pPr>
    </w:p>
    <w:p w14:paraId="7A7265BC" w14:textId="60A6DAD2" w:rsidR="00C17B9B" w:rsidRPr="00DF3609" w:rsidRDefault="00DF3609" w:rsidP="00C17B9B">
      <w:pPr>
        <w:ind w:left="1134" w:hanging="283"/>
        <w:jc w:val="left"/>
      </w:pPr>
      <w:r>
        <w:t xml:space="preserve"> </w:t>
      </w:r>
    </w:p>
    <w:p w14:paraId="469888A7" w14:textId="77777777" w:rsidR="00177F73" w:rsidRPr="00DD4890" w:rsidRDefault="00177F73" w:rsidP="00651E1F"/>
    <w:p w14:paraId="64BF4F19" w14:textId="77777777" w:rsidR="00296EE4" w:rsidRDefault="00296EE4" w:rsidP="00B74976">
      <w:pPr>
        <w:ind w:firstLine="708"/>
      </w:pPr>
    </w:p>
    <w:sectPr w:rsidR="00296EE4" w:rsidSect="00B24FC3">
      <w:pgSz w:w="11906" w:h="16838"/>
      <w:pgMar w:top="709"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2396394" w14:textId="77777777" w:rsidR="002A0E65" w:rsidRDefault="002A0E65" w:rsidP="006D76EA">
      <w:pPr>
        <w:spacing w:line="240" w:lineRule="auto"/>
      </w:pPr>
      <w:r>
        <w:separator/>
      </w:r>
    </w:p>
  </w:endnote>
  <w:endnote w:type="continuationSeparator" w:id="0">
    <w:p w14:paraId="19C1905C" w14:textId="77777777" w:rsidR="002A0E65" w:rsidRDefault="002A0E65" w:rsidP="006D76E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7929FFF" w14:textId="77777777" w:rsidR="002A0E65" w:rsidRDefault="002A0E65" w:rsidP="006D76EA">
      <w:pPr>
        <w:spacing w:line="240" w:lineRule="auto"/>
      </w:pPr>
      <w:r>
        <w:separator/>
      </w:r>
    </w:p>
  </w:footnote>
  <w:footnote w:type="continuationSeparator" w:id="0">
    <w:p w14:paraId="45B2C84A" w14:textId="77777777" w:rsidR="002A0E65" w:rsidRDefault="002A0E65" w:rsidP="006D76EA">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BB78A2"/>
    <w:multiLevelType w:val="hybridMultilevel"/>
    <w:tmpl w:val="C55CD7EE"/>
    <w:lvl w:ilvl="0" w:tplc="669E4674">
      <w:start w:val="1"/>
      <w:numFmt w:val="decimal"/>
      <w:lvlText w:val="%1."/>
      <w:lvlJc w:val="left"/>
      <w:pPr>
        <w:ind w:left="720" w:hanging="360"/>
      </w:pPr>
      <w:rPr>
        <w:rFonts w:ascii="Times New Roman" w:eastAsia="Calibri" w:hAnsi="Times New Roman" w:cs="Times New Roman"/>
      </w:rPr>
    </w:lvl>
    <w:lvl w:ilvl="1" w:tplc="04100019">
      <w:start w:val="1"/>
      <w:numFmt w:val="lowerLetter"/>
      <w:lvlText w:val="%2."/>
      <w:lvlJc w:val="left"/>
      <w:pPr>
        <w:ind w:left="1440" w:hanging="360"/>
      </w:pPr>
    </w:lvl>
    <w:lvl w:ilvl="2" w:tplc="0410001B">
      <w:start w:val="1"/>
      <w:numFmt w:val="lowerRoman"/>
      <w:lvlText w:val="%3."/>
      <w:lvlJc w:val="right"/>
      <w:pPr>
        <w:ind w:left="2160" w:hanging="180"/>
      </w:pPr>
    </w:lvl>
    <w:lvl w:ilvl="3" w:tplc="0410000F">
      <w:start w:val="1"/>
      <w:numFmt w:val="decimal"/>
      <w:lvlText w:val="%4."/>
      <w:lvlJc w:val="left"/>
      <w:pPr>
        <w:ind w:left="2880" w:hanging="360"/>
      </w:pPr>
    </w:lvl>
    <w:lvl w:ilvl="4" w:tplc="04100019">
      <w:start w:val="1"/>
      <w:numFmt w:val="lowerLetter"/>
      <w:lvlText w:val="%5."/>
      <w:lvlJc w:val="left"/>
      <w:pPr>
        <w:ind w:left="3600" w:hanging="360"/>
      </w:pPr>
    </w:lvl>
    <w:lvl w:ilvl="5" w:tplc="0410001B">
      <w:start w:val="1"/>
      <w:numFmt w:val="lowerRoman"/>
      <w:lvlText w:val="%6."/>
      <w:lvlJc w:val="right"/>
      <w:pPr>
        <w:ind w:left="4320" w:hanging="180"/>
      </w:pPr>
    </w:lvl>
    <w:lvl w:ilvl="6" w:tplc="0410000F">
      <w:start w:val="1"/>
      <w:numFmt w:val="decimal"/>
      <w:lvlText w:val="%7."/>
      <w:lvlJc w:val="left"/>
      <w:pPr>
        <w:ind w:left="5040" w:hanging="360"/>
      </w:pPr>
    </w:lvl>
    <w:lvl w:ilvl="7" w:tplc="04100019">
      <w:start w:val="1"/>
      <w:numFmt w:val="lowerLetter"/>
      <w:lvlText w:val="%8."/>
      <w:lvlJc w:val="left"/>
      <w:pPr>
        <w:ind w:left="5760" w:hanging="360"/>
      </w:pPr>
    </w:lvl>
    <w:lvl w:ilvl="8" w:tplc="0410001B">
      <w:start w:val="1"/>
      <w:numFmt w:val="lowerRoman"/>
      <w:lvlText w:val="%9."/>
      <w:lvlJc w:val="right"/>
      <w:pPr>
        <w:ind w:left="6480" w:hanging="180"/>
      </w:pPr>
    </w:lvl>
  </w:abstractNum>
  <w:abstractNum w:abstractNumId="1" w15:restartNumberingAfterBreak="0">
    <w:nsid w:val="06330954"/>
    <w:multiLevelType w:val="hybridMultilevel"/>
    <w:tmpl w:val="C09495B0"/>
    <w:lvl w:ilvl="0" w:tplc="40D82EC6">
      <w:start w:val="1"/>
      <w:numFmt w:val="upperRoman"/>
      <w:lvlText w:val="%1)"/>
      <w:lvlJc w:val="left"/>
      <w:pPr>
        <w:ind w:left="1571" w:hanging="720"/>
      </w:pPr>
      <w:rPr>
        <w:rFonts w:hint="default"/>
        <w:b/>
      </w:rPr>
    </w:lvl>
    <w:lvl w:ilvl="1" w:tplc="04100019" w:tentative="1">
      <w:start w:val="1"/>
      <w:numFmt w:val="lowerLetter"/>
      <w:lvlText w:val="%2."/>
      <w:lvlJc w:val="left"/>
      <w:pPr>
        <w:ind w:left="1931" w:hanging="360"/>
      </w:pPr>
    </w:lvl>
    <w:lvl w:ilvl="2" w:tplc="0410001B" w:tentative="1">
      <w:start w:val="1"/>
      <w:numFmt w:val="lowerRoman"/>
      <w:lvlText w:val="%3."/>
      <w:lvlJc w:val="right"/>
      <w:pPr>
        <w:ind w:left="2651" w:hanging="180"/>
      </w:pPr>
    </w:lvl>
    <w:lvl w:ilvl="3" w:tplc="0410000F" w:tentative="1">
      <w:start w:val="1"/>
      <w:numFmt w:val="decimal"/>
      <w:lvlText w:val="%4."/>
      <w:lvlJc w:val="left"/>
      <w:pPr>
        <w:ind w:left="3371" w:hanging="360"/>
      </w:pPr>
    </w:lvl>
    <w:lvl w:ilvl="4" w:tplc="04100019" w:tentative="1">
      <w:start w:val="1"/>
      <w:numFmt w:val="lowerLetter"/>
      <w:lvlText w:val="%5."/>
      <w:lvlJc w:val="left"/>
      <w:pPr>
        <w:ind w:left="4091" w:hanging="360"/>
      </w:pPr>
    </w:lvl>
    <w:lvl w:ilvl="5" w:tplc="0410001B" w:tentative="1">
      <w:start w:val="1"/>
      <w:numFmt w:val="lowerRoman"/>
      <w:lvlText w:val="%6."/>
      <w:lvlJc w:val="right"/>
      <w:pPr>
        <w:ind w:left="4811" w:hanging="180"/>
      </w:pPr>
    </w:lvl>
    <w:lvl w:ilvl="6" w:tplc="0410000F" w:tentative="1">
      <w:start w:val="1"/>
      <w:numFmt w:val="decimal"/>
      <w:lvlText w:val="%7."/>
      <w:lvlJc w:val="left"/>
      <w:pPr>
        <w:ind w:left="5531" w:hanging="360"/>
      </w:pPr>
    </w:lvl>
    <w:lvl w:ilvl="7" w:tplc="04100019" w:tentative="1">
      <w:start w:val="1"/>
      <w:numFmt w:val="lowerLetter"/>
      <w:lvlText w:val="%8."/>
      <w:lvlJc w:val="left"/>
      <w:pPr>
        <w:ind w:left="6251" w:hanging="360"/>
      </w:pPr>
    </w:lvl>
    <w:lvl w:ilvl="8" w:tplc="0410001B" w:tentative="1">
      <w:start w:val="1"/>
      <w:numFmt w:val="lowerRoman"/>
      <w:lvlText w:val="%9."/>
      <w:lvlJc w:val="right"/>
      <w:pPr>
        <w:ind w:left="6971" w:hanging="180"/>
      </w:pPr>
    </w:lvl>
  </w:abstractNum>
  <w:abstractNum w:abstractNumId="2" w15:restartNumberingAfterBreak="0">
    <w:nsid w:val="097D3E37"/>
    <w:multiLevelType w:val="hybridMultilevel"/>
    <w:tmpl w:val="1A50DCDA"/>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 w15:restartNumberingAfterBreak="0">
    <w:nsid w:val="29E61CE2"/>
    <w:multiLevelType w:val="hybridMultilevel"/>
    <w:tmpl w:val="D6A6336E"/>
    <w:lvl w:ilvl="0" w:tplc="54C09F4C">
      <w:start w:val="3"/>
      <w:numFmt w:val="decimal"/>
      <w:lvlText w:val="%1"/>
      <w:lvlJc w:val="left"/>
      <w:pPr>
        <w:ind w:left="720" w:hanging="360"/>
      </w:pPr>
      <w:rPr>
        <w:rFonts w:hint="default"/>
        <w:b/>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 w15:restartNumberingAfterBreak="0">
    <w:nsid w:val="6BA32C28"/>
    <w:multiLevelType w:val="hybridMultilevel"/>
    <w:tmpl w:val="D7767224"/>
    <w:lvl w:ilvl="0" w:tplc="0410000F">
      <w:start w:val="5"/>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16cid:durableId="1710567448">
    <w:abstractNumId w:val="2"/>
  </w:num>
  <w:num w:numId="2" w16cid:durableId="38480017">
    <w:abstractNumId w:val="1"/>
  </w:num>
  <w:num w:numId="3" w16cid:durableId="151965491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748111722">
    <w:abstractNumId w:val="3"/>
  </w:num>
  <w:num w:numId="5" w16cid:durableId="1559054634">
    <w:abstractNumId w:val="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3"/>
  <w:proofState w:spelling="clean" w:grammar="clean"/>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7F73"/>
    <w:rsid w:val="000135B3"/>
    <w:rsid w:val="00014DD1"/>
    <w:rsid w:val="000417CC"/>
    <w:rsid w:val="000427EE"/>
    <w:rsid w:val="00061736"/>
    <w:rsid w:val="000B59B5"/>
    <w:rsid w:val="000B6FC8"/>
    <w:rsid w:val="000E00FC"/>
    <w:rsid w:val="000E44C2"/>
    <w:rsid w:val="000E6A2F"/>
    <w:rsid w:val="001113DD"/>
    <w:rsid w:val="00117297"/>
    <w:rsid w:val="00130E18"/>
    <w:rsid w:val="001351C1"/>
    <w:rsid w:val="00177F73"/>
    <w:rsid w:val="001C06E0"/>
    <w:rsid w:val="001F4271"/>
    <w:rsid w:val="001F43C8"/>
    <w:rsid w:val="001F571C"/>
    <w:rsid w:val="001F6D41"/>
    <w:rsid w:val="00207463"/>
    <w:rsid w:val="00213AB6"/>
    <w:rsid w:val="00214F98"/>
    <w:rsid w:val="00232BD2"/>
    <w:rsid w:val="00244EEB"/>
    <w:rsid w:val="00296EE4"/>
    <w:rsid w:val="002A0E65"/>
    <w:rsid w:val="002A4885"/>
    <w:rsid w:val="002A69CA"/>
    <w:rsid w:val="002C794E"/>
    <w:rsid w:val="002E68F8"/>
    <w:rsid w:val="002F56B1"/>
    <w:rsid w:val="00304F63"/>
    <w:rsid w:val="00334543"/>
    <w:rsid w:val="003407F2"/>
    <w:rsid w:val="003815AF"/>
    <w:rsid w:val="003E3EAD"/>
    <w:rsid w:val="003F4633"/>
    <w:rsid w:val="00462C4F"/>
    <w:rsid w:val="00483845"/>
    <w:rsid w:val="004B3F29"/>
    <w:rsid w:val="004E5BA7"/>
    <w:rsid w:val="005028F4"/>
    <w:rsid w:val="00541DF3"/>
    <w:rsid w:val="00555FD5"/>
    <w:rsid w:val="00572508"/>
    <w:rsid w:val="00577B6B"/>
    <w:rsid w:val="005A2F37"/>
    <w:rsid w:val="005B411F"/>
    <w:rsid w:val="005C0E8D"/>
    <w:rsid w:val="005D496F"/>
    <w:rsid w:val="006049AB"/>
    <w:rsid w:val="00627B6E"/>
    <w:rsid w:val="00637DE3"/>
    <w:rsid w:val="00651E1F"/>
    <w:rsid w:val="00656F2B"/>
    <w:rsid w:val="00660742"/>
    <w:rsid w:val="006639C7"/>
    <w:rsid w:val="00663ED3"/>
    <w:rsid w:val="006D76EA"/>
    <w:rsid w:val="006D7D78"/>
    <w:rsid w:val="006E6ED0"/>
    <w:rsid w:val="006E7B1C"/>
    <w:rsid w:val="007050DC"/>
    <w:rsid w:val="00714473"/>
    <w:rsid w:val="007427D2"/>
    <w:rsid w:val="007B692D"/>
    <w:rsid w:val="008332BB"/>
    <w:rsid w:val="00846D0D"/>
    <w:rsid w:val="00870754"/>
    <w:rsid w:val="0088530B"/>
    <w:rsid w:val="0089064E"/>
    <w:rsid w:val="00892AD2"/>
    <w:rsid w:val="008E5090"/>
    <w:rsid w:val="00913D2B"/>
    <w:rsid w:val="0095501E"/>
    <w:rsid w:val="00963057"/>
    <w:rsid w:val="00974432"/>
    <w:rsid w:val="009D3AA6"/>
    <w:rsid w:val="009F07BF"/>
    <w:rsid w:val="009F16EE"/>
    <w:rsid w:val="00AA2D31"/>
    <w:rsid w:val="00AE1DB0"/>
    <w:rsid w:val="00AE6F5B"/>
    <w:rsid w:val="00B231AE"/>
    <w:rsid w:val="00B24FC3"/>
    <w:rsid w:val="00B4524C"/>
    <w:rsid w:val="00B53AEF"/>
    <w:rsid w:val="00B745BB"/>
    <w:rsid w:val="00B74976"/>
    <w:rsid w:val="00B87FDB"/>
    <w:rsid w:val="00B96991"/>
    <w:rsid w:val="00BA6B89"/>
    <w:rsid w:val="00C17B9B"/>
    <w:rsid w:val="00C37604"/>
    <w:rsid w:val="00C41FAA"/>
    <w:rsid w:val="00C54589"/>
    <w:rsid w:val="00C641A8"/>
    <w:rsid w:val="00CA4257"/>
    <w:rsid w:val="00CE2D44"/>
    <w:rsid w:val="00CF405E"/>
    <w:rsid w:val="00D00426"/>
    <w:rsid w:val="00D63579"/>
    <w:rsid w:val="00DB1E99"/>
    <w:rsid w:val="00DD1952"/>
    <w:rsid w:val="00DD1E5B"/>
    <w:rsid w:val="00DF3609"/>
    <w:rsid w:val="00DF3FAD"/>
    <w:rsid w:val="00E01B3A"/>
    <w:rsid w:val="00E27DA9"/>
    <w:rsid w:val="00E958AD"/>
    <w:rsid w:val="00EA57A8"/>
    <w:rsid w:val="00EF11A5"/>
    <w:rsid w:val="00EF56F2"/>
    <w:rsid w:val="00F3060D"/>
    <w:rsid w:val="00F30665"/>
    <w:rsid w:val="00F43D57"/>
    <w:rsid w:val="00F77C3C"/>
    <w:rsid w:val="00FA2DB6"/>
    <w:rsid w:val="00FC55AC"/>
    <w:rsid w:val="00FE6D2F"/>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34D74E"/>
  <w15:chartTrackingRefBased/>
  <w15:docId w15:val="{63B94EBA-F662-449C-A2EF-3734AF8D8E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177F73"/>
    <w:pPr>
      <w:spacing w:after="0" w:line="360" w:lineRule="auto"/>
      <w:jc w:val="both"/>
    </w:pPr>
    <w:rPr>
      <w:rFonts w:ascii="Arial" w:eastAsia="Arial" w:hAnsi="Arial" w:cs="Arial"/>
      <w:sz w:val="24"/>
      <w:szCs w:val="24"/>
      <w:lang w:eastAsia="it-IT"/>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Bollo">
    <w:name w:val="Bollo"/>
    <w:basedOn w:val="Normale"/>
    <w:rsid w:val="00177F73"/>
    <w:pPr>
      <w:suppressAutoHyphens/>
      <w:overflowPunct w:val="0"/>
      <w:autoSpaceDE w:val="0"/>
      <w:spacing w:line="520" w:lineRule="exact"/>
      <w:textAlignment w:val="baseline"/>
    </w:pPr>
    <w:rPr>
      <w:rFonts w:ascii="Times New Roman" w:eastAsia="Times New Roman" w:hAnsi="Times New Roman" w:cs="Times New Roman"/>
      <w:b/>
      <w:kern w:val="1"/>
      <w:sz w:val="28"/>
      <w:szCs w:val="20"/>
      <w:lang w:eastAsia="ar-SA"/>
    </w:rPr>
  </w:style>
  <w:style w:type="paragraph" w:styleId="NormaleWeb">
    <w:name w:val="Normal (Web)"/>
    <w:basedOn w:val="Normale"/>
    <w:uiPriority w:val="99"/>
    <w:semiHidden/>
    <w:unhideWhenUsed/>
    <w:rsid w:val="00B74976"/>
    <w:pPr>
      <w:spacing w:before="100" w:beforeAutospacing="1" w:after="100" w:afterAutospacing="1" w:line="240" w:lineRule="auto"/>
      <w:jc w:val="left"/>
    </w:pPr>
    <w:rPr>
      <w:rFonts w:ascii="Times New Roman" w:eastAsia="Times New Roman" w:hAnsi="Times New Roman" w:cs="Times New Roman"/>
    </w:rPr>
  </w:style>
  <w:style w:type="character" w:styleId="Collegamentoipertestuale">
    <w:name w:val="Hyperlink"/>
    <w:uiPriority w:val="99"/>
    <w:unhideWhenUsed/>
    <w:rsid w:val="001F571C"/>
    <w:rPr>
      <w:color w:val="0563C1"/>
      <w:u w:val="single"/>
    </w:rPr>
  </w:style>
  <w:style w:type="paragraph" w:styleId="Paragrafoelenco">
    <w:name w:val="List Paragraph"/>
    <w:basedOn w:val="Normale"/>
    <w:uiPriority w:val="34"/>
    <w:qFormat/>
    <w:rsid w:val="00637DE3"/>
    <w:pPr>
      <w:ind w:left="720"/>
      <w:contextualSpacing/>
    </w:pPr>
  </w:style>
  <w:style w:type="paragraph" w:styleId="Testonotaapidipagina">
    <w:name w:val="footnote text"/>
    <w:basedOn w:val="Normale"/>
    <w:link w:val="TestonotaapidipaginaCarattere"/>
    <w:uiPriority w:val="99"/>
    <w:semiHidden/>
    <w:unhideWhenUsed/>
    <w:rsid w:val="006D76EA"/>
    <w:pPr>
      <w:spacing w:line="240" w:lineRule="auto"/>
    </w:pPr>
    <w:rPr>
      <w:sz w:val="20"/>
      <w:szCs w:val="20"/>
    </w:rPr>
  </w:style>
  <w:style w:type="character" w:customStyle="1" w:styleId="TestonotaapidipaginaCarattere">
    <w:name w:val="Testo nota a piè di pagina Carattere"/>
    <w:basedOn w:val="Carpredefinitoparagrafo"/>
    <w:link w:val="Testonotaapidipagina"/>
    <w:uiPriority w:val="99"/>
    <w:semiHidden/>
    <w:rsid w:val="006D76EA"/>
    <w:rPr>
      <w:rFonts w:ascii="Arial" w:eastAsia="Arial" w:hAnsi="Arial" w:cs="Arial"/>
      <w:sz w:val="20"/>
      <w:szCs w:val="20"/>
      <w:lang w:eastAsia="it-IT"/>
    </w:rPr>
  </w:style>
  <w:style w:type="character" w:styleId="Rimandonotaapidipagina">
    <w:name w:val="footnote reference"/>
    <w:basedOn w:val="Carpredefinitoparagrafo"/>
    <w:uiPriority w:val="99"/>
    <w:semiHidden/>
    <w:unhideWhenUsed/>
    <w:rsid w:val="006D76EA"/>
    <w:rPr>
      <w:vertAlign w:val="superscript"/>
    </w:rPr>
  </w:style>
  <w:style w:type="character" w:customStyle="1" w:styleId="Menzionenonrisolta1">
    <w:name w:val="Menzione non risolta1"/>
    <w:basedOn w:val="Carpredefinitoparagrafo"/>
    <w:uiPriority w:val="99"/>
    <w:semiHidden/>
    <w:unhideWhenUsed/>
    <w:rsid w:val="00913D2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256985071">
      <w:bodyDiv w:val="1"/>
      <w:marLeft w:val="0"/>
      <w:marRight w:val="0"/>
      <w:marTop w:val="0"/>
      <w:marBottom w:val="0"/>
      <w:divBdr>
        <w:top w:val="none" w:sz="0" w:space="0" w:color="auto"/>
        <w:left w:val="none" w:sz="0" w:space="0" w:color="auto"/>
        <w:bottom w:val="none" w:sz="0" w:space="0" w:color="auto"/>
        <w:right w:val="none" w:sz="0" w:space="0" w:color="auto"/>
      </w:divBdr>
    </w:div>
    <w:div w:id="1341732630">
      <w:bodyDiv w:val="1"/>
      <w:marLeft w:val="0"/>
      <w:marRight w:val="0"/>
      <w:marTop w:val="0"/>
      <w:marBottom w:val="0"/>
      <w:divBdr>
        <w:top w:val="none" w:sz="0" w:space="0" w:color="auto"/>
        <w:left w:val="none" w:sz="0" w:space="0" w:color="auto"/>
        <w:bottom w:val="none" w:sz="0" w:space="0" w:color="auto"/>
        <w:right w:val="none" w:sz="0" w:space="0" w:color="auto"/>
      </w:divBdr>
    </w:div>
    <w:div w:id="17643790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vocciaordsa@pec.giuffre.it"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C0E193-36F3-4D25-A4D5-AF91077466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22</Pages>
  <Words>8133</Words>
  <Characters>46361</Characters>
  <Application>Microsoft Office Word</Application>
  <DocSecurity>0</DocSecurity>
  <Lines>386</Lines>
  <Paragraphs>108</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54386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Utente</dc:creator>
  <cp:keywords/>
  <dc:description/>
  <cp:lastModifiedBy>ROSA VICIDOMINI</cp:lastModifiedBy>
  <cp:revision>2</cp:revision>
  <cp:lastPrinted>2026-07-03T14:55:00Z</cp:lastPrinted>
  <dcterms:created xsi:type="dcterms:W3CDTF">2026-07-09T18:42:00Z</dcterms:created>
  <dcterms:modified xsi:type="dcterms:W3CDTF">2026-07-09T18:42:00Z</dcterms:modified>
</cp:coreProperties>
</file>