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1D161A" w14:textId="77777777" w:rsidR="00297929" w:rsidRPr="00286E13" w:rsidRDefault="0044088E" w:rsidP="00467533">
      <w:pPr>
        <w:jc w:val="center"/>
        <w:rPr>
          <w:rFonts w:ascii="Arial" w:hAnsi="Arial" w:cs="Arial"/>
          <w:sz w:val="24"/>
          <w:szCs w:val="24"/>
        </w:rPr>
      </w:pPr>
      <w:r>
        <w:rPr>
          <w:rFonts w:ascii="Arial" w:hAnsi="Arial" w:cs="Arial"/>
          <w:b/>
          <w:bCs/>
          <w:sz w:val="24"/>
          <w:szCs w:val="24"/>
        </w:rPr>
        <w:t>Maria Voccia De Felice</w:t>
      </w:r>
    </w:p>
    <w:p w14:paraId="2FE5A383" w14:textId="77777777" w:rsidR="00297929" w:rsidRPr="00286E13" w:rsidRDefault="0044088E" w:rsidP="00467533">
      <w:pPr>
        <w:jc w:val="center"/>
        <w:rPr>
          <w:rFonts w:ascii="Arial" w:hAnsi="Arial" w:cs="Arial"/>
          <w:sz w:val="24"/>
          <w:szCs w:val="24"/>
        </w:rPr>
      </w:pPr>
      <w:r>
        <w:rPr>
          <w:rFonts w:ascii="Arial" w:hAnsi="Arial" w:cs="Arial"/>
          <w:b/>
          <w:bCs/>
          <w:sz w:val="24"/>
          <w:szCs w:val="24"/>
        </w:rPr>
        <w:t>Avvocato</w:t>
      </w:r>
    </w:p>
    <w:p w14:paraId="17BE97AF" w14:textId="77777777" w:rsidR="00297929" w:rsidRPr="00286E13" w:rsidRDefault="0044088E" w:rsidP="00467533">
      <w:pPr>
        <w:jc w:val="center"/>
        <w:rPr>
          <w:rFonts w:ascii="Arial" w:hAnsi="Arial" w:cs="Arial"/>
          <w:sz w:val="24"/>
          <w:szCs w:val="24"/>
        </w:rPr>
      </w:pPr>
      <w:r>
        <w:rPr>
          <w:rFonts w:ascii="Arial" w:hAnsi="Arial" w:cs="Arial"/>
          <w:b/>
          <w:bCs/>
          <w:sz w:val="24"/>
          <w:szCs w:val="24"/>
        </w:rPr>
        <w:t>Patrocinante in Cassazione</w:t>
      </w:r>
    </w:p>
    <w:p w14:paraId="05CDC5CE" w14:textId="77777777" w:rsidR="00297929" w:rsidRPr="00286E13" w:rsidRDefault="0044088E" w:rsidP="00467533">
      <w:pPr>
        <w:jc w:val="center"/>
        <w:rPr>
          <w:rFonts w:ascii="Arial" w:hAnsi="Arial" w:cs="Arial"/>
          <w:sz w:val="24"/>
          <w:szCs w:val="24"/>
        </w:rPr>
      </w:pPr>
      <w:r>
        <w:rPr>
          <w:rFonts w:ascii="Arial" w:hAnsi="Arial" w:cs="Arial"/>
          <w:b/>
          <w:bCs/>
          <w:sz w:val="24"/>
          <w:szCs w:val="24"/>
        </w:rPr>
        <w:t>Salerno - Via G. Vicinanza n. 42 – 84123</w:t>
      </w:r>
    </w:p>
    <w:p w14:paraId="422A3046" w14:textId="77777777" w:rsidR="00297929" w:rsidRPr="00286E13" w:rsidRDefault="0044088E" w:rsidP="00467533">
      <w:pPr>
        <w:jc w:val="center"/>
        <w:rPr>
          <w:rFonts w:ascii="Arial" w:hAnsi="Arial" w:cs="Arial"/>
          <w:sz w:val="24"/>
          <w:szCs w:val="24"/>
        </w:rPr>
      </w:pPr>
      <w:r>
        <w:rPr>
          <w:rFonts w:ascii="Arial" w:hAnsi="Arial" w:cs="Arial"/>
          <w:b/>
          <w:bCs/>
          <w:sz w:val="24"/>
          <w:szCs w:val="24"/>
        </w:rPr>
        <w:t>tel. 089237255 mobile 335 6329269</w:t>
      </w:r>
    </w:p>
    <w:p w14:paraId="678ACF5C" w14:textId="158C4747" w:rsidR="00297929" w:rsidRDefault="0044088E" w:rsidP="00467533">
      <w:pPr>
        <w:jc w:val="center"/>
        <w:rPr>
          <w:rStyle w:val="Collegamentoipertestuale"/>
          <w:rFonts w:ascii="Arial" w:hAnsi="Arial" w:cs="Arial"/>
          <w:b/>
          <w:bCs/>
          <w:sz w:val="24"/>
          <w:szCs w:val="24"/>
        </w:rPr>
      </w:pPr>
      <w:r>
        <w:rPr>
          <w:rFonts w:ascii="Arial" w:hAnsi="Arial" w:cs="Arial"/>
          <w:b/>
          <w:bCs/>
          <w:sz w:val="24"/>
          <w:szCs w:val="24"/>
        </w:rPr>
        <w:t xml:space="preserve">mail: mvoccia@vocciaspa.com pec: </w:t>
      </w:r>
      <w:hyperlink r:id="rId8" w:history="1">
        <w:r w:rsidR="00297929">
          <w:rPr>
            <w:rStyle w:val="Collegamentoipertestuale"/>
            <w:rFonts w:ascii="Arial" w:hAnsi="Arial" w:cs="Arial"/>
            <w:b/>
            <w:bCs/>
            <w:sz w:val="24"/>
            <w:szCs w:val="24"/>
          </w:rPr>
          <w:t>mvocciaordsa@pec.giuffre.it</w:t>
        </w:r>
      </w:hyperlink>
    </w:p>
    <w:p w14:paraId="41972FD5" w14:textId="77777777" w:rsidR="00467533" w:rsidRDefault="00467533" w:rsidP="00286E13">
      <w:pPr>
        <w:spacing w:after="200"/>
        <w:jc w:val="center"/>
        <w:rPr>
          <w:rFonts w:ascii="Arial" w:hAnsi="Arial" w:cs="Arial"/>
          <w:b/>
          <w:bCs/>
          <w:sz w:val="24"/>
          <w:szCs w:val="24"/>
        </w:rPr>
      </w:pPr>
    </w:p>
    <w:p w14:paraId="25A1DDD9" w14:textId="77777777" w:rsidR="00297929" w:rsidRPr="00286E13" w:rsidRDefault="0044088E" w:rsidP="00286E13">
      <w:pPr>
        <w:spacing w:line="360" w:lineRule="auto"/>
        <w:jc w:val="center"/>
        <w:rPr>
          <w:rFonts w:ascii="Arial" w:hAnsi="Arial" w:cs="Arial"/>
          <w:sz w:val="24"/>
          <w:szCs w:val="24"/>
        </w:rPr>
      </w:pPr>
      <w:proofErr w:type="gramStart"/>
      <w:r>
        <w:rPr>
          <w:rFonts w:ascii="Arial" w:hAnsi="Arial" w:cs="Arial"/>
          <w:b/>
          <w:bCs/>
          <w:sz w:val="24"/>
          <w:szCs w:val="24"/>
        </w:rPr>
        <w:t>ON.LE</w:t>
      </w:r>
      <w:proofErr w:type="gramEnd"/>
      <w:r>
        <w:rPr>
          <w:rFonts w:ascii="Arial" w:hAnsi="Arial" w:cs="Arial"/>
          <w:b/>
          <w:bCs/>
          <w:sz w:val="24"/>
          <w:szCs w:val="24"/>
        </w:rPr>
        <w:t xml:space="preserve"> </w:t>
      </w:r>
      <w:r>
        <w:rPr>
          <w:rFonts w:ascii="Arial" w:hAnsi="Arial" w:cs="Arial"/>
          <w:b/>
          <w:bCs/>
          <w:sz w:val="24"/>
          <w:szCs w:val="24"/>
        </w:rPr>
        <w:t>CORTE DI GIUSTIZIA TRIBUTARIA DI PRIMO GRADO DI PERUGIA</w:t>
      </w:r>
    </w:p>
    <w:p w14:paraId="79E29EA9" w14:textId="77777777" w:rsidR="000C1B24" w:rsidRPr="000C1B24" w:rsidRDefault="000C1B24" w:rsidP="000C1B24">
      <w:pPr>
        <w:spacing w:line="360" w:lineRule="auto"/>
        <w:jc w:val="center"/>
      </w:pPr>
      <w:r>
        <w:rPr>
          <w:rFonts w:ascii="Arial" w:eastAsia="Arial" w:hAnsi="Arial" w:cs="Arial"/>
          <w:b/>
          <w:bCs/>
          <w:sz w:val="24"/>
          <w:szCs w:val="24"/>
        </w:rPr>
        <w:t>Memoria difensiva</w:t>
      </w:r>
    </w:p>
    <w:p w14:paraId="05EDC4C4" w14:textId="77777777" w:rsidR="00297929" w:rsidRPr="00286E13" w:rsidRDefault="00297929" w:rsidP="00286E13">
      <w:pPr>
        <w:spacing w:line="360" w:lineRule="auto"/>
        <w:rPr>
          <w:rFonts w:ascii="Arial" w:hAnsi="Arial" w:cs="Arial"/>
          <w:sz w:val="24"/>
          <w:szCs w:val="24"/>
        </w:rPr>
      </w:pPr>
    </w:p>
    <w:p w14:paraId="54C38FAA" w14:textId="1F691F6B" w:rsidR="00E8252D" w:rsidRDefault="0044088E" w:rsidP="00E8252D">
      <w:pPr>
        <w:snapToGrid w:val="0"/>
        <w:spacing w:line="360" w:lineRule="auto"/>
        <w:ind w:firstLine="720"/>
        <w:jc w:val="both"/>
        <w:rPr>
          <w:rFonts w:ascii="Arial" w:hAnsi="Arial" w:cs="Arial"/>
          <w:color w:val="000000"/>
          <w:sz w:val="24"/>
          <w:szCs w:val="24"/>
          <w:lang w:eastAsia="ar-SA"/>
        </w:rPr>
      </w:pPr>
      <w:r>
        <w:rPr>
          <w:rFonts w:ascii="Arial" w:hAnsi="Arial" w:cs="Arial"/>
          <w:sz w:val="24"/>
          <w:szCs w:val="24"/>
        </w:rPr>
        <w:t xml:space="preserve">Per il </w:t>
      </w:r>
      <w:r>
        <w:rPr>
          <w:rFonts w:ascii="Arial" w:hAnsi="Arial" w:cs="Arial"/>
          <w:b/>
          <w:bCs/>
          <w:sz w:val="24"/>
          <w:szCs w:val="24"/>
        </w:rPr>
        <w:t>Comune di Montefalco</w:t>
      </w:r>
      <w:r>
        <w:rPr>
          <w:rFonts w:ascii="Arial" w:hAnsi="Arial" w:cs="Arial"/>
          <w:sz w:val="24"/>
          <w:szCs w:val="24"/>
        </w:rPr>
        <w:t xml:space="preserve"> (C.F. 82001610540; P.IVA 00450630546), con sede in Montefalco (PG), Piazza del Comune n. 22 (06036), in persona del Sindaco e legale rappresentante pro tempore, </w:t>
      </w:r>
      <w:r>
        <w:rPr>
          <w:rFonts w:ascii="Arial" w:eastAsia="Arial" w:hAnsi="Arial" w:cs="Arial"/>
          <w:sz w:val="24"/>
          <w:szCs w:val="24"/>
        </w:rPr>
        <w:t>rappresentato e difeso</w:t>
      </w:r>
      <w:r>
        <w:rPr>
          <w:rFonts w:ascii="Arial" w:hAnsi="Arial" w:cs="Arial"/>
          <w:color w:val="000000"/>
          <w:sz w:val="24"/>
          <w:szCs w:val="24"/>
          <w:lang w:eastAsia="ar-SA"/>
        </w:rPr>
        <w:t xml:space="preserve">, </w:t>
      </w:r>
      <w:r w:rsidR="00E8252D" w:rsidRPr="00E8252D">
        <w:rPr>
          <w:rFonts w:ascii="Arial" w:hAnsi="Arial" w:cs="Arial"/>
          <w:color w:val="000000"/>
          <w:sz w:val="24"/>
          <w:szCs w:val="24"/>
          <w:lang w:eastAsia="ar-SA"/>
        </w:rPr>
        <w:t xml:space="preserve">in esecuzione della Delibera di </w:t>
      </w:r>
      <w:r w:rsidR="00E8252D" w:rsidRPr="00E8252D">
        <w:rPr>
          <w:rFonts w:ascii="Arial" w:hAnsi="Arial" w:cs="Arial"/>
          <w:b/>
          <w:bCs/>
          <w:color w:val="000000"/>
          <w:sz w:val="24"/>
          <w:szCs w:val="24"/>
          <w:lang w:eastAsia="ar-SA"/>
        </w:rPr>
        <w:t xml:space="preserve">G.C. n. </w:t>
      </w:r>
      <w:r w:rsidR="00E8252D">
        <w:rPr>
          <w:rFonts w:ascii="Arial" w:hAnsi="Arial" w:cs="Arial"/>
          <w:b/>
          <w:bCs/>
          <w:color w:val="000000"/>
          <w:sz w:val="24"/>
          <w:szCs w:val="24"/>
          <w:lang w:eastAsia="ar-SA"/>
        </w:rPr>
        <w:t>87</w:t>
      </w:r>
      <w:r w:rsidR="00E8252D" w:rsidRPr="00E8252D">
        <w:rPr>
          <w:rFonts w:ascii="Arial" w:hAnsi="Arial" w:cs="Arial"/>
          <w:b/>
          <w:bCs/>
          <w:color w:val="000000"/>
          <w:sz w:val="24"/>
          <w:szCs w:val="24"/>
          <w:lang w:eastAsia="ar-SA"/>
        </w:rPr>
        <w:t xml:space="preserve"> del </w:t>
      </w:r>
      <w:r w:rsidR="00E8252D">
        <w:rPr>
          <w:rFonts w:ascii="Arial" w:hAnsi="Arial" w:cs="Arial"/>
          <w:b/>
          <w:bCs/>
          <w:color w:val="000000"/>
          <w:sz w:val="24"/>
          <w:szCs w:val="24"/>
          <w:lang w:eastAsia="ar-SA"/>
        </w:rPr>
        <w:t>02.07.2026</w:t>
      </w:r>
      <w:r w:rsidR="00E8252D" w:rsidRPr="00E8252D">
        <w:rPr>
          <w:rFonts w:ascii="Arial" w:hAnsi="Arial" w:cs="Arial"/>
          <w:b/>
          <w:bCs/>
          <w:color w:val="000000"/>
          <w:sz w:val="24"/>
          <w:szCs w:val="24"/>
          <w:lang w:eastAsia="ar-SA"/>
        </w:rPr>
        <w:t>,</w:t>
      </w:r>
      <w:r w:rsidR="00E8252D" w:rsidRPr="00E8252D">
        <w:rPr>
          <w:rFonts w:ascii="Arial" w:hAnsi="Arial" w:cs="Arial"/>
          <w:color w:val="000000"/>
          <w:sz w:val="24"/>
          <w:szCs w:val="24"/>
          <w:lang w:eastAsia="ar-SA"/>
        </w:rPr>
        <w:t xml:space="preserve"> dall'Avv. Maria Voccia De Felice (C.F. VCCMRA66M64G813U), presso il cui studio elettivamente domicilia in Salerno alla Via G. Vicinanza n. 42, </w:t>
      </w:r>
      <w:r w:rsidR="00E8252D" w:rsidRPr="00E8252D">
        <w:rPr>
          <w:rFonts w:ascii="Arial" w:hAnsi="Arial" w:cs="Arial"/>
          <w:color w:val="000000"/>
          <w:sz w:val="24"/>
          <w:szCs w:val="24"/>
          <w:u w:val="single"/>
          <w:lang w:eastAsia="ar-SA"/>
        </w:rPr>
        <w:t xml:space="preserve">il suddetto procuratore dichiara di voler ricevere le notifiche di legge a mezzo </w:t>
      </w:r>
      <w:proofErr w:type="spellStart"/>
      <w:r w:rsidR="00E8252D" w:rsidRPr="00E8252D">
        <w:rPr>
          <w:rFonts w:ascii="Arial" w:hAnsi="Arial" w:cs="Arial"/>
          <w:color w:val="000000"/>
          <w:sz w:val="24"/>
          <w:szCs w:val="24"/>
          <w:u w:val="single"/>
          <w:lang w:eastAsia="ar-SA"/>
        </w:rPr>
        <w:t>pec</w:t>
      </w:r>
      <w:proofErr w:type="spellEnd"/>
      <w:r w:rsidR="00E8252D" w:rsidRPr="00E8252D">
        <w:rPr>
          <w:rFonts w:ascii="Arial" w:hAnsi="Arial" w:cs="Arial"/>
          <w:color w:val="000000"/>
          <w:sz w:val="24"/>
          <w:szCs w:val="24"/>
          <w:u w:val="single"/>
          <w:lang w:eastAsia="ar-SA"/>
        </w:rPr>
        <w:t xml:space="preserve"> all’indirizzo </w:t>
      </w:r>
      <w:hyperlink r:id="rId9" w:history="1">
        <w:r w:rsidR="00E8252D" w:rsidRPr="00E8252D">
          <w:rPr>
            <w:rStyle w:val="Collegamentoipertestuale"/>
            <w:rFonts w:ascii="Arial" w:hAnsi="Arial" w:cs="Arial"/>
            <w:b/>
            <w:bCs/>
            <w:sz w:val="24"/>
            <w:szCs w:val="24"/>
            <w:lang w:eastAsia="ar-SA"/>
          </w:rPr>
          <w:t>mvocciaordsa@pec.giuffre.it</w:t>
        </w:r>
      </w:hyperlink>
      <w:r w:rsidR="00E8252D" w:rsidRPr="00E8252D">
        <w:rPr>
          <w:rFonts w:ascii="Arial" w:hAnsi="Arial" w:cs="Arial"/>
          <w:color w:val="000000"/>
          <w:sz w:val="24"/>
          <w:szCs w:val="24"/>
          <w:lang w:eastAsia="ar-SA"/>
        </w:rPr>
        <w:t>;</w:t>
      </w:r>
    </w:p>
    <w:p w14:paraId="4EF64E65" w14:textId="77777777" w:rsidR="00E8252D" w:rsidRPr="00E8252D" w:rsidRDefault="00E8252D" w:rsidP="00E8252D">
      <w:pPr>
        <w:numPr>
          <w:ilvl w:val="0"/>
          <w:numId w:val="10"/>
        </w:numPr>
        <w:snapToGrid w:val="0"/>
        <w:spacing w:line="360" w:lineRule="auto"/>
        <w:contextualSpacing/>
        <w:jc w:val="right"/>
        <w:rPr>
          <w:rFonts w:ascii="Arial" w:eastAsia="Arial" w:hAnsi="Arial" w:cs="Arial"/>
          <w:sz w:val="24"/>
          <w:szCs w:val="24"/>
        </w:rPr>
      </w:pPr>
      <w:r w:rsidRPr="00E8252D">
        <w:rPr>
          <w:rFonts w:ascii="Arial" w:eastAsia="Arial" w:hAnsi="Arial" w:cs="Arial"/>
          <w:b/>
          <w:bCs/>
          <w:sz w:val="24"/>
          <w:szCs w:val="24"/>
        </w:rPr>
        <w:t>RESISTENTE -</w:t>
      </w:r>
    </w:p>
    <w:p w14:paraId="24A3DCB7" w14:textId="56DC194D" w:rsidR="00297929" w:rsidRPr="00286E13" w:rsidRDefault="0044088E" w:rsidP="00E8252D">
      <w:pPr>
        <w:snapToGrid w:val="0"/>
        <w:spacing w:line="360" w:lineRule="auto"/>
        <w:ind w:firstLine="720"/>
        <w:jc w:val="both"/>
        <w:rPr>
          <w:rFonts w:ascii="Arial" w:hAnsi="Arial" w:cs="Arial"/>
          <w:sz w:val="24"/>
          <w:szCs w:val="24"/>
        </w:rPr>
      </w:pPr>
      <w:r>
        <w:rPr>
          <w:rFonts w:ascii="Arial" w:hAnsi="Arial" w:cs="Arial"/>
          <w:b/>
          <w:bCs/>
          <w:sz w:val="24"/>
          <w:szCs w:val="24"/>
        </w:rPr>
        <w:t>contro</w:t>
      </w:r>
    </w:p>
    <w:p w14:paraId="5052BD96" w14:textId="3D9BC1E5" w:rsidR="00297929" w:rsidRDefault="0044088E" w:rsidP="00125FD7">
      <w:pPr>
        <w:spacing w:line="360" w:lineRule="auto"/>
        <w:ind w:firstLine="708"/>
        <w:jc w:val="both"/>
        <w:rPr>
          <w:rFonts w:ascii="Arial" w:hAnsi="Arial" w:cs="Arial"/>
          <w:sz w:val="24"/>
          <w:szCs w:val="24"/>
        </w:rPr>
      </w:pPr>
      <w:r>
        <w:rPr>
          <w:rFonts w:ascii="Arial" w:hAnsi="Arial" w:cs="Arial"/>
          <w:b/>
          <w:bCs/>
          <w:sz w:val="24"/>
          <w:szCs w:val="24"/>
        </w:rPr>
        <w:t>WIND TRE S.P.A.</w:t>
      </w:r>
      <w:r>
        <w:rPr>
          <w:rFonts w:ascii="Arial" w:hAnsi="Arial" w:cs="Arial"/>
          <w:sz w:val="24"/>
          <w:szCs w:val="24"/>
        </w:rPr>
        <w:t xml:space="preserve">, </w:t>
      </w:r>
      <w:r>
        <w:rPr>
          <w:rFonts w:ascii="Arial" w:hAnsi="Arial" w:cs="Arial"/>
          <w:b/>
          <w:bCs/>
          <w:sz w:val="24"/>
          <w:szCs w:val="24"/>
        </w:rPr>
        <w:t>con Socio Unico – Direzione e Coordinamento di CK Hutchison Group Telecom Italy Investments S.à r.l., con sede lega</w:t>
      </w:r>
      <w:r>
        <w:rPr>
          <w:rFonts w:ascii="Arial" w:hAnsi="Arial" w:cs="Arial"/>
          <w:b/>
          <w:bCs/>
          <w:sz w:val="24"/>
          <w:szCs w:val="24"/>
        </w:rPr>
        <w:t xml:space="preserve">le in Milano, Via Monte Rosa n. 91 (20149) (c.f.: </w:t>
      </w:r>
      <w:bookmarkStart w:id="0" w:name="_GoBack"/>
      <w:r>
        <w:rPr>
          <w:rFonts w:ascii="Arial" w:hAnsi="Arial" w:cs="Arial"/>
          <w:b/>
          <w:bCs/>
          <w:sz w:val="24"/>
          <w:szCs w:val="24"/>
        </w:rPr>
        <w:t>02517580920</w:t>
      </w:r>
      <w:bookmarkEnd w:id="0"/>
      <w:r>
        <w:rPr>
          <w:rFonts w:ascii="Arial" w:hAnsi="Arial" w:cs="Arial"/>
          <w:b/>
          <w:bCs/>
          <w:sz w:val="24"/>
          <w:szCs w:val="24"/>
        </w:rPr>
        <w:t xml:space="preserve"> – p. i.v.a.: 13378520152)</w:t>
      </w:r>
      <w:r>
        <w:rPr>
          <w:rFonts w:ascii="Arial" w:hAnsi="Arial" w:cs="Arial"/>
          <w:sz w:val="24"/>
          <w:szCs w:val="24"/>
        </w:rPr>
        <w:t>, in persona del suo legale rappresentante pro tempore, rappresentata e difesa dagli avvocati prof. Massimo Proto (c.f.: PRTMSM73B22H501N – p.e.c.: massimo.proto@legal.c</w:t>
      </w:r>
      <w:r>
        <w:rPr>
          <w:rFonts w:ascii="Arial" w:hAnsi="Arial" w:cs="Arial"/>
          <w:sz w:val="24"/>
          <w:szCs w:val="24"/>
        </w:rPr>
        <w:t>hiomenti.net), prof. Silvio Martuccelli (c.f.: MRTSLV68D19H501I – p.e.c.: silvio.martuccelli@legal.chiomenti.net) e Carlo Maria Martino (c.f.: MRTCLM94S21H501W – p.e.c.: carlo.martino@legal.chiomenti.net), con domicilio eletto presso l’indirizzo PEC dei su</w:t>
      </w:r>
      <w:r>
        <w:rPr>
          <w:rFonts w:ascii="Arial" w:hAnsi="Arial" w:cs="Arial"/>
          <w:sz w:val="24"/>
          <w:szCs w:val="24"/>
        </w:rPr>
        <w:t>ddetti difensori.</w:t>
      </w:r>
    </w:p>
    <w:p w14:paraId="1B6A385F" w14:textId="11FD59E9" w:rsidR="00E8252D" w:rsidRPr="00E8252D" w:rsidRDefault="00E8252D" w:rsidP="00E8252D">
      <w:pPr>
        <w:spacing w:line="360" w:lineRule="auto"/>
        <w:ind w:firstLine="708"/>
        <w:jc w:val="right"/>
        <w:rPr>
          <w:rFonts w:ascii="Arial" w:hAnsi="Arial" w:cs="Arial"/>
          <w:sz w:val="24"/>
          <w:szCs w:val="24"/>
        </w:rPr>
      </w:pPr>
      <w:r w:rsidRPr="00E8252D">
        <w:rPr>
          <w:rFonts w:ascii="Arial" w:hAnsi="Arial" w:cs="Arial"/>
          <w:b/>
          <w:bCs/>
          <w:sz w:val="24"/>
          <w:szCs w:val="24"/>
        </w:rPr>
        <w:t>– RICORRENTE</w:t>
      </w:r>
      <w:r>
        <w:rPr>
          <w:rFonts w:ascii="Arial" w:hAnsi="Arial" w:cs="Arial"/>
          <w:b/>
          <w:bCs/>
          <w:sz w:val="24"/>
          <w:szCs w:val="24"/>
        </w:rPr>
        <w:t xml:space="preserve"> -</w:t>
      </w:r>
    </w:p>
    <w:p w14:paraId="114014B6" w14:textId="77777777" w:rsidR="00297929" w:rsidRPr="00286E13" w:rsidRDefault="0044088E" w:rsidP="00286E13">
      <w:pPr>
        <w:spacing w:line="360" w:lineRule="auto"/>
        <w:jc w:val="center"/>
        <w:rPr>
          <w:rFonts w:ascii="Arial" w:hAnsi="Arial" w:cs="Arial"/>
          <w:sz w:val="24"/>
          <w:szCs w:val="24"/>
        </w:rPr>
      </w:pPr>
      <w:r>
        <w:rPr>
          <w:rFonts w:ascii="Arial" w:hAnsi="Arial" w:cs="Arial"/>
          <w:sz w:val="24"/>
          <w:szCs w:val="24"/>
        </w:rPr>
        <w:t>* * *</w:t>
      </w:r>
    </w:p>
    <w:p w14:paraId="62674F33" w14:textId="62BD1B30" w:rsidR="00297929" w:rsidRPr="00286E13" w:rsidRDefault="00E8252D" w:rsidP="00286E13">
      <w:pPr>
        <w:spacing w:line="360" w:lineRule="auto"/>
        <w:ind w:firstLine="708"/>
        <w:jc w:val="both"/>
        <w:rPr>
          <w:rFonts w:ascii="Arial" w:hAnsi="Arial" w:cs="Arial"/>
          <w:sz w:val="24"/>
          <w:szCs w:val="24"/>
        </w:rPr>
      </w:pPr>
      <w:r>
        <w:rPr>
          <w:rFonts w:ascii="Arial" w:hAnsi="Arial" w:cs="Arial"/>
          <w:b/>
          <w:bCs/>
          <w:sz w:val="24"/>
          <w:szCs w:val="24"/>
        </w:rPr>
        <w:t>FATTO</w:t>
      </w:r>
    </w:p>
    <w:p w14:paraId="30564380" w14:textId="77777777" w:rsidR="00297929" w:rsidRPr="00286E13" w:rsidRDefault="0044088E" w:rsidP="00286E13">
      <w:pPr>
        <w:spacing w:line="360" w:lineRule="auto"/>
        <w:ind w:firstLine="708"/>
        <w:jc w:val="both"/>
        <w:rPr>
          <w:rFonts w:ascii="Arial" w:hAnsi="Arial" w:cs="Arial"/>
          <w:sz w:val="24"/>
          <w:szCs w:val="24"/>
        </w:rPr>
      </w:pPr>
      <w:r>
        <w:rPr>
          <w:rFonts w:ascii="Arial" w:hAnsi="Arial" w:cs="Arial"/>
          <w:sz w:val="24"/>
          <w:szCs w:val="24"/>
        </w:rPr>
        <w:t xml:space="preserve">Il Comune di Montefalco (di seguito anche solo Comune o PA o Ente), con Delibera di Consiglio Comunale n. 5 del 30-03-2021, ha approvato il Regolamento per la disciplina del </w:t>
      </w:r>
      <w:r>
        <w:rPr>
          <w:rFonts w:ascii="Arial" w:hAnsi="Arial" w:cs="Arial"/>
          <w:b/>
          <w:bCs/>
          <w:sz w:val="24"/>
          <w:szCs w:val="24"/>
        </w:rPr>
        <w:t xml:space="preserve">Canone Patrimoniale di Concessione, </w:t>
      </w:r>
      <w:r>
        <w:rPr>
          <w:rFonts w:ascii="Arial" w:hAnsi="Arial" w:cs="Arial"/>
          <w:b/>
          <w:bCs/>
          <w:sz w:val="24"/>
          <w:szCs w:val="24"/>
        </w:rPr>
        <w:t>Autorizzazione o Esposizione Pubblicitaria</w:t>
      </w:r>
      <w:r>
        <w:rPr>
          <w:rFonts w:ascii="Arial" w:hAnsi="Arial" w:cs="Arial"/>
          <w:sz w:val="24"/>
          <w:szCs w:val="24"/>
        </w:rPr>
        <w:t xml:space="preserve"> (di seguito anche solo CUP), ai sensi dell’art. 1, commi da 816 a 836, della Legge n. 160/2019 (</w:t>
      </w:r>
      <w:r>
        <w:rPr>
          <w:rFonts w:ascii="Arial" w:eastAsia="Arial" w:hAnsi="Arial" w:cs="Arial"/>
          <w:sz w:val="24"/>
          <w:szCs w:val="24"/>
        </w:rPr>
        <w:t xml:space="preserve">cfr. </w:t>
      </w:r>
      <w:r>
        <w:rPr>
          <w:rFonts w:ascii="Arial" w:eastAsia="Arial" w:hAnsi="Arial" w:cs="Arial"/>
          <w:b/>
          <w:bCs/>
          <w:sz w:val="24"/>
          <w:szCs w:val="24"/>
        </w:rPr>
        <w:t>doc. 1</w:t>
      </w:r>
      <w:r>
        <w:rPr>
          <w:rFonts w:ascii="Arial" w:eastAsia="Arial" w:hAnsi="Arial" w:cs="Arial"/>
          <w:sz w:val="24"/>
          <w:szCs w:val="24"/>
        </w:rPr>
        <w:t>).</w:t>
      </w:r>
    </w:p>
    <w:p w14:paraId="78685585" w14:textId="77777777" w:rsidR="00297929" w:rsidRPr="00286E13" w:rsidRDefault="0044088E" w:rsidP="00286E13">
      <w:pPr>
        <w:spacing w:line="360" w:lineRule="auto"/>
        <w:ind w:firstLine="708"/>
        <w:jc w:val="both"/>
        <w:rPr>
          <w:rFonts w:ascii="Arial" w:hAnsi="Arial" w:cs="Arial"/>
          <w:sz w:val="24"/>
          <w:szCs w:val="24"/>
        </w:rPr>
      </w:pPr>
      <w:r>
        <w:rPr>
          <w:rFonts w:ascii="Arial" w:hAnsi="Arial" w:cs="Arial"/>
          <w:sz w:val="24"/>
          <w:szCs w:val="24"/>
        </w:rPr>
        <w:t>Su incarico del Comune di Montefalco (</w:t>
      </w:r>
      <w:r>
        <w:rPr>
          <w:rFonts w:ascii="Helvetica" w:hAnsi="Helvetica" w:cs="Helvetica"/>
          <w:sz w:val="24"/>
          <w:szCs w:val="24"/>
        </w:rPr>
        <w:t xml:space="preserve">Determinazione di affidamento servizio di supporto ad Archivia Solution S.p.A. n. 370 del 27 ottobre 2025, </w:t>
      </w:r>
      <w:r>
        <w:rPr>
          <w:rFonts w:ascii="Arial" w:hAnsi="Arial" w:cs="Arial"/>
          <w:b/>
          <w:bCs/>
          <w:sz w:val="24"/>
          <w:szCs w:val="24"/>
        </w:rPr>
        <w:t>doc. 2</w:t>
      </w:r>
      <w:r>
        <w:rPr>
          <w:rFonts w:ascii="Arial" w:hAnsi="Arial" w:cs="Arial"/>
          <w:sz w:val="24"/>
          <w:szCs w:val="24"/>
        </w:rPr>
        <w:t xml:space="preserve">), la società </w:t>
      </w:r>
      <w:r>
        <w:rPr>
          <w:rFonts w:ascii="Arial" w:hAnsi="Arial" w:cs="Arial"/>
          <w:sz w:val="24"/>
          <w:szCs w:val="24"/>
        </w:rPr>
        <w:lastRenderedPageBreak/>
        <w:t>Archivia Solution S.p.A. ha avviato la verifica della congruità dei versamenti del Canone Unico Patrimoniale dovuto, ai sensi del</w:t>
      </w:r>
      <w:r>
        <w:rPr>
          <w:rFonts w:ascii="Arial" w:hAnsi="Arial" w:cs="Arial"/>
          <w:sz w:val="24"/>
          <w:szCs w:val="24"/>
        </w:rPr>
        <w:t xml:space="preserve"> comma 831, art. 1, L. 160/2019, dalle aziende che gestiscono i c.d. servizi di rete nel territorio comunale.</w:t>
      </w:r>
    </w:p>
    <w:p w14:paraId="55A5CF38" w14:textId="77777777" w:rsidR="00297929" w:rsidRPr="00286E13" w:rsidRDefault="0044088E" w:rsidP="00286E13">
      <w:pPr>
        <w:spacing w:line="360" w:lineRule="auto"/>
        <w:ind w:firstLine="708"/>
        <w:jc w:val="both"/>
        <w:rPr>
          <w:rFonts w:ascii="Arial" w:hAnsi="Arial" w:cs="Arial"/>
          <w:sz w:val="24"/>
          <w:szCs w:val="24"/>
        </w:rPr>
      </w:pPr>
      <w:r>
        <w:rPr>
          <w:rFonts w:ascii="Arial" w:hAnsi="Arial" w:cs="Arial"/>
          <w:sz w:val="24"/>
          <w:szCs w:val="24"/>
        </w:rPr>
        <w:t xml:space="preserve">Con nota del </w:t>
      </w:r>
      <w:r>
        <w:rPr>
          <w:rFonts w:ascii="Arial" w:hAnsi="Arial" w:cs="Arial"/>
          <w:b/>
          <w:bCs/>
          <w:sz w:val="24"/>
          <w:szCs w:val="24"/>
        </w:rPr>
        <w:t xml:space="preserve">7 gennaio 2026 </w:t>
      </w:r>
      <w:r>
        <w:rPr>
          <w:rFonts w:ascii="Arial" w:eastAsia="Arial" w:hAnsi="Arial" w:cs="Arial"/>
          <w:sz w:val="24"/>
          <w:szCs w:val="24"/>
        </w:rPr>
        <w:t>(</w:t>
      </w:r>
      <w:r>
        <w:rPr>
          <w:rFonts w:ascii="Arial" w:eastAsia="Arial" w:hAnsi="Arial" w:cs="Arial"/>
          <w:b/>
          <w:bCs/>
          <w:sz w:val="24"/>
          <w:szCs w:val="24"/>
        </w:rPr>
        <w:t>doc. 3</w:t>
      </w:r>
      <w:r>
        <w:rPr>
          <w:rFonts w:ascii="Arial" w:eastAsia="Arial" w:hAnsi="Arial" w:cs="Arial"/>
          <w:sz w:val="24"/>
          <w:szCs w:val="24"/>
        </w:rPr>
        <w:t>)</w:t>
      </w:r>
      <w:r>
        <w:rPr>
          <w:rFonts w:ascii="Arial" w:hAnsi="Arial" w:cs="Arial"/>
          <w:sz w:val="24"/>
          <w:szCs w:val="24"/>
        </w:rPr>
        <w:t>, la società Archivia Solution S.p.A. ha trasmesso a WIND TRE S.P.A. — a mezzo PEC — una richiesta di dichiara</w:t>
      </w:r>
      <w:r>
        <w:rPr>
          <w:rFonts w:ascii="Arial" w:hAnsi="Arial" w:cs="Arial"/>
          <w:sz w:val="24"/>
          <w:szCs w:val="24"/>
        </w:rPr>
        <w:t>zione delle utenze attive nel Comune di Montefalco e dei versamenti effettuati a titolo di CUP per gli anni dal 2021 al 2025, evidenziando che, dai primi controlli eseguiti, la società non risultava aver versato il Canone per alcuna delle annualità in veri</w:t>
      </w:r>
      <w:r>
        <w:rPr>
          <w:rFonts w:ascii="Arial" w:hAnsi="Arial" w:cs="Arial"/>
          <w:sz w:val="24"/>
          <w:szCs w:val="24"/>
        </w:rPr>
        <w:t>fica, e invitando la stessa a regolarizzare la propria posizione.</w:t>
      </w:r>
    </w:p>
    <w:p w14:paraId="550B7394" w14:textId="77777777" w:rsidR="00D914DF" w:rsidRDefault="0044088E" w:rsidP="00286E13">
      <w:pPr>
        <w:spacing w:line="360" w:lineRule="auto"/>
        <w:ind w:firstLine="708"/>
        <w:jc w:val="both"/>
        <w:rPr>
          <w:rFonts w:ascii="Arial" w:hAnsi="Arial" w:cs="Arial"/>
          <w:sz w:val="24"/>
          <w:szCs w:val="24"/>
        </w:rPr>
      </w:pPr>
      <w:r>
        <w:rPr>
          <w:rFonts w:ascii="Arial" w:hAnsi="Arial" w:cs="Arial"/>
          <w:b/>
          <w:bCs/>
          <w:sz w:val="24"/>
          <w:szCs w:val="24"/>
        </w:rPr>
        <w:t>Wind Tre non ha fornito alcun riscontro a tale invito</w:t>
      </w:r>
      <w:r>
        <w:rPr>
          <w:rFonts w:ascii="Arial" w:hAnsi="Arial" w:cs="Arial"/>
          <w:sz w:val="24"/>
          <w:szCs w:val="24"/>
        </w:rPr>
        <w:t xml:space="preserve">, non trasmettendo dichiarazione alcuna né effettuando versamento di sorta. </w:t>
      </w:r>
    </w:p>
    <w:p w14:paraId="335DE59C" w14:textId="77777777" w:rsidR="00D914DF" w:rsidRDefault="0044088E" w:rsidP="00286E13">
      <w:pPr>
        <w:spacing w:line="360" w:lineRule="auto"/>
        <w:ind w:firstLine="708"/>
        <w:jc w:val="both"/>
        <w:rPr>
          <w:rFonts w:ascii="Arial" w:hAnsi="Arial" w:cs="Arial"/>
          <w:sz w:val="24"/>
          <w:szCs w:val="24"/>
        </w:rPr>
      </w:pPr>
      <w:r>
        <w:rPr>
          <w:rFonts w:ascii="Arial" w:hAnsi="Arial" w:cs="Arial"/>
          <w:sz w:val="24"/>
          <w:szCs w:val="24"/>
        </w:rPr>
        <w:t>A fronte della perdurante inerzia della società, il Comune d</w:t>
      </w:r>
      <w:r>
        <w:rPr>
          <w:rFonts w:ascii="Arial" w:hAnsi="Arial" w:cs="Arial"/>
          <w:sz w:val="24"/>
          <w:szCs w:val="24"/>
        </w:rPr>
        <w:t>i Montefalco ha emesso l’</w:t>
      </w:r>
      <w:r>
        <w:rPr>
          <w:rFonts w:ascii="Arial" w:hAnsi="Arial" w:cs="Arial"/>
          <w:b/>
          <w:bCs/>
          <w:sz w:val="24"/>
          <w:szCs w:val="24"/>
        </w:rPr>
        <w:t xml:space="preserve">Avviso di Accertamento Esecutivo n. 4 del 16 marzo 2026 </w:t>
      </w:r>
      <w:r>
        <w:rPr>
          <w:rFonts w:ascii="Arial" w:hAnsi="Arial" w:cs="Arial"/>
          <w:sz w:val="24"/>
          <w:szCs w:val="24"/>
        </w:rPr>
        <w:t>(</w:t>
      </w:r>
      <w:r>
        <w:rPr>
          <w:rFonts w:ascii="Arial" w:hAnsi="Arial" w:cs="Arial"/>
          <w:b/>
          <w:bCs/>
          <w:sz w:val="24"/>
          <w:szCs w:val="24"/>
        </w:rPr>
        <w:t>doc. 4</w:t>
      </w:r>
      <w:r>
        <w:rPr>
          <w:rFonts w:ascii="Arial" w:hAnsi="Arial" w:cs="Arial"/>
          <w:sz w:val="24"/>
          <w:szCs w:val="24"/>
        </w:rPr>
        <w:t>), notificato a mezzo PEC in data 25 marzo 2026, avente ad oggetto l’omesso versamento del CUP — ai sensi dell’art. 1, comma 831, L. 160/2019 — per le annualità 2021, 2</w:t>
      </w:r>
      <w:r>
        <w:rPr>
          <w:rFonts w:ascii="Arial" w:hAnsi="Arial" w:cs="Arial"/>
          <w:sz w:val="24"/>
          <w:szCs w:val="24"/>
        </w:rPr>
        <w:t xml:space="preserve">022, 2023, 2024 e 2025, nei confronti di WIND TRE S.P.A. </w:t>
      </w:r>
    </w:p>
    <w:p w14:paraId="343E5A47" w14:textId="77777777" w:rsidR="00297929" w:rsidRPr="00286E13" w:rsidRDefault="0044088E" w:rsidP="00286E13">
      <w:pPr>
        <w:spacing w:line="360" w:lineRule="auto"/>
        <w:ind w:firstLine="708"/>
        <w:jc w:val="both"/>
        <w:rPr>
          <w:rFonts w:ascii="Arial" w:hAnsi="Arial" w:cs="Arial"/>
          <w:sz w:val="24"/>
          <w:szCs w:val="24"/>
        </w:rPr>
      </w:pPr>
      <w:r>
        <w:rPr>
          <w:rFonts w:ascii="Arial" w:hAnsi="Arial" w:cs="Arial"/>
          <w:sz w:val="24"/>
          <w:szCs w:val="24"/>
        </w:rPr>
        <w:t xml:space="preserve">Il Canone è </w:t>
      </w:r>
      <w:r w:rsidRPr="00E8252D">
        <w:rPr>
          <w:rFonts w:ascii="Arial" w:hAnsi="Arial" w:cs="Arial"/>
          <w:b/>
          <w:sz w:val="24"/>
          <w:szCs w:val="24"/>
          <w:u w:val="single"/>
        </w:rPr>
        <w:t>stato determinato nella misura minima prevista dalla legge, pari a Euro 800,00 per il 2021</w:t>
      </w:r>
      <w:r>
        <w:rPr>
          <w:rFonts w:ascii="Arial" w:hAnsi="Arial" w:cs="Arial"/>
          <w:sz w:val="24"/>
          <w:szCs w:val="24"/>
        </w:rPr>
        <w:t xml:space="preserve"> e aggiornata annualmente in base all’indice ISTAT per le annualità successive, stante l’omessa </w:t>
      </w:r>
      <w:r>
        <w:rPr>
          <w:rFonts w:ascii="Arial" w:hAnsi="Arial" w:cs="Arial"/>
          <w:sz w:val="24"/>
          <w:szCs w:val="24"/>
        </w:rPr>
        <w:t>dichiarazione delle utenze attive da parte della Ricorrente. L’importo complessivo accertato è pari ad Euro 4.424,45.</w:t>
      </w:r>
    </w:p>
    <w:p w14:paraId="24C1B9A4" w14:textId="77777777" w:rsidR="00E8252D" w:rsidRDefault="0044088E" w:rsidP="00D914DF">
      <w:pPr>
        <w:spacing w:line="360" w:lineRule="auto"/>
        <w:ind w:firstLine="708"/>
        <w:jc w:val="both"/>
        <w:rPr>
          <w:rFonts w:ascii="Arial" w:hAnsi="Arial" w:cs="Arial"/>
          <w:sz w:val="24"/>
          <w:szCs w:val="24"/>
        </w:rPr>
      </w:pPr>
      <w:r>
        <w:rPr>
          <w:rFonts w:ascii="Arial" w:hAnsi="Arial" w:cs="Arial"/>
          <w:sz w:val="24"/>
          <w:szCs w:val="24"/>
        </w:rPr>
        <w:t xml:space="preserve">Con nota del </w:t>
      </w:r>
      <w:r>
        <w:rPr>
          <w:rFonts w:ascii="Arial" w:hAnsi="Arial" w:cs="Arial"/>
          <w:b/>
          <w:bCs/>
          <w:sz w:val="24"/>
          <w:szCs w:val="24"/>
        </w:rPr>
        <w:t>25 marzo 2026</w:t>
      </w:r>
      <w:r>
        <w:rPr>
          <w:rFonts w:ascii="Arial" w:hAnsi="Arial" w:cs="Arial"/>
          <w:sz w:val="24"/>
          <w:szCs w:val="24"/>
        </w:rPr>
        <w:t>, WIND TRE S.P.A. ha trasmesso al Comune istanza di annullamento in autotutela dell’avviso di accertamento, sost</w:t>
      </w:r>
      <w:r>
        <w:rPr>
          <w:rFonts w:ascii="Arial" w:hAnsi="Arial" w:cs="Arial"/>
          <w:sz w:val="24"/>
          <w:szCs w:val="24"/>
        </w:rPr>
        <w:t xml:space="preserve">enendo di non occupare il suolo pubblico né in via diretta né in via mediata </w:t>
      </w:r>
      <w:r w:rsidRPr="00372560">
        <w:rPr>
          <w:rFonts w:ascii="Arial" w:hAnsi="Arial" w:cs="Arial"/>
          <w:b/>
          <w:bCs/>
          <w:sz w:val="24"/>
          <w:szCs w:val="24"/>
        </w:rPr>
        <w:t>(doc. 5);</w:t>
      </w:r>
      <w:r>
        <w:rPr>
          <w:rFonts w:ascii="Arial" w:hAnsi="Arial" w:cs="Arial"/>
          <w:sz w:val="24"/>
          <w:szCs w:val="24"/>
        </w:rPr>
        <w:t xml:space="preserve"> istanza che il Comune ha tempestivamente riscontrato con motivato provvedimento di rigetto, notificato a mezzo PEC in data 29 aprile 2026 </w:t>
      </w:r>
      <w:r w:rsidRPr="00372560">
        <w:rPr>
          <w:rFonts w:ascii="Arial" w:hAnsi="Arial" w:cs="Arial"/>
          <w:b/>
          <w:bCs/>
          <w:sz w:val="24"/>
          <w:szCs w:val="24"/>
        </w:rPr>
        <w:t>(doc. 6)</w:t>
      </w:r>
      <w:r w:rsidR="00372560">
        <w:rPr>
          <w:rFonts w:ascii="Arial" w:hAnsi="Arial" w:cs="Arial"/>
          <w:sz w:val="24"/>
          <w:szCs w:val="24"/>
        </w:rPr>
        <w:t xml:space="preserve">, </w:t>
      </w:r>
      <w:r>
        <w:rPr>
          <w:rFonts w:ascii="Arial" w:hAnsi="Arial" w:cs="Arial"/>
          <w:sz w:val="24"/>
          <w:szCs w:val="24"/>
        </w:rPr>
        <w:t>ribadendo la soggetti</w:t>
      </w:r>
      <w:r>
        <w:rPr>
          <w:rFonts w:ascii="Arial" w:hAnsi="Arial" w:cs="Arial"/>
          <w:sz w:val="24"/>
          <w:szCs w:val="24"/>
        </w:rPr>
        <w:t xml:space="preserve">vità passiva mediata della Società. </w:t>
      </w:r>
    </w:p>
    <w:p w14:paraId="571A3001" w14:textId="59080C03" w:rsidR="00D914DF" w:rsidRPr="00D914DF" w:rsidRDefault="0044088E" w:rsidP="00D914DF">
      <w:pPr>
        <w:spacing w:line="360" w:lineRule="auto"/>
        <w:ind w:firstLine="708"/>
        <w:jc w:val="both"/>
        <w:rPr>
          <w:rFonts w:ascii="Arial" w:eastAsia="Arial" w:hAnsi="Arial" w:cs="Arial"/>
          <w:sz w:val="24"/>
          <w:szCs w:val="24"/>
        </w:rPr>
      </w:pPr>
      <w:r>
        <w:rPr>
          <w:rFonts w:ascii="Arial" w:hAnsi="Arial" w:cs="Arial"/>
          <w:sz w:val="24"/>
          <w:szCs w:val="24"/>
        </w:rPr>
        <w:t xml:space="preserve">Resta pertanto smentita </w:t>
      </w:r>
      <w:r w:rsidRPr="00E8252D">
        <w:rPr>
          <w:rFonts w:ascii="Arial" w:hAnsi="Arial" w:cs="Arial"/>
          <w:i/>
          <w:sz w:val="24"/>
          <w:szCs w:val="24"/>
        </w:rPr>
        <w:t>per tabulas</w:t>
      </w:r>
      <w:r>
        <w:rPr>
          <w:rFonts w:ascii="Arial" w:hAnsi="Arial" w:cs="Arial"/>
          <w:sz w:val="24"/>
          <w:szCs w:val="24"/>
        </w:rPr>
        <w:t xml:space="preserve"> l’affermazione avversaria secondo cui il Comune non avrebbe fornito riscontro alcuno all’istanza di autotutela.</w:t>
      </w:r>
      <w:r>
        <w:rPr>
          <w:rFonts w:ascii="Arial" w:eastAsia="Arial" w:hAnsi="Arial" w:cs="Arial"/>
          <w:sz w:val="24"/>
          <w:szCs w:val="24"/>
        </w:rPr>
        <w:t xml:space="preserve"> </w:t>
      </w:r>
    </w:p>
    <w:p w14:paraId="22B08AE1" w14:textId="621233B8" w:rsidR="00297929" w:rsidRPr="00286E13" w:rsidRDefault="0044088E" w:rsidP="00286E13">
      <w:pPr>
        <w:spacing w:line="360" w:lineRule="auto"/>
        <w:ind w:firstLine="708"/>
        <w:jc w:val="both"/>
        <w:rPr>
          <w:rFonts w:ascii="Arial" w:hAnsi="Arial" w:cs="Arial"/>
          <w:sz w:val="24"/>
          <w:szCs w:val="24"/>
        </w:rPr>
      </w:pPr>
      <w:r>
        <w:rPr>
          <w:rFonts w:ascii="Arial" w:hAnsi="Arial" w:cs="Arial"/>
          <w:sz w:val="24"/>
          <w:szCs w:val="24"/>
        </w:rPr>
        <w:t>Avverso il predetto avviso di accertamento WIND TRE S.P.A. ha</w:t>
      </w:r>
      <w:r w:rsidR="00E8252D">
        <w:rPr>
          <w:rFonts w:ascii="Arial" w:hAnsi="Arial" w:cs="Arial"/>
          <w:sz w:val="24"/>
          <w:szCs w:val="24"/>
        </w:rPr>
        <w:t>,</w:t>
      </w:r>
      <w:r>
        <w:rPr>
          <w:rFonts w:ascii="Arial" w:hAnsi="Arial" w:cs="Arial"/>
          <w:sz w:val="24"/>
          <w:szCs w:val="24"/>
        </w:rPr>
        <w:t xml:space="preserve"> </w:t>
      </w:r>
      <w:proofErr w:type="spellStart"/>
      <w:r>
        <w:rPr>
          <w:rFonts w:ascii="Arial" w:hAnsi="Arial" w:cs="Arial"/>
          <w:sz w:val="24"/>
          <w:szCs w:val="24"/>
        </w:rPr>
        <w:t>po</w:t>
      </w:r>
      <w:r w:rsidR="00E8252D">
        <w:rPr>
          <w:rFonts w:ascii="Arial" w:hAnsi="Arial" w:cs="Arial"/>
          <w:sz w:val="24"/>
          <w:szCs w:val="24"/>
        </w:rPr>
        <w:t>,</w:t>
      </w:r>
      <w:r>
        <w:rPr>
          <w:rFonts w:ascii="Arial" w:hAnsi="Arial" w:cs="Arial"/>
          <w:sz w:val="24"/>
          <w:szCs w:val="24"/>
        </w:rPr>
        <w:t>i</w:t>
      </w:r>
      <w:proofErr w:type="spellEnd"/>
      <w:r>
        <w:rPr>
          <w:rFonts w:ascii="Arial" w:hAnsi="Arial" w:cs="Arial"/>
          <w:sz w:val="24"/>
          <w:szCs w:val="24"/>
        </w:rPr>
        <w:t xml:space="preserve"> propo</w:t>
      </w:r>
      <w:r>
        <w:rPr>
          <w:rFonts w:ascii="Arial" w:hAnsi="Arial" w:cs="Arial"/>
          <w:sz w:val="24"/>
          <w:szCs w:val="24"/>
        </w:rPr>
        <w:t>sto ricorso dinanzi alla On.le Corte di Giustizia Tributaria di Primo Grado di Perugia</w:t>
      </w:r>
      <w:r w:rsidR="00E8252D">
        <w:rPr>
          <w:rFonts w:ascii="Arial" w:hAnsi="Arial" w:cs="Arial"/>
          <w:sz w:val="24"/>
          <w:szCs w:val="24"/>
        </w:rPr>
        <w:t xml:space="preserve"> lamentando</w:t>
      </w:r>
      <w:r>
        <w:rPr>
          <w:rFonts w:ascii="Arial" w:hAnsi="Arial" w:cs="Arial"/>
          <w:sz w:val="24"/>
          <w:szCs w:val="24"/>
        </w:rPr>
        <w:t xml:space="preserve">: </w:t>
      </w:r>
      <w:r w:rsidRPr="00E96A5C">
        <w:rPr>
          <w:rFonts w:ascii="Arial" w:hAnsi="Arial" w:cs="Arial"/>
          <w:b/>
          <w:bCs/>
          <w:sz w:val="24"/>
          <w:szCs w:val="24"/>
        </w:rPr>
        <w:t>I)</w:t>
      </w:r>
      <w:r w:rsidRPr="00E96A5C">
        <w:rPr>
          <w:rFonts w:ascii="Arial" w:hAnsi="Arial" w:cs="Arial"/>
          <w:sz w:val="24"/>
          <w:szCs w:val="24"/>
        </w:rPr>
        <w:t xml:space="preserve"> Inefficacia del Regolamento Comunale per mancata pubblicazione sul sito MEF; </w:t>
      </w:r>
      <w:r w:rsidRPr="00E96A5C">
        <w:rPr>
          <w:rFonts w:ascii="Arial" w:hAnsi="Arial" w:cs="Arial"/>
          <w:b/>
          <w:bCs/>
          <w:sz w:val="24"/>
          <w:szCs w:val="24"/>
        </w:rPr>
        <w:t>II)</w:t>
      </w:r>
      <w:r w:rsidRPr="00E96A5C">
        <w:rPr>
          <w:rFonts w:ascii="Arial" w:hAnsi="Arial" w:cs="Arial"/>
          <w:sz w:val="24"/>
          <w:szCs w:val="24"/>
        </w:rPr>
        <w:t xml:space="preserve"> Carenza di elementi essenziali dell’avviso; </w:t>
      </w:r>
      <w:r w:rsidRPr="00E96A5C">
        <w:rPr>
          <w:rFonts w:ascii="Arial" w:hAnsi="Arial" w:cs="Arial"/>
          <w:b/>
          <w:bCs/>
          <w:sz w:val="24"/>
          <w:szCs w:val="24"/>
        </w:rPr>
        <w:t>III)</w:t>
      </w:r>
      <w:r w:rsidRPr="00E96A5C">
        <w:rPr>
          <w:rFonts w:ascii="Arial" w:hAnsi="Arial" w:cs="Arial"/>
          <w:sz w:val="24"/>
          <w:szCs w:val="24"/>
        </w:rPr>
        <w:t xml:space="preserve"> Carenza dei presupposti per l’applicazione del CUP; mancanza di occupazione di suolo pubblico in via diretta o mediata; </w:t>
      </w:r>
      <w:r w:rsidRPr="00E96A5C">
        <w:rPr>
          <w:rFonts w:ascii="Arial" w:hAnsi="Arial" w:cs="Arial"/>
          <w:b/>
          <w:bCs/>
          <w:sz w:val="24"/>
          <w:szCs w:val="24"/>
        </w:rPr>
        <w:t>IV)</w:t>
      </w:r>
      <w:r w:rsidRPr="00E96A5C">
        <w:rPr>
          <w:rFonts w:ascii="Arial" w:hAnsi="Arial" w:cs="Arial"/>
          <w:sz w:val="24"/>
          <w:szCs w:val="24"/>
        </w:rPr>
        <w:t xml:space="preserve"> Inesigibilità del CUP in forza del Regolamento Comunale, che individuerebbe quale </w:t>
      </w:r>
      <w:r w:rsidRPr="00E96A5C">
        <w:rPr>
          <w:rFonts w:ascii="Arial" w:hAnsi="Arial" w:cs="Arial"/>
          <w:sz w:val="24"/>
          <w:szCs w:val="24"/>
        </w:rPr>
        <w:t xml:space="preserve">soggetto passivo il solo titolare della concessione (art. 43); </w:t>
      </w:r>
      <w:r w:rsidRPr="00E96A5C">
        <w:rPr>
          <w:rFonts w:ascii="Arial" w:hAnsi="Arial" w:cs="Arial"/>
          <w:b/>
          <w:bCs/>
          <w:sz w:val="24"/>
          <w:szCs w:val="24"/>
        </w:rPr>
        <w:t>V)</w:t>
      </w:r>
      <w:r w:rsidRPr="00E96A5C">
        <w:rPr>
          <w:rFonts w:ascii="Arial" w:hAnsi="Arial" w:cs="Arial"/>
          <w:sz w:val="24"/>
          <w:szCs w:val="24"/>
        </w:rPr>
        <w:t xml:space="preserve"> </w:t>
      </w:r>
      <w:r w:rsidRPr="00E96A5C">
        <w:rPr>
          <w:rFonts w:ascii="Arial" w:hAnsi="Arial" w:cs="Arial"/>
          <w:sz w:val="24"/>
          <w:szCs w:val="24"/>
        </w:rPr>
        <w:lastRenderedPageBreak/>
        <w:t xml:space="preserve">Inesigibilità del CUP per il periodo d’imposta 2025; </w:t>
      </w:r>
      <w:r w:rsidRPr="00E96A5C">
        <w:rPr>
          <w:rFonts w:ascii="Arial" w:hAnsi="Arial" w:cs="Arial"/>
          <w:b/>
          <w:bCs/>
          <w:sz w:val="24"/>
          <w:szCs w:val="24"/>
        </w:rPr>
        <w:t>VI)</w:t>
      </w:r>
      <w:r w:rsidRPr="00E96A5C">
        <w:rPr>
          <w:rFonts w:ascii="Arial" w:hAnsi="Arial" w:cs="Arial"/>
          <w:sz w:val="24"/>
          <w:szCs w:val="24"/>
        </w:rPr>
        <w:t xml:space="preserve"> Illegittimità del metodo di calcolo adottato, in via subordinata.</w:t>
      </w:r>
    </w:p>
    <w:p w14:paraId="5C4394CD" w14:textId="664309CC" w:rsidR="00297929" w:rsidRPr="00286E13" w:rsidRDefault="00372560" w:rsidP="00286E13">
      <w:pPr>
        <w:spacing w:line="360" w:lineRule="auto"/>
        <w:ind w:firstLine="708"/>
        <w:jc w:val="both"/>
        <w:rPr>
          <w:rFonts w:ascii="Arial" w:hAnsi="Arial" w:cs="Arial"/>
          <w:sz w:val="24"/>
          <w:szCs w:val="24"/>
        </w:rPr>
      </w:pPr>
      <w:r>
        <w:rPr>
          <w:rFonts w:ascii="Arial" w:hAnsi="Arial" w:cs="Arial"/>
          <w:sz w:val="24"/>
          <w:szCs w:val="24"/>
        </w:rPr>
        <w:t>C</w:t>
      </w:r>
      <w:r w:rsidR="00D914DF">
        <w:rPr>
          <w:rFonts w:ascii="Arial" w:hAnsi="Arial" w:cs="Arial"/>
          <w:sz w:val="24"/>
          <w:szCs w:val="24"/>
        </w:rPr>
        <w:t>on il presente atto, quindi, si costituisce in giudizio il Comune di Montefalco, come sopra rappresentato e difeso, contestando le domande, le eccezioni e le deduzioni avversarie, delle quali chiede il rigetto per i seguenti</w:t>
      </w:r>
    </w:p>
    <w:p w14:paraId="27B05484" w14:textId="77777777" w:rsidR="00297929" w:rsidRDefault="0044088E" w:rsidP="00286E13">
      <w:pPr>
        <w:spacing w:line="360" w:lineRule="auto"/>
        <w:jc w:val="center"/>
        <w:rPr>
          <w:rFonts w:ascii="Arial" w:hAnsi="Arial" w:cs="Arial"/>
          <w:b/>
          <w:bCs/>
          <w:sz w:val="24"/>
          <w:szCs w:val="24"/>
        </w:rPr>
      </w:pPr>
      <w:r>
        <w:rPr>
          <w:rFonts w:ascii="Arial" w:hAnsi="Arial" w:cs="Arial"/>
          <w:b/>
          <w:bCs/>
          <w:sz w:val="24"/>
          <w:szCs w:val="24"/>
        </w:rPr>
        <w:t>MOTIVI</w:t>
      </w:r>
    </w:p>
    <w:p w14:paraId="01A8F8F0" w14:textId="77777777" w:rsidR="00E8252D" w:rsidRPr="00E8252D" w:rsidRDefault="00E8252D" w:rsidP="00E8252D">
      <w:pPr>
        <w:spacing w:line="360" w:lineRule="auto"/>
        <w:ind w:firstLine="708"/>
        <w:jc w:val="both"/>
        <w:rPr>
          <w:rFonts w:ascii="Arial" w:eastAsia="Arial" w:hAnsi="Arial" w:cs="Arial"/>
          <w:sz w:val="24"/>
          <w:szCs w:val="24"/>
        </w:rPr>
      </w:pPr>
      <w:r w:rsidRPr="00E8252D">
        <w:rPr>
          <w:rFonts w:ascii="Arial" w:eastAsia="Arial" w:hAnsi="Arial" w:cs="Arial"/>
          <w:sz w:val="24"/>
          <w:szCs w:val="24"/>
        </w:rPr>
        <w:t xml:space="preserve">Prima di </w:t>
      </w:r>
      <w:proofErr w:type="spellStart"/>
      <w:r w:rsidRPr="00E8252D">
        <w:rPr>
          <w:rFonts w:ascii="Arial" w:eastAsia="Arial" w:hAnsi="Arial" w:cs="Arial"/>
          <w:sz w:val="24"/>
          <w:szCs w:val="24"/>
        </w:rPr>
        <w:t>controdedurre</w:t>
      </w:r>
      <w:proofErr w:type="spellEnd"/>
      <w:r w:rsidRPr="00E8252D">
        <w:rPr>
          <w:rFonts w:ascii="Arial" w:eastAsia="Arial" w:hAnsi="Arial" w:cs="Arial"/>
          <w:sz w:val="24"/>
          <w:szCs w:val="24"/>
        </w:rPr>
        <w:t xml:space="preserve"> ai singoli motivi di ricorso, si ritiene opportuno evidenziare che,</w:t>
      </w:r>
      <w:r w:rsidRPr="00E8252D">
        <w:rPr>
          <w:rFonts w:ascii="Arial" w:eastAsia="Arial" w:hAnsi="Arial" w:cs="Arial"/>
          <w:b/>
          <w:bCs/>
          <w:sz w:val="24"/>
          <w:szCs w:val="24"/>
        </w:rPr>
        <w:t xml:space="preserve"> </w:t>
      </w:r>
      <w:r w:rsidRPr="00E8252D">
        <w:rPr>
          <w:rFonts w:ascii="Arial" w:eastAsia="Arial" w:hAnsi="Arial" w:cs="Arial"/>
          <w:sz w:val="24"/>
          <w:szCs w:val="24"/>
        </w:rPr>
        <w:t xml:space="preserve"> </w:t>
      </w:r>
      <w:r w:rsidRPr="00E8252D">
        <w:rPr>
          <w:rFonts w:ascii="Arial" w:eastAsia="Arial" w:hAnsi="Arial" w:cs="Arial"/>
          <w:b/>
          <w:bCs/>
          <w:sz w:val="24"/>
          <w:szCs w:val="24"/>
          <w:u w:val="single"/>
        </w:rPr>
        <w:t>PROPRIO CONTRO WIND,</w:t>
      </w:r>
      <w:r w:rsidRPr="00E8252D">
        <w:rPr>
          <w:rFonts w:ascii="Arial" w:eastAsia="Arial" w:hAnsi="Arial" w:cs="Arial"/>
          <w:sz w:val="24"/>
          <w:szCs w:val="24"/>
        </w:rPr>
        <w:t xml:space="preserve">  la </w:t>
      </w:r>
      <w:r w:rsidRPr="00E8252D">
        <w:rPr>
          <w:rFonts w:ascii="Arial" w:eastAsia="Arial" w:hAnsi="Arial" w:cs="Arial"/>
          <w:b/>
          <w:bCs/>
          <w:sz w:val="24"/>
          <w:szCs w:val="24"/>
          <w:u w:val="single"/>
        </w:rPr>
        <w:t>CORTE SUPREMA DI CASSAZIONE, Sezione Terza Civile, sentenza n. 11479 del 28 aprile 2026</w:t>
      </w:r>
      <w:r w:rsidRPr="00E8252D">
        <w:rPr>
          <w:rFonts w:ascii="Arial" w:eastAsia="Arial" w:hAnsi="Arial" w:cs="Arial"/>
          <w:b/>
          <w:bCs/>
          <w:sz w:val="24"/>
          <w:szCs w:val="24"/>
        </w:rPr>
        <w:t xml:space="preserve"> </w:t>
      </w:r>
      <w:r w:rsidRPr="00E8252D">
        <w:rPr>
          <w:rFonts w:ascii="Arial" w:eastAsia="Arial" w:hAnsi="Arial" w:cs="Arial"/>
          <w:sz w:val="24"/>
          <w:szCs w:val="24"/>
        </w:rPr>
        <w:t>(</w:t>
      </w:r>
      <w:r w:rsidRPr="00E8252D">
        <w:rPr>
          <w:rFonts w:ascii="Arial" w:eastAsia="Arial" w:hAnsi="Arial" w:cs="Arial"/>
          <w:b/>
          <w:bCs/>
          <w:sz w:val="24"/>
          <w:szCs w:val="24"/>
        </w:rPr>
        <w:t>doc. 9</w:t>
      </w:r>
      <w:r w:rsidRPr="00E8252D">
        <w:rPr>
          <w:rFonts w:ascii="Arial" w:eastAsia="Arial" w:hAnsi="Arial" w:cs="Arial"/>
          <w:sz w:val="24"/>
          <w:szCs w:val="24"/>
        </w:rPr>
        <w:t xml:space="preserve">) ha chiarito - per la prima volta a livello di legittimità - le questioni giuridiche che costituiscono il nucleo del presente contenzioso, enunciando il seguente principio di diritto: </w:t>
      </w:r>
      <w:r w:rsidRPr="00E8252D">
        <w:rPr>
          <w:rFonts w:ascii="Arial" w:eastAsia="Arial" w:hAnsi="Arial" w:cs="Arial"/>
          <w:b/>
          <w:bCs/>
          <w:i/>
          <w:iCs/>
          <w:sz w:val="24"/>
          <w:szCs w:val="24"/>
          <w:u w:val="single"/>
        </w:rPr>
        <w:t>“il gestore di servizi telefonici il quale si avvalga dell'accesso "virtuale" ad una rete di proprietà altrui (ad es., mediante tecnologia VULA) è obbligato al pagamento del CUP”</w:t>
      </w:r>
      <w:r w:rsidRPr="00E8252D">
        <w:rPr>
          <w:rFonts w:ascii="Arial" w:eastAsia="Arial" w:hAnsi="Arial" w:cs="Arial"/>
          <w:b/>
          <w:bCs/>
          <w:sz w:val="24"/>
          <w:szCs w:val="24"/>
        </w:rPr>
        <w:t xml:space="preserve"> (</w:t>
      </w:r>
      <w:proofErr w:type="spellStart"/>
      <w:r w:rsidRPr="00E8252D">
        <w:rPr>
          <w:rFonts w:ascii="Arial" w:eastAsia="Arial" w:hAnsi="Arial" w:cs="Arial"/>
          <w:b/>
          <w:bCs/>
          <w:sz w:val="24"/>
          <w:szCs w:val="24"/>
        </w:rPr>
        <w:t>Cass</w:t>
      </w:r>
      <w:proofErr w:type="spellEnd"/>
      <w:r w:rsidRPr="00E8252D">
        <w:rPr>
          <w:rFonts w:ascii="Arial" w:eastAsia="Arial" w:hAnsi="Arial" w:cs="Arial"/>
          <w:b/>
          <w:bCs/>
          <w:sz w:val="24"/>
          <w:szCs w:val="24"/>
        </w:rPr>
        <w:t xml:space="preserve">. </w:t>
      </w:r>
      <w:proofErr w:type="spellStart"/>
      <w:r w:rsidRPr="00E8252D">
        <w:rPr>
          <w:rFonts w:ascii="Arial" w:eastAsia="Arial" w:hAnsi="Arial" w:cs="Arial"/>
          <w:b/>
          <w:bCs/>
          <w:sz w:val="24"/>
          <w:szCs w:val="24"/>
        </w:rPr>
        <w:t>Civ</w:t>
      </w:r>
      <w:proofErr w:type="spellEnd"/>
      <w:r w:rsidRPr="00E8252D">
        <w:rPr>
          <w:rFonts w:ascii="Arial" w:eastAsia="Arial" w:hAnsi="Arial" w:cs="Arial"/>
          <w:b/>
          <w:bCs/>
          <w:sz w:val="24"/>
          <w:szCs w:val="24"/>
        </w:rPr>
        <w:t>., Sez. III, n. 11479/2026).</w:t>
      </w:r>
    </w:p>
    <w:p w14:paraId="4A62C416" w14:textId="77777777" w:rsidR="00E8252D" w:rsidRPr="00E8252D" w:rsidRDefault="00E8252D" w:rsidP="00E8252D">
      <w:pPr>
        <w:spacing w:line="360" w:lineRule="auto"/>
        <w:ind w:firstLine="708"/>
        <w:jc w:val="both"/>
        <w:rPr>
          <w:rFonts w:ascii="Arial" w:eastAsia="Arial" w:hAnsi="Arial" w:cs="Arial"/>
          <w:sz w:val="24"/>
          <w:szCs w:val="24"/>
        </w:rPr>
      </w:pPr>
      <w:r w:rsidRPr="00E8252D">
        <w:rPr>
          <w:rFonts w:ascii="Arial" w:eastAsia="Arial" w:hAnsi="Arial" w:cs="Arial"/>
          <w:sz w:val="24"/>
          <w:szCs w:val="24"/>
        </w:rPr>
        <w:t>Ed infatti, la Corte ha statuito che la</w:t>
      </w:r>
      <w:r w:rsidRPr="00E8252D">
        <w:rPr>
          <w:rFonts w:ascii="Arial" w:eastAsia="Arial" w:hAnsi="Arial" w:cs="Arial"/>
          <w:b/>
          <w:bCs/>
          <w:sz w:val="24"/>
          <w:szCs w:val="24"/>
        </w:rPr>
        <w:t> distinzione tra uso materiale e uso virtuale </w:t>
      </w:r>
      <w:r w:rsidRPr="00E8252D">
        <w:rPr>
          <w:rFonts w:ascii="Arial" w:eastAsia="Arial" w:hAnsi="Arial" w:cs="Arial"/>
          <w:sz w:val="24"/>
          <w:szCs w:val="24"/>
        </w:rPr>
        <w:t>dell'infrastruttura di rete, su cui si fonda la tesi dell'opponente,</w:t>
      </w:r>
      <w:r w:rsidRPr="00E8252D">
        <w:rPr>
          <w:rFonts w:ascii="Arial" w:eastAsia="Arial" w:hAnsi="Arial" w:cs="Arial"/>
          <w:b/>
          <w:bCs/>
          <w:sz w:val="24"/>
          <w:szCs w:val="24"/>
        </w:rPr>
        <w:t xml:space="preserve"> è erronea in diritto: i segnali delle linee telefoniche si propagano per legge fisica sempre attraverso un supporto materiale, sicché l'accesso VULA è virtuale unicamente nella modalità tecnica di accesso, non nell'utilizzo della rete, che </w:t>
      </w:r>
      <w:r w:rsidRPr="00E8252D">
        <w:rPr>
          <w:rFonts w:ascii="Arial" w:eastAsia="Arial" w:hAnsi="Arial" w:cs="Arial"/>
          <w:b/>
          <w:bCs/>
          <w:sz w:val="24"/>
          <w:szCs w:val="24"/>
          <w:u w:val="single"/>
        </w:rPr>
        <w:t>rimane in ogni caso materiale</w:t>
      </w:r>
      <w:r w:rsidRPr="00E8252D">
        <w:rPr>
          <w:rFonts w:ascii="Arial" w:eastAsia="Arial" w:hAnsi="Arial" w:cs="Arial"/>
          <w:b/>
          <w:bCs/>
          <w:sz w:val="24"/>
          <w:szCs w:val="24"/>
        </w:rPr>
        <w:t xml:space="preserve"> e costituisce pertanto </w:t>
      </w:r>
      <w:r w:rsidRPr="00E8252D">
        <w:rPr>
          <w:rFonts w:ascii="Arial" w:eastAsia="Arial" w:hAnsi="Arial" w:cs="Arial"/>
          <w:b/>
          <w:bCs/>
          <w:sz w:val="24"/>
          <w:szCs w:val="24"/>
          <w:u w:val="single"/>
        </w:rPr>
        <w:t>occupazione mediata</w:t>
      </w:r>
      <w:r w:rsidRPr="00E8252D">
        <w:rPr>
          <w:rFonts w:ascii="Arial" w:eastAsia="Arial" w:hAnsi="Arial" w:cs="Arial"/>
          <w:b/>
          <w:bCs/>
          <w:sz w:val="24"/>
          <w:szCs w:val="24"/>
        </w:rPr>
        <w:t xml:space="preserve"> ai sensi dell'art. 1, comma 831, L. 160/2019.</w:t>
      </w:r>
    </w:p>
    <w:p w14:paraId="4A0962F9" w14:textId="77777777" w:rsidR="00E8252D" w:rsidRPr="00E8252D" w:rsidRDefault="00E8252D" w:rsidP="00E8252D">
      <w:pPr>
        <w:spacing w:line="360" w:lineRule="auto"/>
        <w:ind w:firstLine="708"/>
        <w:jc w:val="both"/>
        <w:rPr>
          <w:rFonts w:ascii="Arial" w:eastAsia="Arial" w:hAnsi="Arial" w:cs="Arial"/>
          <w:sz w:val="24"/>
          <w:szCs w:val="24"/>
        </w:rPr>
      </w:pPr>
      <w:r w:rsidRPr="00E8252D">
        <w:rPr>
          <w:rFonts w:ascii="Arial" w:eastAsia="Arial" w:hAnsi="Arial" w:cs="Arial"/>
          <w:sz w:val="24"/>
          <w:szCs w:val="24"/>
        </w:rPr>
        <w:t>La Suprema Corte</w:t>
      </w:r>
      <w:r w:rsidRPr="00E8252D">
        <w:rPr>
          <w:rFonts w:ascii="Arial" w:eastAsia="Arial" w:hAnsi="Arial" w:cs="Arial"/>
          <w:b/>
          <w:bCs/>
          <w:sz w:val="24"/>
          <w:szCs w:val="24"/>
        </w:rPr>
        <w:t> </w:t>
      </w:r>
      <w:r w:rsidRPr="00E8252D">
        <w:rPr>
          <w:rFonts w:ascii="Arial" w:eastAsia="Arial" w:hAnsi="Arial" w:cs="Arial"/>
          <w:sz w:val="24"/>
          <w:szCs w:val="24"/>
        </w:rPr>
        <w:t>ha altresì definitivamente chiarito che</w:t>
      </w:r>
      <w:r w:rsidRPr="00E8252D">
        <w:rPr>
          <w:rFonts w:ascii="Arial" w:eastAsia="Arial" w:hAnsi="Arial" w:cs="Arial"/>
          <w:b/>
          <w:bCs/>
          <w:sz w:val="24"/>
          <w:szCs w:val="24"/>
        </w:rPr>
        <w:t> l'art. 5, comma 14-quinquies, D.L. 146/2021 non è applicabile al settore delle telecomunicazioni: l'esenzione </w:t>
      </w:r>
      <w:r w:rsidRPr="00E8252D">
        <w:rPr>
          <w:rFonts w:ascii="Arial" w:eastAsia="Arial" w:hAnsi="Arial" w:cs="Arial"/>
          <w:sz w:val="24"/>
          <w:szCs w:val="24"/>
        </w:rPr>
        <w:t>ivi prevista opera esclusivamente a favore di chi vende beni ai sensi dell'art. 1470 c.c. e</w:t>
      </w:r>
      <w:r w:rsidRPr="00E8252D">
        <w:rPr>
          <w:rFonts w:ascii="Arial" w:eastAsia="Arial" w:hAnsi="Arial" w:cs="Arial"/>
          <w:b/>
          <w:bCs/>
          <w:sz w:val="24"/>
          <w:szCs w:val="24"/>
        </w:rPr>
        <w:t> non a favore di chi, come l'operatore telefonico, eroga un servizio. Trattandosi di norma eccezionale, essa è di stretta interpretazione e non è suscettibile di applicazione estensiva al settore TLC.</w:t>
      </w:r>
    </w:p>
    <w:p w14:paraId="6526CDBC" w14:textId="77777777" w:rsidR="00E8252D" w:rsidRPr="00E8252D" w:rsidRDefault="00E8252D" w:rsidP="00E8252D">
      <w:pPr>
        <w:spacing w:line="360" w:lineRule="auto"/>
        <w:ind w:firstLine="708"/>
        <w:jc w:val="both"/>
        <w:rPr>
          <w:rFonts w:ascii="Arial" w:eastAsia="Arial" w:hAnsi="Arial" w:cs="Arial"/>
          <w:sz w:val="24"/>
          <w:szCs w:val="24"/>
        </w:rPr>
      </w:pPr>
      <w:r w:rsidRPr="00E8252D">
        <w:rPr>
          <w:rFonts w:ascii="Arial" w:eastAsia="Arial" w:hAnsi="Arial" w:cs="Arial"/>
          <w:sz w:val="24"/>
          <w:szCs w:val="24"/>
        </w:rPr>
        <w:t xml:space="preserve">La pronuncia della Corte di legittimità si spera abbia messo un punto definitivo sulla </w:t>
      </w:r>
      <w:r w:rsidRPr="00E8252D">
        <w:rPr>
          <w:rFonts w:ascii="Arial" w:eastAsia="Arial" w:hAnsi="Arial" w:cs="Arial"/>
          <w:i/>
          <w:iCs/>
          <w:sz w:val="24"/>
          <w:szCs w:val="24"/>
        </w:rPr>
        <w:t>querelle</w:t>
      </w:r>
      <w:r w:rsidRPr="00E8252D">
        <w:rPr>
          <w:rFonts w:ascii="Arial" w:eastAsia="Arial" w:hAnsi="Arial" w:cs="Arial"/>
          <w:sz w:val="24"/>
          <w:szCs w:val="24"/>
        </w:rPr>
        <w:t xml:space="preserve"> portata avanti dalle società telefoniche che muove da premesse errate.</w:t>
      </w:r>
    </w:p>
    <w:p w14:paraId="4BC85763" w14:textId="4F2DD4FD" w:rsidR="005C39E1" w:rsidRDefault="00E8252D" w:rsidP="005C39E1">
      <w:pPr>
        <w:spacing w:line="360" w:lineRule="auto"/>
        <w:ind w:firstLine="709"/>
        <w:jc w:val="both"/>
        <w:rPr>
          <w:rFonts w:ascii="Arial" w:hAnsi="Arial" w:cs="Arial"/>
          <w:b/>
          <w:bCs/>
          <w:sz w:val="24"/>
          <w:szCs w:val="24"/>
          <w:u w:val="single"/>
        </w:rPr>
      </w:pPr>
      <w:r>
        <w:rPr>
          <w:rFonts w:ascii="Arial" w:hAnsi="Arial" w:cs="Arial"/>
          <w:b/>
          <w:bCs/>
          <w:sz w:val="24"/>
          <w:szCs w:val="24"/>
          <w:u w:val="single"/>
        </w:rPr>
        <w:t>I</w:t>
      </w:r>
      <w:r w:rsidR="007A0D8D">
        <w:rPr>
          <w:rFonts w:ascii="Arial" w:hAnsi="Arial" w:cs="Arial"/>
          <w:b/>
          <w:bCs/>
          <w:sz w:val="24"/>
          <w:szCs w:val="24"/>
          <w:u w:val="single"/>
        </w:rPr>
        <w:t>) Sull’eccepita inefficacia del Regolamento Comunale per asserita omessa pubblicazione sul portale MEF.</w:t>
      </w:r>
    </w:p>
    <w:p w14:paraId="5FCD5238" w14:textId="77777777" w:rsidR="005C39E1" w:rsidRPr="005C39E1" w:rsidRDefault="005C39E1" w:rsidP="005C39E1">
      <w:pPr>
        <w:spacing w:line="360" w:lineRule="auto"/>
        <w:ind w:firstLine="709"/>
        <w:jc w:val="both"/>
        <w:rPr>
          <w:rFonts w:ascii="Arial" w:hAnsi="Arial" w:cs="Arial"/>
          <w:sz w:val="24"/>
          <w:szCs w:val="24"/>
        </w:rPr>
      </w:pPr>
      <w:r>
        <w:rPr>
          <w:rFonts w:ascii="Arial" w:hAnsi="Arial" w:cs="Arial"/>
          <w:sz w:val="24"/>
          <w:szCs w:val="24"/>
        </w:rPr>
        <w:t>L’eccezione circa la pretesa inefficacia del Regolamento Comunale per omessa pubblicazione sul portale MEF è destituita di fondamento alla luce del quadro normativo e delle indicazioni operative più recenti.</w:t>
      </w:r>
    </w:p>
    <w:p w14:paraId="56C2C781" w14:textId="77777777" w:rsidR="00E8252D" w:rsidRDefault="005C39E1" w:rsidP="005C39E1">
      <w:pPr>
        <w:spacing w:line="360" w:lineRule="auto"/>
        <w:ind w:firstLine="709"/>
        <w:jc w:val="both"/>
        <w:rPr>
          <w:rFonts w:ascii="Arial" w:hAnsi="Arial" w:cs="Arial"/>
          <w:sz w:val="24"/>
          <w:szCs w:val="24"/>
        </w:rPr>
      </w:pPr>
      <w:r>
        <w:rPr>
          <w:rFonts w:ascii="Arial" w:hAnsi="Arial" w:cs="Arial"/>
          <w:sz w:val="24"/>
          <w:szCs w:val="24"/>
        </w:rPr>
        <w:t>Va premesso che l’obbligo di pubblicazione sul Portale del Federalismo Fiscale</w:t>
      </w:r>
      <w:r w:rsidR="00E8252D">
        <w:rPr>
          <w:rFonts w:ascii="Arial" w:hAnsi="Arial" w:cs="Arial"/>
          <w:sz w:val="24"/>
          <w:szCs w:val="24"/>
        </w:rPr>
        <w:t>,</w:t>
      </w:r>
      <w:r>
        <w:rPr>
          <w:rFonts w:ascii="Arial" w:hAnsi="Arial" w:cs="Arial"/>
          <w:sz w:val="24"/>
          <w:szCs w:val="24"/>
        </w:rPr>
        <w:t xml:space="preserve"> come condizione di efficacia dei regolamenti CUP</w:t>
      </w:r>
      <w:r w:rsidR="00E8252D">
        <w:rPr>
          <w:rFonts w:ascii="Arial" w:hAnsi="Arial" w:cs="Arial"/>
          <w:sz w:val="24"/>
          <w:szCs w:val="24"/>
        </w:rPr>
        <w:t>,</w:t>
      </w:r>
      <w:r>
        <w:rPr>
          <w:rFonts w:ascii="Arial" w:hAnsi="Arial" w:cs="Arial"/>
          <w:sz w:val="24"/>
          <w:szCs w:val="24"/>
        </w:rPr>
        <w:t xml:space="preserve"> è una diretta conseguenza della </w:t>
      </w:r>
      <w:r>
        <w:rPr>
          <w:rFonts w:ascii="Arial" w:hAnsi="Arial" w:cs="Arial"/>
          <w:sz w:val="24"/>
          <w:szCs w:val="24"/>
        </w:rPr>
        <w:lastRenderedPageBreak/>
        <w:t xml:space="preserve">qualificazione tributaria del canone, affermata dalle Sezioni Unite soltanto con sentenza n. 12225, pubblicata il 1° maggio 2026. </w:t>
      </w:r>
    </w:p>
    <w:p w14:paraId="2025B714" w14:textId="77777777" w:rsidR="00E8252D" w:rsidRDefault="005C39E1" w:rsidP="005C39E1">
      <w:pPr>
        <w:spacing w:line="360" w:lineRule="auto"/>
        <w:ind w:firstLine="709"/>
        <w:jc w:val="both"/>
        <w:rPr>
          <w:rFonts w:ascii="Arial" w:hAnsi="Arial" w:cs="Arial"/>
          <w:sz w:val="24"/>
          <w:szCs w:val="24"/>
        </w:rPr>
      </w:pPr>
      <w:r>
        <w:rPr>
          <w:rFonts w:ascii="Arial" w:hAnsi="Arial" w:cs="Arial"/>
          <w:sz w:val="24"/>
          <w:szCs w:val="24"/>
        </w:rPr>
        <w:t>Prima di tale data, il CUP era pacificamente qualificato come entrata patrimoniale, e nessuna norma imponeva ai Comuni la trasmissione al MEF dei regolamenti CUP ai fini della loro efficacia. I</w:t>
      </w:r>
    </w:p>
    <w:p w14:paraId="62D825B4" w14:textId="0D3E0A81" w:rsidR="005C39E1" w:rsidRPr="005C39E1" w:rsidRDefault="005C39E1" w:rsidP="005C39E1">
      <w:pPr>
        <w:spacing w:line="360" w:lineRule="auto"/>
        <w:ind w:firstLine="709"/>
        <w:jc w:val="both"/>
        <w:rPr>
          <w:rFonts w:ascii="Arial" w:hAnsi="Arial" w:cs="Arial"/>
          <w:sz w:val="24"/>
          <w:szCs w:val="24"/>
        </w:rPr>
      </w:pPr>
      <w:r>
        <w:rPr>
          <w:rFonts w:ascii="Arial" w:hAnsi="Arial" w:cs="Arial"/>
          <w:sz w:val="24"/>
          <w:szCs w:val="24"/>
        </w:rPr>
        <w:t>l Regolamento approvato con delibera n. 5 del 30.03.2021 (modificato con delibera n. 5 del 12.02.2025), adottato in quel contesto normativo, era dunque pienamente valido ed efficace secondo la disciplina allora vigente, e le pretese per le annualità 2021–2025 vi trovano legittimo fondamento.</w:t>
      </w:r>
    </w:p>
    <w:p w14:paraId="652832FA" w14:textId="77777777" w:rsidR="008220F4" w:rsidRDefault="005C39E1" w:rsidP="005C39E1">
      <w:pPr>
        <w:spacing w:line="360" w:lineRule="auto"/>
        <w:ind w:firstLine="709"/>
        <w:jc w:val="both"/>
        <w:rPr>
          <w:rFonts w:ascii="Arial" w:hAnsi="Arial" w:cs="Arial"/>
          <w:sz w:val="24"/>
          <w:szCs w:val="24"/>
        </w:rPr>
      </w:pPr>
      <w:r>
        <w:rPr>
          <w:rFonts w:ascii="Arial" w:hAnsi="Arial" w:cs="Arial"/>
          <w:b/>
          <w:bCs/>
          <w:sz w:val="24"/>
          <w:szCs w:val="24"/>
        </w:rPr>
        <w:t>Tale interpretazione trova conferma nelle stesse istruzioni operative emanate dal Ministero dell’Economia e delle Finanze. Con Circolare n. 1/DF del 22 maggio 2026 (doc. 8), il MEF ha disciplinato gli adempimenti conseguenti alla pronuncia delle Sezioni Unite, stabilendo che i Comuni devono trasmettere al portale del Federalismo Fiscale, entro il termine perentorio del 14 ottobre 2026, l’ultima deliberazione vigente in materia di CUP alla data del 1° maggio 2026, in applicazione del principio di ultrattività e conservazione degli atti. Ciò conferma, a contrario, che i regolamenti adottati anteriormente alla sentenza delle SS.UU. erano e rimangono validi: il MEF non ne ha disposto la riapprovazione, ma soltanto la trasmissione telematica per la pubblicazione sul portale.</w:t>
      </w:r>
      <w:r>
        <w:rPr>
          <w:rFonts w:ascii="Arial" w:hAnsi="Arial" w:cs="Arial"/>
          <w:sz w:val="24"/>
          <w:szCs w:val="24"/>
        </w:rPr>
        <w:t xml:space="preserve"> </w:t>
      </w:r>
    </w:p>
    <w:p w14:paraId="192B51CB" w14:textId="5BAF0A3A" w:rsidR="005C39E1" w:rsidRPr="005C39E1" w:rsidRDefault="005C39E1" w:rsidP="005C39E1">
      <w:pPr>
        <w:spacing w:line="360" w:lineRule="auto"/>
        <w:ind w:firstLine="709"/>
        <w:jc w:val="both"/>
        <w:rPr>
          <w:rFonts w:ascii="Arial" w:hAnsi="Arial" w:cs="Arial"/>
          <w:sz w:val="24"/>
          <w:szCs w:val="24"/>
        </w:rPr>
      </w:pPr>
      <w:r>
        <w:rPr>
          <w:rFonts w:ascii="Arial" w:hAnsi="Arial" w:cs="Arial"/>
          <w:sz w:val="24"/>
          <w:szCs w:val="24"/>
        </w:rPr>
        <w:t>L’eccezione sollevata da Wind Tre muove dunque da un presupposto errato, pretendendo di applicare retroattivamente a un regolamento del 2021 un onere formale che non esisteva all’epoca della sua adozione, in palese contrasto con i principi di irretroattività e legittimo affidamento che presiedono all’ordinamento tributario.</w:t>
      </w:r>
    </w:p>
    <w:p w14:paraId="2DEDA5B3" w14:textId="4750B20F" w:rsidR="005C39E1" w:rsidRDefault="008220F4" w:rsidP="005C39E1">
      <w:pPr>
        <w:spacing w:line="360" w:lineRule="auto"/>
        <w:ind w:firstLine="709"/>
        <w:jc w:val="both"/>
        <w:rPr>
          <w:rFonts w:ascii="Arial" w:hAnsi="Arial" w:cs="Arial"/>
          <w:b/>
          <w:bCs/>
          <w:sz w:val="24"/>
          <w:szCs w:val="24"/>
          <w:u w:val="single"/>
        </w:rPr>
      </w:pPr>
      <w:r>
        <w:rPr>
          <w:rFonts w:ascii="Arial" w:hAnsi="Arial" w:cs="Arial"/>
          <w:b/>
          <w:bCs/>
          <w:sz w:val="24"/>
          <w:szCs w:val="24"/>
          <w:u w:val="single"/>
        </w:rPr>
        <w:t>II</w:t>
      </w:r>
      <w:r w:rsidR="007A0D8D">
        <w:rPr>
          <w:rFonts w:ascii="Arial" w:hAnsi="Arial" w:cs="Arial"/>
          <w:b/>
          <w:bCs/>
          <w:sz w:val="24"/>
          <w:szCs w:val="24"/>
          <w:u w:val="single"/>
        </w:rPr>
        <w:t>) Sul preteso difetto di motivazione e carenza di elementi essenziali dell’avviso di accertamento.</w:t>
      </w:r>
    </w:p>
    <w:p w14:paraId="7DF533E0" w14:textId="77777777" w:rsidR="008220F4" w:rsidRDefault="005C39E1" w:rsidP="00607CBF">
      <w:pPr>
        <w:spacing w:line="360" w:lineRule="auto"/>
        <w:ind w:firstLine="709"/>
        <w:jc w:val="both"/>
        <w:rPr>
          <w:rFonts w:ascii="Arial" w:hAnsi="Arial" w:cs="Arial"/>
          <w:sz w:val="24"/>
          <w:szCs w:val="24"/>
        </w:rPr>
      </w:pPr>
      <w:r>
        <w:rPr>
          <w:rFonts w:ascii="Arial" w:hAnsi="Arial" w:cs="Arial"/>
          <w:sz w:val="24"/>
          <w:szCs w:val="24"/>
        </w:rPr>
        <w:t xml:space="preserve">Wind Tre lamenta che l’avviso impugnato sarebbe carente degli elementi essenziali minimi e non consentirebbe al contribuente di comprendere i presupposti di fatto e le ragioni giuridiche della pretesa. </w:t>
      </w:r>
    </w:p>
    <w:p w14:paraId="10FA8C69" w14:textId="244ECC02" w:rsidR="00607CBF" w:rsidRDefault="005C39E1" w:rsidP="00607CBF">
      <w:pPr>
        <w:spacing w:line="360" w:lineRule="auto"/>
        <w:ind w:firstLine="709"/>
        <w:jc w:val="both"/>
        <w:rPr>
          <w:rFonts w:ascii="Arial" w:hAnsi="Arial" w:cs="Arial"/>
          <w:sz w:val="24"/>
          <w:szCs w:val="24"/>
        </w:rPr>
      </w:pPr>
      <w:r>
        <w:rPr>
          <w:rFonts w:ascii="Arial" w:hAnsi="Arial" w:cs="Arial"/>
          <w:sz w:val="24"/>
          <w:szCs w:val="24"/>
        </w:rPr>
        <w:t xml:space="preserve">L’eccezione è manifestamente infondata; l’avviso di accertamento impugnato risulta pienamente motivato: esso indica espressamente il presupposto impositivo (utilizzo in via mediata della rete del concessionario per le annualità 2021-2025), la norma applicata (art. 1, comma 831, L. 160/2019), il metodo di determinazione adottato (importo minimo rivalutato ISTAT, stante l’assenza di dichiarazione delle utenze), le singole annualità accertate (2021-2025) e l’importo complessivo, la sanzione applicata ai sensi dell’art. 65 del Regolamento Comunale, nonché gli interessi calcolati ai sensi dell’art. 1, comma 802, L. 160/2019. </w:t>
      </w:r>
    </w:p>
    <w:p w14:paraId="76E95D73" w14:textId="77777777" w:rsidR="00607CBF" w:rsidRPr="00286E13" w:rsidRDefault="00607CBF" w:rsidP="00607CBF">
      <w:pPr>
        <w:spacing w:line="360" w:lineRule="auto"/>
        <w:ind w:firstLine="708"/>
        <w:jc w:val="both"/>
        <w:rPr>
          <w:rFonts w:ascii="Arial" w:hAnsi="Arial" w:cs="Arial"/>
          <w:sz w:val="24"/>
          <w:szCs w:val="24"/>
        </w:rPr>
      </w:pPr>
      <w:r>
        <w:rPr>
          <w:rFonts w:ascii="Arial" w:hAnsi="Arial" w:cs="Arial"/>
          <w:sz w:val="24"/>
          <w:szCs w:val="24"/>
        </w:rPr>
        <w:lastRenderedPageBreak/>
        <w:t>L’atto soddisfa pienamente i requisiti di certezza, liquidità ed esigibilità richiesti dalla norma, consentendo al destinatario di comprendere appieno le ragioni della pretesa e di articolare adeguatamente la propria difesa — come del resto ha fatto Wind Tre con il presente ricorso in opposizione.</w:t>
      </w:r>
    </w:p>
    <w:p w14:paraId="71B305A7" w14:textId="77777777" w:rsidR="005C39E1" w:rsidRDefault="005C39E1" w:rsidP="005C39E1">
      <w:pPr>
        <w:spacing w:line="360" w:lineRule="auto"/>
        <w:ind w:firstLine="709"/>
        <w:jc w:val="both"/>
        <w:rPr>
          <w:rFonts w:ascii="Arial" w:hAnsi="Arial" w:cs="Arial"/>
          <w:sz w:val="24"/>
          <w:szCs w:val="24"/>
        </w:rPr>
      </w:pPr>
      <w:r>
        <w:rPr>
          <w:rFonts w:ascii="Arial" w:hAnsi="Arial" w:cs="Arial"/>
          <w:sz w:val="24"/>
          <w:szCs w:val="24"/>
        </w:rPr>
        <w:t>L’eccezione deve pertanto essere respinta.</w:t>
      </w:r>
    </w:p>
    <w:p w14:paraId="44CF7E0A" w14:textId="1E8D46B1" w:rsidR="009F5FA6" w:rsidRDefault="008220F4" w:rsidP="009F5FA6">
      <w:pPr>
        <w:spacing w:line="360" w:lineRule="auto"/>
        <w:jc w:val="both"/>
        <w:rPr>
          <w:rFonts w:ascii="Arial" w:hAnsi="Arial" w:cs="Arial"/>
          <w:sz w:val="24"/>
          <w:szCs w:val="24"/>
        </w:rPr>
      </w:pPr>
      <w:r>
        <w:rPr>
          <w:rFonts w:ascii="Arial" w:hAnsi="Arial" w:cs="Arial"/>
          <w:b/>
          <w:bCs/>
          <w:sz w:val="24"/>
          <w:szCs w:val="24"/>
        </w:rPr>
        <w:t>III</w:t>
      </w:r>
      <w:r w:rsidR="007A0D8D">
        <w:rPr>
          <w:rFonts w:ascii="Arial" w:hAnsi="Arial" w:cs="Arial"/>
          <w:b/>
          <w:bCs/>
          <w:sz w:val="24"/>
          <w:szCs w:val="24"/>
        </w:rPr>
        <w:t>) Sulla pretesa carenza dei presupposti per l’applicazione del CUP Cavi e Condutture e sul preteso difetto di soggettività passiva di Wind Tre.</w:t>
      </w:r>
    </w:p>
    <w:p w14:paraId="67231E45" w14:textId="77777777" w:rsidR="009F5FA6" w:rsidRPr="009F5FA6" w:rsidRDefault="009F5FA6" w:rsidP="009F5FA6">
      <w:pPr>
        <w:spacing w:line="360" w:lineRule="auto"/>
        <w:jc w:val="center"/>
        <w:rPr>
          <w:rFonts w:ascii="Arial" w:hAnsi="Arial" w:cs="Arial"/>
          <w:b/>
          <w:bCs/>
          <w:sz w:val="24"/>
          <w:szCs w:val="24"/>
        </w:rPr>
      </w:pPr>
      <w:r>
        <w:rPr>
          <w:rFonts w:ascii="Arial" w:hAnsi="Arial" w:cs="Arial"/>
          <w:b/>
          <w:bCs/>
          <w:sz w:val="24"/>
          <w:szCs w:val="24"/>
        </w:rPr>
        <w:t>e</w:t>
      </w:r>
    </w:p>
    <w:p w14:paraId="494D38B3" w14:textId="14B90951" w:rsidR="009F5FA6" w:rsidRDefault="008220F4" w:rsidP="0031369B">
      <w:pPr>
        <w:pStyle w:val="p1"/>
        <w:jc w:val="both"/>
        <w:rPr>
          <w:rFonts w:ascii="Arial" w:hAnsi="Arial" w:cs="Arial"/>
          <w:b/>
          <w:bCs/>
          <w:color w:val="auto"/>
          <w:sz w:val="24"/>
          <w:szCs w:val="24"/>
        </w:rPr>
      </w:pPr>
      <w:r>
        <w:rPr>
          <w:rFonts w:ascii="Arial" w:hAnsi="Arial" w:cs="Arial"/>
          <w:b/>
          <w:bCs/>
          <w:color w:val="auto"/>
          <w:sz w:val="24"/>
          <w:szCs w:val="24"/>
        </w:rPr>
        <w:t>IV</w:t>
      </w:r>
      <w:r w:rsidR="009F5FA6">
        <w:rPr>
          <w:rFonts w:ascii="Arial" w:hAnsi="Arial" w:cs="Arial"/>
          <w:b/>
          <w:bCs/>
          <w:color w:val="auto"/>
          <w:sz w:val="24"/>
          <w:szCs w:val="24"/>
        </w:rPr>
        <w:t>) Sull'infondatezza della pretesa di Wind Tre circa la carenza del presupposto impositivo.</w:t>
      </w:r>
    </w:p>
    <w:p w14:paraId="3284F9A1" w14:textId="77777777" w:rsidR="0031369B" w:rsidRDefault="0031369B" w:rsidP="0031369B">
      <w:pPr>
        <w:pStyle w:val="p1"/>
        <w:jc w:val="both"/>
        <w:rPr>
          <w:rFonts w:ascii="Arial" w:hAnsi="Arial" w:cs="Arial"/>
          <w:sz w:val="24"/>
          <w:szCs w:val="24"/>
        </w:rPr>
      </w:pPr>
    </w:p>
    <w:p w14:paraId="5C646897" w14:textId="71188458" w:rsidR="005C39E1" w:rsidRPr="005C39E1" w:rsidRDefault="005C39E1" w:rsidP="008220F4">
      <w:pPr>
        <w:spacing w:line="360" w:lineRule="auto"/>
        <w:jc w:val="both"/>
      </w:pPr>
      <w:r>
        <w:rPr>
          <w:rFonts w:ascii="Arial" w:eastAsia="Arial" w:hAnsi="Arial" w:cs="Arial"/>
          <w:sz w:val="24"/>
          <w:szCs w:val="24"/>
        </w:rPr>
        <w:t>Con riferimento alle doglianze in epigrafe riportate, trattate congiuntamente per connessione logica e giuridica, va in primo luogo ri</w:t>
      </w:r>
      <w:r w:rsidR="008220F4">
        <w:rPr>
          <w:rFonts w:ascii="Arial" w:eastAsia="Arial" w:hAnsi="Arial" w:cs="Arial"/>
          <w:sz w:val="24"/>
          <w:szCs w:val="24"/>
        </w:rPr>
        <w:t>chiamata la recente sentenza resa</w:t>
      </w:r>
      <w:r>
        <w:rPr>
          <w:rFonts w:ascii="Arial" w:eastAsia="Arial" w:hAnsi="Arial" w:cs="Arial"/>
          <w:sz w:val="24"/>
          <w:szCs w:val="24"/>
        </w:rPr>
        <w:t xml:space="preserve">, </w:t>
      </w:r>
      <w:r>
        <w:rPr>
          <w:rFonts w:ascii="Arial" w:eastAsia="Arial" w:hAnsi="Arial" w:cs="Arial"/>
          <w:b/>
          <w:bCs/>
          <w:sz w:val="24"/>
          <w:szCs w:val="24"/>
          <w:u w:val="single"/>
        </w:rPr>
        <w:t xml:space="preserve">PROPRIO CONTRO </w:t>
      </w:r>
      <w:proofErr w:type="gramStart"/>
      <w:r>
        <w:rPr>
          <w:rFonts w:ascii="Arial" w:eastAsia="Arial" w:hAnsi="Arial" w:cs="Arial"/>
          <w:b/>
          <w:bCs/>
          <w:sz w:val="24"/>
          <w:szCs w:val="24"/>
          <w:u w:val="single"/>
        </w:rPr>
        <w:t>WIND,</w:t>
      </w:r>
      <w:r>
        <w:rPr>
          <w:rFonts w:ascii="Arial" w:eastAsia="Arial" w:hAnsi="Arial" w:cs="Arial"/>
          <w:sz w:val="24"/>
          <w:szCs w:val="24"/>
        </w:rPr>
        <w:t xml:space="preserve">  </w:t>
      </w:r>
      <w:r w:rsidR="008220F4">
        <w:rPr>
          <w:rFonts w:ascii="Arial" w:eastAsia="Arial" w:hAnsi="Arial" w:cs="Arial"/>
          <w:sz w:val="24"/>
          <w:szCs w:val="24"/>
        </w:rPr>
        <w:t>del</w:t>
      </w:r>
      <w:r>
        <w:rPr>
          <w:rFonts w:ascii="Arial" w:eastAsia="Arial" w:hAnsi="Arial" w:cs="Arial"/>
          <w:sz w:val="24"/>
          <w:szCs w:val="24"/>
        </w:rPr>
        <w:t>la</w:t>
      </w:r>
      <w:proofErr w:type="gramEnd"/>
      <w:r>
        <w:rPr>
          <w:rFonts w:ascii="Arial" w:eastAsia="Arial" w:hAnsi="Arial" w:cs="Arial"/>
          <w:sz w:val="24"/>
          <w:szCs w:val="24"/>
        </w:rPr>
        <w:t xml:space="preserve"> </w:t>
      </w:r>
      <w:r>
        <w:rPr>
          <w:rFonts w:ascii="Arial" w:eastAsia="Arial" w:hAnsi="Arial" w:cs="Arial"/>
          <w:b/>
          <w:bCs/>
          <w:sz w:val="24"/>
          <w:szCs w:val="24"/>
          <w:u w:val="single"/>
        </w:rPr>
        <w:t>CORTE SUPREMA DI CASSAZIONE, Sezione Terza Civile, sentenza n. 11479 del 28 aprile 2026</w:t>
      </w:r>
      <w:r>
        <w:rPr>
          <w:rFonts w:ascii="Arial" w:eastAsia="Arial" w:hAnsi="Arial" w:cs="Arial"/>
          <w:b/>
          <w:bCs/>
          <w:sz w:val="24"/>
          <w:szCs w:val="24"/>
        </w:rPr>
        <w:t xml:space="preserve"> </w:t>
      </w:r>
      <w:r>
        <w:rPr>
          <w:rFonts w:ascii="Arial" w:eastAsia="Arial" w:hAnsi="Arial" w:cs="Arial"/>
          <w:sz w:val="24"/>
          <w:szCs w:val="24"/>
        </w:rPr>
        <w:t>(</w:t>
      </w:r>
      <w:r>
        <w:rPr>
          <w:rFonts w:ascii="Arial" w:eastAsia="Arial" w:hAnsi="Arial" w:cs="Arial"/>
          <w:b/>
          <w:bCs/>
          <w:sz w:val="24"/>
          <w:szCs w:val="24"/>
        </w:rPr>
        <w:t>doc. 9</w:t>
      </w:r>
      <w:r>
        <w:rPr>
          <w:rFonts w:ascii="Arial" w:eastAsia="Arial" w:hAnsi="Arial" w:cs="Arial"/>
          <w:sz w:val="24"/>
          <w:szCs w:val="24"/>
        </w:rPr>
        <w:t>)</w:t>
      </w:r>
    </w:p>
    <w:p w14:paraId="130D4A91" w14:textId="29F31F0D" w:rsidR="00297929" w:rsidRPr="00286E13" w:rsidRDefault="008220F4" w:rsidP="00286E13">
      <w:pPr>
        <w:spacing w:line="360" w:lineRule="auto"/>
        <w:ind w:firstLine="708"/>
        <w:jc w:val="both"/>
        <w:rPr>
          <w:rFonts w:ascii="Arial" w:hAnsi="Arial" w:cs="Arial"/>
          <w:sz w:val="24"/>
          <w:szCs w:val="24"/>
        </w:rPr>
      </w:pPr>
      <w:r>
        <w:rPr>
          <w:rFonts w:ascii="Arial" w:hAnsi="Arial" w:cs="Arial"/>
          <w:b/>
          <w:bCs/>
          <w:sz w:val="24"/>
          <w:szCs w:val="24"/>
          <w:u w:val="single"/>
        </w:rPr>
        <w:t xml:space="preserve">Sui </w:t>
      </w:r>
      <w:r w:rsidR="0044088E">
        <w:rPr>
          <w:rFonts w:ascii="Arial" w:hAnsi="Arial" w:cs="Arial"/>
          <w:b/>
          <w:bCs/>
          <w:sz w:val="24"/>
          <w:szCs w:val="24"/>
          <w:u w:val="single"/>
        </w:rPr>
        <w:t xml:space="preserve">fatti e </w:t>
      </w:r>
      <w:r>
        <w:rPr>
          <w:rFonts w:ascii="Arial" w:hAnsi="Arial" w:cs="Arial"/>
          <w:b/>
          <w:bCs/>
          <w:sz w:val="24"/>
          <w:szCs w:val="24"/>
          <w:u w:val="single"/>
        </w:rPr>
        <w:t>sul</w:t>
      </w:r>
      <w:r w:rsidR="0044088E">
        <w:rPr>
          <w:rFonts w:ascii="Arial" w:hAnsi="Arial" w:cs="Arial"/>
          <w:b/>
          <w:bCs/>
          <w:sz w:val="24"/>
          <w:szCs w:val="24"/>
          <w:u w:val="single"/>
        </w:rPr>
        <w:t>la normativa di riferimento.</w:t>
      </w:r>
    </w:p>
    <w:p w14:paraId="7FF24AC1" w14:textId="77777777" w:rsidR="00297929" w:rsidRPr="00286E13" w:rsidRDefault="0044088E" w:rsidP="00286E13">
      <w:pPr>
        <w:spacing w:line="360" w:lineRule="auto"/>
        <w:ind w:firstLine="708"/>
        <w:jc w:val="both"/>
        <w:rPr>
          <w:rFonts w:ascii="Arial" w:hAnsi="Arial" w:cs="Arial"/>
          <w:sz w:val="24"/>
          <w:szCs w:val="24"/>
        </w:rPr>
      </w:pPr>
      <w:r>
        <w:rPr>
          <w:rFonts w:ascii="Arial" w:hAnsi="Arial" w:cs="Arial"/>
          <w:sz w:val="24"/>
          <w:szCs w:val="24"/>
        </w:rPr>
        <w:t>Nella narrativa avversaria, sostanzialmente, WIND TRE S.P.A. richiama una normativa oltre che non più attuale, anche recisamente disattesa dallo stesso Legislatore oltre che afferente a diverse fattispeci</w:t>
      </w:r>
      <w:r>
        <w:rPr>
          <w:rFonts w:ascii="Arial" w:hAnsi="Arial" w:cs="Arial"/>
          <w:sz w:val="24"/>
          <w:szCs w:val="24"/>
        </w:rPr>
        <w:t>e normativamente regolamentate.</w:t>
      </w:r>
    </w:p>
    <w:p w14:paraId="0D2AC328" w14:textId="77777777" w:rsidR="00297929" w:rsidRPr="00286E13" w:rsidRDefault="0044088E" w:rsidP="00286E13">
      <w:pPr>
        <w:spacing w:line="360" w:lineRule="auto"/>
        <w:ind w:firstLine="708"/>
        <w:jc w:val="both"/>
        <w:rPr>
          <w:rFonts w:ascii="Arial" w:hAnsi="Arial" w:cs="Arial"/>
          <w:sz w:val="24"/>
          <w:szCs w:val="24"/>
        </w:rPr>
      </w:pPr>
      <w:r>
        <w:rPr>
          <w:rFonts w:ascii="Arial" w:hAnsi="Arial" w:cs="Arial"/>
          <w:sz w:val="24"/>
          <w:szCs w:val="24"/>
        </w:rPr>
        <w:t xml:space="preserve">Pertanto, per meglio inquadrare la fattispecie portata all’attenzione del Giudice, si impone un breve </w:t>
      </w:r>
      <w:r>
        <w:rPr>
          <w:rFonts w:ascii="Arial" w:hAnsi="Arial" w:cs="Arial"/>
          <w:i/>
          <w:iCs/>
          <w:sz w:val="24"/>
          <w:szCs w:val="24"/>
        </w:rPr>
        <w:t>excursus</w:t>
      </w:r>
      <w:r>
        <w:rPr>
          <w:rFonts w:ascii="Arial" w:hAnsi="Arial" w:cs="Arial"/>
          <w:sz w:val="24"/>
          <w:szCs w:val="24"/>
        </w:rPr>
        <w:t xml:space="preserve"> normativo in tema di legittimazione passiva, al fine di individuare il/i soggetto/i passivamente tenuti al pagamento del canone patrimoniale unico e </w:t>
      </w:r>
      <w:r>
        <w:rPr>
          <w:rFonts w:ascii="Arial" w:hAnsi="Arial" w:cs="Arial"/>
          <w:sz w:val="24"/>
          <w:szCs w:val="24"/>
          <w:u w:val="single"/>
        </w:rPr>
        <w:t>ciò anche nell’ipotesi di uso in via mediata in condivisione delle infrastrutture concessionate ad un unic</w:t>
      </w:r>
      <w:r>
        <w:rPr>
          <w:rFonts w:ascii="Arial" w:hAnsi="Arial" w:cs="Arial"/>
          <w:sz w:val="24"/>
          <w:szCs w:val="24"/>
          <w:u w:val="single"/>
        </w:rPr>
        <w:t>o Operatore.</w:t>
      </w:r>
    </w:p>
    <w:p w14:paraId="3C8D7E5E" w14:textId="77777777" w:rsidR="00297929" w:rsidRPr="00286E13" w:rsidRDefault="0044088E" w:rsidP="00286E13">
      <w:pPr>
        <w:spacing w:line="360" w:lineRule="auto"/>
        <w:ind w:firstLine="708"/>
        <w:jc w:val="both"/>
        <w:rPr>
          <w:rFonts w:ascii="Arial" w:hAnsi="Arial" w:cs="Arial"/>
          <w:sz w:val="24"/>
          <w:szCs w:val="24"/>
        </w:rPr>
      </w:pPr>
      <w:r>
        <w:rPr>
          <w:rFonts w:ascii="Arial" w:hAnsi="Arial" w:cs="Arial"/>
          <w:sz w:val="24"/>
          <w:szCs w:val="24"/>
        </w:rPr>
        <w:t>Ebbene, la legge n. 160/2019 ha previsto che, in sostituzione dei precedenti prelievi TOSAP e COSAP, a partire dall’anno 2021 ogni Comune potesse e dovesse riscuotere attraverso il canone unico patrimoniale (d’ora in poi solo CUP) gli oneri de</w:t>
      </w:r>
      <w:r>
        <w:rPr>
          <w:rFonts w:ascii="Arial" w:hAnsi="Arial" w:cs="Arial"/>
          <w:sz w:val="24"/>
          <w:szCs w:val="24"/>
        </w:rPr>
        <w:t>rivanti dall’occupazione del suolo pubblico da parte dei singoli soggetti utilizzatori.</w:t>
      </w:r>
    </w:p>
    <w:p w14:paraId="1B35B5C4" w14:textId="77777777" w:rsidR="00297929" w:rsidRPr="00286E13" w:rsidRDefault="0044088E" w:rsidP="00286E13">
      <w:pPr>
        <w:spacing w:line="360" w:lineRule="auto"/>
        <w:ind w:firstLine="708"/>
        <w:jc w:val="both"/>
        <w:rPr>
          <w:rFonts w:ascii="Arial" w:hAnsi="Arial" w:cs="Arial"/>
          <w:sz w:val="24"/>
          <w:szCs w:val="24"/>
        </w:rPr>
      </w:pPr>
      <w:r>
        <w:rPr>
          <w:rFonts w:ascii="Arial" w:hAnsi="Arial" w:cs="Arial"/>
          <w:sz w:val="24"/>
          <w:szCs w:val="24"/>
        </w:rPr>
        <w:t xml:space="preserve">Parallelamente all’istituzione di tale nuovo strumento di riscossione, la nuova disciplina normativa ha recepito anche tutta la casistica relativa alle occupazioni </w:t>
      </w:r>
      <w:r>
        <w:rPr>
          <w:rFonts w:ascii="Arial" w:hAnsi="Arial" w:cs="Arial"/>
          <w:sz w:val="24"/>
          <w:szCs w:val="24"/>
        </w:rPr>
        <w:t>permanenti, realizzate attraverso la posa sul territorio comunale di cavi e condutture per la fornitura di servizi di pubblica utilità tra cui, evidentemente, i servizi di telecomunicazione e trasferimento dati.</w:t>
      </w:r>
    </w:p>
    <w:p w14:paraId="768ADCF8" w14:textId="77777777" w:rsidR="00297929" w:rsidRPr="00286E13" w:rsidRDefault="0044088E" w:rsidP="00286E13">
      <w:pPr>
        <w:spacing w:line="360" w:lineRule="auto"/>
        <w:ind w:firstLine="708"/>
        <w:jc w:val="both"/>
        <w:rPr>
          <w:rFonts w:ascii="Arial" w:hAnsi="Arial" w:cs="Arial"/>
          <w:sz w:val="24"/>
          <w:szCs w:val="24"/>
        </w:rPr>
      </w:pPr>
      <w:r>
        <w:rPr>
          <w:rFonts w:ascii="Arial" w:hAnsi="Arial" w:cs="Arial"/>
          <w:sz w:val="24"/>
          <w:szCs w:val="24"/>
        </w:rPr>
        <w:t>E ciò ha fatto fornendo un’interpretazione c</w:t>
      </w:r>
      <w:r>
        <w:rPr>
          <w:rFonts w:ascii="Arial" w:hAnsi="Arial" w:cs="Arial"/>
          <w:sz w:val="24"/>
          <w:szCs w:val="24"/>
        </w:rPr>
        <w:t>he ora possiamo definire definitiva dell’art. 1 comma 831 della predetta Legge.</w:t>
      </w:r>
    </w:p>
    <w:p w14:paraId="484BFBD9" w14:textId="77777777" w:rsidR="00297929" w:rsidRPr="00286E13" w:rsidRDefault="0044088E" w:rsidP="00286E13">
      <w:pPr>
        <w:spacing w:line="360" w:lineRule="auto"/>
        <w:ind w:firstLine="708"/>
        <w:jc w:val="both"/>
        <w:rPr>
          <w:rFonts w:ascii="Arial" w:hAnsi="Arial" w:cs="Arial"/>
          <w:sz w:val="24"/>
          <w:szCs w:val="24"/>
        </w:rPr>
      </w:pPr>
      <w:r>
        <w:rPr>
          <w:rFonts w:ascii="Arial" w:hAnsi="Arial" w:cs="Arial"/>
          <w:sz w:val="24"/>
          <w:szCs w:val="24"/>
        </w:rPr>
        <w:t xml:space="preserve">Nella sua versione originale, infatti, l’art. 1 comma 831 della Legge 160/2019 aveva previsto che le società che fornivano servizi pubblici e titolari di concessioni per </w:t>
      </w:r>
      <w:r>
        <w:rPr>
          <w:rFonts w:ascii="Arial" w:hAnsi="Arial" w:cs="Arial"/>
          <w:sz w:val="24"/>
          <w:szCs w:val="24"/>
        </w:rPr>
        <w:lastRenderedPageBreak/>
        <w:t>l’occu</w:t>
      </w:r>
      <w:r>
        <w:rPr>
          <w:rFonts w:ascii="Arial" w:hAnsi="Arial" w:cs="Arial"/>
          <w:sz w:val="24"/>
          <w:szCs w:val="24"/>
        </w:rPr>
        <w:t>pazione del sottosuolo pubblico, attraverso cavi e condutture, dovessero versare il relativo canone all’Ente Pubblico in base al numero delle utenze che ivi transitavano, sommandole a quelle delle altre Aziende che, di fatto, usufruivano delle medesime inf</w:t>
      </w:r>
      <w:r>
        <w:rPr>
          <w:rFonts w:ascii="Arial" w:hAnsi="Arial" w:cs="Arial"/>
          <w:sz w:val="24"/>
          <w:szCs w:val="24"/>
        </w:rPr>
        <w:t>rastrutture.</w:t>
      </w:r>
    </w:p>
    <w:p w14:paraId="260980EF" w14:textId="77777777" w:rsidR="00297929" w:rsidRPr="00286E13" w:rsidRDefault="0044088E" w:rsidP="00286E13">
      <w:pPr>
        <w:spacing w:line="360" w:lineRule="auto"/>
        <w:ind w:firstLine="708"/>
        <w:jc w:val="both"/>
        <w:rPr>
          <w:rFonts w:ascii="Arial" w:hAnsi="Arial" w:cs="Arial"/>
          <w:sz w:val="24"/>
          <w:szCs w:val="24"/>
        </w:rPr>
      </w:pPr>
      <w:r>
        <w:rPr>
          <w:rFonts w:ascii="Arial" w:hAnsi="Arial" w:cs="Arial"/>
          <w:sz w:val="24"/>
          <w:szCs w:val="24"/>
        </w:rPr>
        <w:t>Il titolare della concessione comunale avrebbe, poi, esercitato rivalsa sulle aziende che utilizzavano la stessa rete, per quanto complessivamente ed obbligatoriamente da esso anticipato al locale Comune anche in loro vece e favore.</w:t>
      </w:r>
    </w:p>
    <w:p w14:paraId="55A42724" w14:textId="77777777" w:rsidR="00297929" w:rsidRPr="00286E13" w:rsidRDefault="0044088E" w:rsidP="00286E13">
      <w:pPr>
        <w:spacing w:line="360" w:lineRule="auto"/>
        <w:ind w:firstLine="708"/>
        <w:jc w:val="both"/>
        <w:rPr>
          <w:rFonts w:ascii="Arial" w:hAnsi="Arial" w:cs="Arial"/>
          <w:sz w:val="24"/>
          <w:szCs w:val="24"/>
        </w:rPr>
      </w:pPr>
      <w:r>
        <w:rPr>
          <w:rFonts w:ascii="Arial" w:hAnsi="Arial" w:cs="Arial"/>
          <w:sz w:val="24"/>
          <w:szCs w:val="24"/>
        </w:rPr>
        <w:t>Nella vige</w:t>
      </w:r>
      <w:r>
        <w:rPr>
          <w:rFonts w:ascii="Arial" w:hAnsi="Arial" w:cs="Arial"/>
          <w:sz w:val="24"/>
          <w:szCs w:val="24"/>
        </w:rPr>
        <w:t>nza di tale normativa o, meglio, prassi applicativa (</w:t>
      </w:r>
      <w:r>
        <w:rPr>
          <w:rFonts w:ascii="Arial" w:hAnsi="Arial" w:cs="Arial"/>
          <w:b/>
          <w:bCs/>
          <w:sz w:val="24"/>
          <w:szCs w:val="24"/>
        </w:rPr>
        <w:t>poiché tale indirizzo normativo mai è entrato in vigore</w:t>
      </w:r>
      <w:r>
        <w:rPr>
          <w:rFonts w:ascii="Arial" w:hAnsi="Arial" w:cs="Arial"/>
          <w:sz w:val="24"/>
          <w:szCs w:val="24"/>
        </w:rPr>
        <w:t>) il soggetto chiamato a corrispondere il canone sarebbe stato esclusivamente Tim/Telecom S.p.A., quale unico soggetto concessionato all’uso del sot</w:t>
      </w:r>
      <w:r>
        <w:rPr>
          <w:rFonts w:ascii="Arial" w:hAnsi="Arial" w:cs="Arial"/>
          <w:sz w:val="24"/>
          <w:szCs w:val="24"/>
        </w:rPr>
        <w:t xml:space="preserve">tosuolo pubblico salvo, come anticipato, il suo diritto alla rivalsa/regresso nei confronti degli altri utilizzatori tra cui, evidentemente, anche WIND TRE S.P.A., che pacificamente utilizza le reti altrui mediante collegamenti </w:t>
      </w:r>
      <w:r>
        <w:rPr>
          <w:rFonts w:ascii="Arial" w:hAnsi="Arial" w:cs="Arial"/>
          <w:b/>
          <w:bCs/>
          <w:sz w:val="24"/>
          <w:szCs w:val="24"/>
        </w:rPr>
        <w:t>VLAN (Virtual Local Area Net</w:t>
      </w:r>
      <w:r>
        <w:rPr>
          <w:rFonts w:ascii="Arial" w:hAnsi="Arial" w:cs="Arial"/>
          <w:b/>
          <w:bCs/>
          <w:sz w:val="24"/>
          <w:szCs w:val="24"/>
        </w:rPr>
        <w:t>work), NGA (Next Generation Access), VULA (Virtual Unbundled Local Access) e SLU (Sub Loop Unbundling)</w:t>
      </w:r>
      <w:r>
        <w:rPr>
          <w:rFonts w:ascii="Arial" w:hAnsi="Arial" w:cs="Arial"/>
          <w:sz w:val="24"/>
          <w:szCs w:val="24"/>
        </w:rPr>
        <w:t>; per chiarezza espositiva si evidenzia che con tali acronimi si indicano le modalità che gli operatori di rete hanno a disposizione per accedere alla ret</w:t>
      </w:r>
      <w:r>
        <w:rPr>
          <w:rFonts w:ascii="Arial" w:hAnsi="Arial" w:cs="Arial"/>
          <w:sz w:val="24"/>
          <w:szCs w:val="24"/>
        </w:rPr>
        <w:t>e dell’operatore concessionato Tim/Telecom S.p.A./FiberCop, ex monopolista delle infrastrutture nazionali.</w:t>
      </w:r>
    </w:p>
    <w:p w14:paraId="157E7383" w14:textId="77777777" w:rsidR="00297929" w:rsidRPr="00286E13" w:rsidRDefault="0044088E" w:rsidP="00286E13">
      <w:pPr>
        <w:spacing w:line="360" w:lineRule="auto"/>
        <w:ind w:firstLine="708"/>
        <w:jc w:val="both"/>
        <w:rPr>
          <w:rFonts w:ascii="Arial" w:hAnsi="Arial" w:cs="Arial"/>
          <w:sz w:val="24"/>
          <w:szCs w:val="24"/>
        </w:rPr>
      </w:pPr>
      <w:r>
        <w:rPr>
          <w:rFonts w:ascii="Arial" w:hAnsi="Arial" w:cs="Arial"/>
          <w:sz w:val="24"/>
          <w:szCs w:val="24"/>
        </w:rPr>
        <w:t xml:space="preserve">Ricordiamo, poi, che il Legislatore con il </w:t>
      </w:r>
      <w:r>
        <w:rPr>
          <w:rFonts w:ascii="Arial" w:hAnsi="Arial" w:cs="Arial"/>
          <w:sz w:val="24"/>
          <w:szCs w:val="24"/>
          <w:u w:val="single"/>
        </w:rPr>
        <w:t>comma 848 della Legge 178/2020</w:t>
      </w:r>
      <w:r>
        <w:rPr>
          <w:rFonts w:ascii="Arial" w:hAnsi="Arial" w:cs="Arial"/>
          <w:sz w:val="24"/>
          <w:szCs w:val="24"/>
        </w:rPr>
        <w:t xml:space="preserve"> del 30.12.2020 ha apportato radicali modifiche, stravolgendola, alla discip</w:t>
      </w:r>
      <w:r>
        <w:rPr>
          <w:rFonts w:ascii="Arial" w:hAnsi="Arial" w:cs="Arial"/>
          <w:sz w:val="24"/>
          <w:szCs w:val="24"/>
        </w:rPr>
        <w:t xml:space="preserve">lina riscrivendo il comma 831 ed introducendo il concetto della c.d. </w:t>
      </w:r>
      <w:r>
        <w:rPr>
          <w:rFonts w:ascii="Arial" w:hAnsi="Arial" w:cs="Arial"/>
          <w:b/>
          <w:bCs/>
          <w:sz w:val="24"/>
          <w:szCs w:val="24"/>
          <w:u w:val="single"/>
        </w:rPr>
        <w:t>soggettività passiva in via mediata</w:t>
      </w:r>
      <w:r>
        <w:rPr>
          <w:rFonts w:ascii="Arial" w:hAnsi="Arial" w:cs="Arial"/>
          <w:sz w:val="24"/>
          <w:szCs w:val="24"/>
        </w:rPr>
        <w:t xml:space="preserve"> quale presupposto per l’applicazione della norma di cui, di seguito, riportiamo la sintesi.</w:t>
      </w:r>
    </w:p>
    <w:p w14:paraId="2F221D7E" w14:textId="77777777" w:rsidR="00297929" w:rsidRPr="00286E13" w:rsidRDefault="0044088E" w:rsidP="00286E13">
      <w:pPr>
        <w:spacing w:line="360" w:lineRule="auto"/>
        <w:ind w:firstLine="708"/>
        <w:jc w:val="both"/>
        <w:rPr>
          <w:rFonts w:ascii="Arial" w:hAnsi="Arial" w:cs="Arial"/>
          <w:sz w:val="24"/>
          <w:szCs w:val="24"/>
        </w:rPr>
      </w:pPr>
      <w:r>
        <w:rPr>
          <w:rFonts w:ascii="Arial" w:hAnsi="Arial" w:cs="Arial"/>
          <w:sz w:val="24"/>
          <w:szCs w:val="24"/>
        </w:rPr>
        <w:t>Ad oggi, quindi, il criterio informatore per la fattispecie</w:t>
      </w:r>
      <w:r>
        <w:rPr>
          <w:rFonts w:ascii="Arial" w:hAnsi="Arial" w:cs="Arial"/>
          <w:sz w:val="24"/>
          <w:szCs w:val="24"/>
        </w:rPr>
        <w:t xml:space="preserve"> in esame risulta il seguente: “</w:t>
      </w:r>
      <w:r>
        <w:rPr>
          <w:rFonts w:ascii="Arial" w:hAnsi="Arial" w:cs="Arial"/>
          <w:i/>
          <w:iCs/>
          <w:sz w:val="24"/>
          <w:szCs w:val="24"/>
        </w:rPr>
        <w:t xml:space="preserve">il canone è dovuto dal soggetto titolare dell’atto di concessione dell’occupazione del suolo pubblico e dai soggetti che occupano il suolo pubblico </w:t>
      </w:r>
      <w:r>
        <w:rPr>
          <w:rFonts w:ascii="Arial" w:hAnsi="Arial" w:cs="Arial"/>
          <w:i/>
          <w:iCs/>
          <w:sz w:val="24"/>
          <w:szCs w:val="24"/>
          <w:u w:val="single"/>
        </w:rPr>
        <w:t>anche in via mediata</w:t>
      </w:r>
      <w:r>
        <w:rPr>
          <w:rFonts w:ascii="Arial" w:hAnsi="Arial" w:cs="Arial"/>
          <w:i/>
          <w:iCs/>
          <w:sz w:val="24"/>
          <w:szCs w:val="24"/>
        </w:rPr>
        <w:t xml:space="preserve"> attraverso l’utilizzo materiale delle infrastrutture de</w:t>
      </w:r>
      <w:r>
        <w:rPr>
          <w:rFonts w:ascii="Arial" w:hAnsi="Arial" w:cs="Arial"/>
          <w:i/>
          <w:iCs/>
          <w:sz w:val="24"/>
          <w:szCs w:val="24"/>
        </w:rPr>
        <w:t xml:space="preserve">l soggetto titolare della concessione </w:t>
      </w:r>
      <w:r>
        <w:rPr>
          <w:rFonts w:ascii="Arial" w:hAnsi="Arial" w:cs="Arial"/>
          <w:i/>
          <w:iCs/>
          <w:sz w:val="24"/>
          <w:szCs w:val="24"/>
          <w:u w:val="single"/>
        </w:rPr>
        <w:t>sulla base del numero delle rispettive utenze</w:t>
      </w:r>
      <w:r>
        <w:rPr>
          <w:rFonts w:ascii="Arial" w:hAnsi="Arial" w:cs="Arial"/>
          <w:i/>
          <w:iCs/>
          <w:sz w:val="24"/>
          <w:szCs w:val="24"/>
        </w:rPr>
        <w:t xml:space="preserve"> moltiplicate per la seguente tariffa forfettaria ...omissis...”.</w:t>
      </w:r>
    </w:p>
    <w:p w14:paraId="4AD22764" w14:textId="77777777" w:rsidR="00297929" w:rsidRPr="00286E13" w:rsidRDefault="0044088E" w:rsidP="00286E13">
      <w:pPr>
        <w:spacing w:line="360" w:lineRule="auto"/>
        <w:ind w:firstLine="708"/>
        <w:jc w:val="both"/>
        <w:rPr>
          <w:rFonts w:ascii="Arial" w:hAnsi="Arial" w:cs="Arial"/>
          <w:sz w:val="24"/>
          <w:szCs w:val="24"/>
        </w:rPr>
      </w:pPr>
      <w:r>
        <w:rPr>
          <w:rFonts w:ascii="Arial" w:hAnsi="Arial" w:cs="Arial"/>
          <w:sz w:val="24"/>
          <w:szCs w:val="24"/>
        </w:rPr>
        <w:t>Evidenti le conseguenze: oltre al formale concessionario Tim/Telecom S.p.A./FiberCop saranno tenuti al paga</w:t>
      </w:r>
      <w:r>
        <w:rPr>
          <w:rFonts w:ascii="Arial" w:hAnsi="Arial" w:cs="Arial"/>
          <w:sz w:val="24"/>
          <w:szCs w:val="24"/>
        </w:rPr>
        <w:t>mento del canone anche tutti gli altri operatori telefonici i quali, sebbene non intestatari di concessione amministrativa alcuna, di fatto, utilizzano le reti in virtù di accordi privati con la stessa Tim/Telecom S.p.A./FiberCop al fine di erogare il serv</w:t>
      </w:r>
      <w:r>
        <w:rPr>
          <w:rFonts w:ascii="Arial" w:hAnsi="Arial" w:cs="Arial"/>
          <w:sz w:val="24"/>
          <w:szCs w:val="24"/>
        </w:rPr>
        <w:t>izio al proprio Cliente finale, rappresentato dalle singole abitazioni private e/o aziende del territorio nazionale.</w:t>
      </w:r>
    </w:p>
    <w:p w14:paraId="7B3DFF24" w14:textId="77777777" w:rsidR="00297929" w:rsidRPr="00286E13" w:rsidRDefault="0044088E" w:rsidP="00286E13">
      <w:pPr>
        <w:spacing w:line="360" w:lineRule="auto"/>
        <w:ind w:firstLine="708"/>
        <w:jc w:val="both"/>
        <w:rPr>
          <w:rFonts w:ascii="Arial" w:hAnsi="Arial" w:cs="Arial"/>
          <w:sz w:val="24"/>
          <w:szCs w:val="24"/>
        </w:rPr>
      </w:pPr>
      <w:r>
        <w:rPr>
          <w:rFonts w:ascii="Arial" w:hAnsi="Arial" w:cs="Arial"/>
          <w:sz w:val="24"/>
          <w:szCs w:val="24"/>
        </w:rPr>
        <w:t xml:space="preserve">Si noti che il principio cristallizzato nella nuova formulazione ed interpretazione dell’art. 1 comma 831 è stato mutuato da una risalente </w:t>
      </w:r>
      <w:r>
        <w:rPr>
          <w:rFonts w:ascii="Arial" w:hAnsi="Arial" w:cs="Arial"/>
          <w:sz w:val="24"/>
          <w:szCs w:val="24"/>
        </w:rPr>
        <w:t xml:space="preserve">Circolare interpretativa del MEF </w:t>
      </w:r>
      <w:r>
        <w:rPr>
          <w:rFonts w:ascii="Arial" w:hAnsi="Arial" w:cs="Arial"/>
          <w:sz w:val="24"/>
          <w:szCs w:val="24"/>
        </w:rPr>
        <w:lastRenderedPageBreak/>
        <w:t xml:space="preserve">pubblicata nell’anno 2009 (Circolare n. 1/DF del 20.01.2009 – </w:t>
      </w:r>
      <w:r>
        <w:rPr>
          <w:rFonts w:ascii="Arial" w:hAnsi="Arial" w:cs="Arial"/>
          <w:b/>
          <w:bCs/>
          <w:sz w:val="24"/>
          <w:szCs w:val="24"/>
        </w:rPr>
        <w:t>doc. 10</w:t>
      </w:r>
      <w:r>
        <w:rPr>
          <w:rFonts w:ascii="Arial" w:hAnsi="Arial" w:cs="Arial"/>
          <w:sz w:val="24"/>
          <w:szCs w:val="24"/>
        </w:rPr>
        <w:t>) nella quale, per l’appunto, già veniva indicato il criterio per la corretta applicazione/imputazione del canone relativo all’utilizzo di suolo pubblico,</w:t>
      </w:r>
      <w:r>
        <w:rPr>
          <w:rFonts w:ascii="Arial" w:hAnsi="Arial" w:cs="Arial"/>
          <w:sz w:val="24"/>
          <w:szCs w:val="24"/>
        </w:rPr>
        <w:t xml:space="preserve"> in caso di plurimo e contemporaneo utilizzo delle condutture/infrastrutture, da parte dei vari operatori telefonici in conseguenza dell’avvenuta liberalizzazione del mercato delle telecomunicazioni.</w:t>
      </w:r>
    </w:p>
    <w:p w14:paraId="147203CA" w14:textId="77777777" w:rsidR="00297929" w:rsidRPr="00286E13" w:rsidRDefault="0044088E" w:rsidP="00286E13">
      <w:pPr>
        <w:spacing w:line="360" w:lineRule="auto"/>
        <w:ind w:firstLine="708"/>
        <w:jc w:val="both"/>
        <w:rPr>
          <w:rFonts w:ascii="Arial" w:hAnsi="Arial" w:cs="Arial"/>
          <w:sz w:val="24"/>
          <w:szCs w:val="24"/>
        </w:rPr>
      </w:pPr>
      <w:r>
        <w:rPr>
          <w:rFonts w:ascii="Arial" w:hAnsi="Arial" w:cs="Arial"/>
          <w:sz w:val="24"/>
          <w:szCs w:val="24"/>
        </w:rPr>
        <w:t>Da subito, comunque, pare doveroso evidenziare che la mu</w:t>
      </w:r>
      <w:r>
        <w:rPr>
          <w:rFonts w:ascii="Arial" w:hAnsi="Arial" w:cs="Arial"/>
          <w:sz w:val="24"/>
          <w:szCs w:val="24"/>
        </w:rPr>
        <w:t>ltipla e contestuale utilizzazione delle reti poste nel sottosuolo pubblico da parte di più operatori non ha di certo, come sostiene controparte, portato ad una duplicazione del prelievo a favore del Comune, anzi è proprio vero il contrario!</w:t>
      </w:r>
    </w:p>
    <w:p w14:paraId="75080BA9" w14:textId="77777777" w:rsidR="00297929" w:rsidRPr="00286E13" w:rsidRDefault="0044088E" w:rsidP="00286E13">
      <w:pPr>
        <w:spacing w:line="360" w:lineRule="auto"/>
        <w:ind w:firstLine="708"/>
        <w:jc w:val="both"/>
        <w:rPr>
          <w:rFonts w:ascii="Arial" w:hAnsi="Arial" w:cs="Arial"/>
          <w:sz w:val="24"/>
          <w:szCs w:val="24"/>
        </w:rPr>
      </w:pPr>
      <w:r>
        <w:rPr>
          <w:rFonts w:ascii="Arial" w:hAnsi="Arial" w:cs="Arial"/>
          <w:sz w:val="24"/>
          <w:szCs w:val="24"/>
        </w:rPr>
        <w:t>Risulta, infat</w:t>
      </w:r>
      <w:r>
        <w:rPr>
          <w:rFonts w:ascii="Arial" w:hAnsi="Arial" w:cs="Arial"/>
          <w:sz w:val="24"/>
          <w:szCs w:val="24"/>
        </w:rPr>
        <w:t>ti, che, alla luce della precedente normativa, il criterio applicativo della TOSAP o COSAP si realizzava in base al numero delle singole utenze attive, rilevate al 31 dicembre dell’anno precedente, moltiplicato per la relativa tariffa forfettaria che veniv</w:t>
      </w:r>
      <w:r>
        <w:rPr>
          <w:rFonts w:ascii="Arial" w:hAnsi="Arial" w:cs="Arial"/>
          <w:sz w:val="24"/>
          <w:szCs w:val="24"/>
        </w:rPr>
        <w:t>a stabilita dal Legislatore per ogni utenza.</w:t>
      </w:r>
    </w:p>
    <w:p w14:paraId="50B443D6" w14:textId="77777777" w:rsidR="00297929" w:rsidRPr="00286E13" w:rsidRDefault="0044088E" w:rsidP="00286E13">
      <w:pPr>
        <w:spacing w:line="360" w:lineRule="auto"/>
        <w:ind w:firstLine="708"/>
        <w:jc w:val="both"/>
        <w:rPr>
          <w:rFonts w:ascii="Arial" w:hAnsi="Arial" w:cs="Arial"/>
          <w:sz w:val="24"/>
          <w:szCs w:val="24"/>
        </w:rPr>
      </w:pPr>
      <w:r>
        <w:rPr>
          <w:rFonts w:ascii="Arial" w:hAnsi="Arial" w:cs="Arial"/>
          <w:sz w:val="24"/>
          <w:szCs w:val="24"/>
        </w:rPr>
        <w:t>Pertanto, fino a che vi era monopolio Tim/Telecom S.p.A. era la stessa Tim/Telecom S.p.A. a versare il canone per tutte le utenze attive nel territorio comunale; allorquando, invece, a seguito della liberalizzaz</w:t>
      </w:r>
      <w:r>
        <w:rPr>
          <w:rFonts w:ascii="Arial" w:hAnsi="Arial" w:cs="Arial"/>
          <w:sz w:val="24"/>
          <w:szCs w:val="24"/>
        </w:rPr>
        <w:t xml:space="preserve">ione del mercato delle telecomunicazioni con conseguente obbligatoria condivisione delle reti con gli altri operatori del settore (tra cui WIND TRE S.P.A.), </w:t>
      </w:r>
      <w:r>
        <w:rPr>
          <w:rFonts w:ascii="Arial" w:hAnsi="Arial" w:cs="Arial"/>
          <w:sz w:val="24"/>
          <w:szCs w:val="24"/>
          <w:u w:val="single"/>
        </w:rPr>
        <w:t>il numero delle utenze riconducibili all’ex monopolista si è evidentemente e drasticamente ridotto.</w:t>
      </w:r>
    </w:p>
    <w:p w14:paraId="2E9B42BC" w14:textId="77777777" w:rsidR="00297929" w:rsidRPr="00286E13" w:rsidRDefault="0044088E" w:rsidP="00286E13">
      <w:pPr>
        <w:spacing w:line="360" w:lineRule="auto"/>
        <w:ind w:firstLine="708"/>
        <w:jc w:val="both"/>
        <w:rPr>
          <w:rFonts w:ascii="Arial" w:hAnsi="Arial" w:cs="Arial"/>
          <w:sz w:val="24"/>
          <w:szCs w:val="24"/>
        </w:rPr>
      </w:pPr>
      <w:r>
        <w:rPr>
          <w:rFonts w:ascii="Arial" w:hAnsi="Arial" w:cs="Arial"/>
          <w:sz w:val="24"/>
          <w:szCs w:val="24"/>
        </w:rPr>
        <w:t>Ad oggi, infatti, dai dati AGCOM si rileva che le più importanti Compagnie operanti sul territorio nazionale detengono le seguenti quote di mercato: Tim/Telecom S.p.A. il 35,90% delle utenze del mercato nazionale, Vodafone S.p.A. + Fastweb incorporata 28,</w:t>
      </w:r>
      <w:r>
        <w:rPr>
          <w:rFonts w:ascii="Arial" w:hAnsi="Arial" w:cs="Arial"/>
          <w:sz w:val="24"/>
          <w:szCs w:val="24"/>
        </w:rPr>
        <w:t xml:space="preserve">4% e Wind S.p.A. il 14,40% circa (cfr. Osservatorio AGCOM – </w:t>
      </w:r>
      <w:r>
        <w:rPr>
          <w:rFonts w:ascii="Arial" w:hAnsi="Arial" w:cs="Arial"/>
          <w:b/>
          <w:bCs/>
          <w:sz w:val="24"/>
          <w:szCs w:val="24"/>
        </w:rPr>
        <w:t>doc. 11</w:t>
      </w:r>
      <w:r>
        <w:rPr>
          <w:rFonts w:ascii="Arial" w:hAnsi="Arial" w:cs="Arial"/>
          <w:sz w:val="24"/>
          <w:szCs w:val="24"/>
        </w:rPr>
        <w:t>); le Compagnie minori si spartiscono le residue quote.</w:t>
      </w:r>
    </w:p>
    <w:p w14:paraId="155BDF8C" w14:textId="77777777" w:rsidR="00297929" w:rsidRPr="00286E13" w:rsidRDefault="0044088E" w:rsidP="00286E13">
      <w:pPr>
        <w:spacing w:line="360" w:lineRule="auto"/>
        <w:ind w:firstLine="708"/>
        <w:jc w:val="both"/>
        <w:rPr>
          <w:rFonts w:ascii="Arial" w:hAnsi="Arial" w:cs="Arial"/>
          <w:sz w:val="24"/>
          <w:szCs w:val="24"/>
        </w:rPr>
      </w:pPr>
      <w:r>
        <w:rPr>
          <w:rFonts w:ascii="Arial" w:hAnsi="Arial" w:cs="Arial"/>
          <w:sz w:val="24"/>
          <w:szCs w:val="24"/>
        </w:rPr>
        <w:t>Tale equilibrio di mercato si riverbera, statisticamente, anche all’interno del Comune di Montefalco dove, conseguentemente e paralle</w:t>
      </w:r>
      <w:r>
        <w:rPr>
          <w:rFonts w:ascii="Arial" w:hAnsi="Arial" w:cs="Arial"/>
          <w:sz w:val="24"/>
          <w:szCs w:val="24"/>
        </w:rPr>
        <w:t xml:space="preserve">lamente, si è rilevato uno speculare decremento delle entrate comunali proprio per la progressiva diminuzione delle utenze riconducibili all’ex monopolista </w:t>
      </w:r>
      <w:r>
        <w:rPr>
          <w:rFonts w:ascii="Arial" w:hAnsi="Arial" w:cs="Arial"/>
          <w:b/>
          <w:bCs/>
          <w:sz w:val="24"/>
          <w:szCs w:val="24"/>
          <w:u w:val="single"/>
        </w:rPr>
        <w:t>Tim/Telecom S.p.A./FiberCop che versa, ora, solo la quota di sua esclusiva spettanza e non già l’int</w:t>
      </w:r>
      <w:r>
        <w:rPr>
          <w:rFonts w:ascii="Arial" w:hAnsi="Arial" w:cs="Arial"/>
          <w:b/>
          <w:bCs/>
          <w:sz w:val="24"/>
          <w:szCs w:val="24"/>
          <w:u w:val="single"/>
        </w:rPr>
        <w:t>ero del dovuto.</w:t>
      </w:r>
    </w:p>
    <w:p w14:paraId="009BA8A6" w14:textId="77777777" w:rsidR="00297929" w:rsidRPr="00286E13" w:rsidRDefault="0044088E" w:rsidP="00286E13">
      <w:pPr>
        <w:spacing w:line="360" w:lineRule="auto"/>
        <w:ind w:firstLine="708"/>
        <w:jc w:val="both"/>
        <w:rPr>
          <w:rFonts w:ascii="Arial" w:hAnsi="Arial" w:cs="Arial"/>
          <w:sz w:val="24"/>
          <w:szCs w:val="24"/>
        </w:rPr>
      </w:pPr>
      <w:r>
        <w:rPr>
          <w:rFonts w:ascii="Arial" w:hAnsi="Arial" w:cs="Arial"/>
          <w:sz w:val="24"/>
          <w:szCs w:val="24"/>
        </w:rPr>
        <w:t>Questa, dunque, la sintesi: con la prima versione del comma 831 sarebbe stato Tim/Telecom S.p.A. l’unico soggetto tenuto all’intero pagamento del canone unico, salvo il suo diritto di rivalsa nei confronti degli altri operatori che usufruiv</w:t>
      </w:r>
      <w:r>
        <w:rPr>
          <w:rFonts w:ascii="Arial" w:hAnsi="Arial" w:cs="Arial"/>
          <w:sz w:val="24"/>
          <w:szCs w:val="24"/>
        </w:rPr>
        <w:t xml:space="preserve">ano delle sue infrastrutture; ed invece, </w:t>
      </w:r>
      <w:r>
        <w:rPr>
          <w:rFonts w:ascii="Arial" w:hAnsi="Arial" w:cs="Arial"/>
          <w:sz w:val="24"/>
          <w:szCs w:val="24"/>
          <w:u w:val="single"/>
        </w:rPr>
        <w:t>con la modifica apportata dal Legislatore in sede di Legge di bilancio 2021</w:t>
      </w:r>
      <w:r>
        <w:rPr>
          <w:rFonts w:ascii="Arial" w:hAnsi="Arial" w:cs="Arial"/>
          <w:sz w:val="24"/>
          <w:szCs w:val="24"/>
        </w:rPr>
        <w:t xml:space="preserve"> </w:t>
      </w:r>
      <w:r>
        <w:rPr>
          <w:rFonts w:ascii="Arial" w:hAnsi="Arial" w:cs="Arial"/>
          <w:sz w:val="24"/>
          <w:szCs w:val="24"/>
          <w:u w:val="single"/>
        </w:rPr>
        <w:t xml:space="preserve">è stato disposto che anche gli altri operatori che usufruiscono dei canali di trasmissione dati, di proprietà Tim/Telecom S.p.A./FiberCop, </w:t>
      </w:r>
      <w:r>
        <w:rPr>
          <w:rFonts w:ascii="Arial" w:hAnsi="Arial" w:cs="Arial"/>
          <w:sz w:val="24"/>
          <w:szCs w:val="24"/>
          <w:u w:val="single"/>
        </w:rPr>
        <w:t xml:space="preserve">debbano versare il relativo </w:t>
      </w:r>
      <w:r>
        <w:rPr>
          <w:rFonts w:ascii="Arial" w:hAnsi="Arial" w:cs="Arial"/>
          <w:sz w:val="24"/>
          <w:szCs w:val="24"/>
          <w:u w:val="single"/>
        </w:rPr>
        <w:lastRenderedPageBreak/>
        <w:t>canone</w:t>
      </w:r>
      <w:r>
        <w:rPr>
          <w:rFonts w:ascii="Arial" w:hAnsi="Arial" w:cs="Arial"/>
          <w:sz w:val="24"/>
          <w:szCs w:val="24"/>
        </w:rPr>
        <w:t xml:space="preserve"> (rapportato sempre al numero di utenze a loro riconducibili) considerandoli, quindi, </w:t>
      </w:r>
      <w:r>
        <w:rPr>
          <w:rFonts w:ascii="Arial" w:hAnsi="Arial" w:cs="Arial"/>
          <w:sz w:val="24"/>
          <w:szCs w:val="24"/>
          <w:u w:val="single"/>
        </w:rPr>
        <w:t>soggetti passivi in via mediata</w:t>
      </w:r>
      <w:r>
        <w:rPr>
          <w:rFonts w:ascii="Arial" w:hAnsi="Arial" w:cs="Arial"/>
          <w:sz w:val="24"/>
          <w:szCs w:val="24"/>
        </w:rPr>
        <w:t xml:space="preserve"> del tributo.</w:t>
      </w:r>
    </w:p>
    <w:p w14:paraId="6EA190EA" w14:textId="77777777" w:rsidR="00297929" w:rsidRPr="00286E13" w:rsidRDefault="0044088E" w:rsidP="00286E13">
      <w:pPr>
        <w:spacing w:line="360" w:lineRule="auto"/>
        <w:ind w:firstLine="708"/>
        <w:jc w:val="both"/>
        <w:rPr>
          <w:rFonts w:ascii="Arial" w:hAnsi="Arial" w:cs="Arial"/>
          <w:sz w:val="24"/>
          <w:szCs w:val="24"/>
        </w:rPr>
      </w:pPr>
      <w:r>
        <w:rPr>
          <w:rFonts w:ascii="Arial" w:hAnsi="Arial" w:cs="Arial"/>
          <w:sz w:val="24"/>
          <w:szCs w:val="24"/>
        </w:rPr>
        <w:t>Da qui l’incontestabile individuazione, da parte del Comune di Montefalco, in WIND TRE S.P.</w:t>
      </w:r>
      <w:r>
        <w:rPr>
          <w:rFonts w:ascii="Arial" w:hAnsi="Arial" w:cs="Arial"/>
          <w:sz w:val="24"/>
          <w:szCs w:val="24"/>
        </w:rPr>
        <w:t>A. di uno dei soggetti passivamente tenuti al versamento del canone per cui è processo.</w:t>
      </w:r>
    </w:p>
    <w:p w14:paraId="47414C15" w14:textId="77777777" w:rsidR="00297929" w:rsidRPr="00286E13" w:rsidRDefault="0044088E" w:rsidP="00286E13">
      <w:pPr>
        <w:spacing w:line="360" w:lineRule="auto"/>
        <w:ind w:firstLine="708"/>
        <w:jc w:val="both"/>
        <w:rPr>
          <w:rFonts w:ascii="Arial" w:hAnsi="Arial" w:cs="Arial"/>
          <w:sz w:val="24"/>
          <w:szCs w:val="24"/>
        </w:rPr>
      </w:pPr>
      <w:r>
        <w:rPr>
          <w:rFonts w:ascii="Arial" w:hAnsi="Arial" w:cs="Arial"/>
          <w:sz w:val="24"/>
          <w:szCs w:val="24"/>
        </w:rPr>
        <w:t xml:space="preserve">Invero, la norma richiamata da WIND TRE S.P.A., secondo la quale la casistica della condivisione delle reti, come sopra esposta, ricadrebbe nell’ambito applicativo </w:t>
      </w:r>
      <w:r>
        <w:rPr>
          <w:rFonts w:ascii="Arial" w:hAnsi="Arial" w:cs="Arial"/>
          <w:sz w:val="24"/>
          <w:szCs w:val="24"/>
        </w:rPr>
        <w:t xml:space="preserve">dell’interpretazione autentica del comma 831, successivamente introdotta dal Legislatore, riguarda altra e diversa fattispecie, </w:t>
      </w:r>
      <w:r>
        <w:rPr>
          <w:rFonts w:ascii="Arial" w:hAnsi="Arial" w:cs="Arial"/>
          <w:sz w:val="24"/>
          <w:szCs w:val="24"/>
          <w:u w:val="single"/>
        </w:rPr>
        <w:t>ben distinta da quella oggi portata all’attenzione del Giudice.</w:t>
      </w:r>
    </w:p>
    <w:p w14:paraId="2F109639" w14:textId="77777777" w:rsidR="00297929" w:rsidRPr="00286E13" w:rsidRDefault="0044088E" w:rsidP="00286E13">
      <w:pPr>
        <w:spacing w:line="360" w:lineRule="auto"/>
        <w:ind w:firstLine="708"/>
        <w:jc w:val="both"/>
        <w:rPr>
          <w:rFonts w:ascii="Arial" w:hAnsi="Arial" w:cs="Arial"/>
          <w:sz w:val="24"/>
          <w:szCs w:val="24"/>
        </w:rPr>
      </w:pPr>
      <w:r>
        <w:rPr>
          <w:rFonts w:ascii="Arial" w:hAnsi="Arial" w:cs="Arial"/>
          <w:sz w:val="24"/>
          <w:szCs w:val="24"/>
        </w:rPr>
        <w:t>Essa, infatti, è applicabile esclusivamente al caso in cui vi si</w:t>
      </w:r>
      <w:r>
        <w:rPr>
          <w:rFonts w:ascii="Arial" w:hAnsi="Arial" w:cs="Arial"/>
          <w:sz w:val="24"/>
          <w:szCs w:val="24"/>
        </w:rPr>
        <w:t xml:space="preserve">a una </w:t>
      </w:r>
      <w:r>
        <w:rPr>
          <w:rFonts w:ascii="Arial" w:hAnsi="Arial" w:cs="Arial"/>
          <w:sz w:val="24"/>
          <w:szCs w:val="24"/>
          <w:u w:val="single"/>
        </w:rPr>
        <w:t>netta separazione tra il soggetto proprietario delle infrastrutture ed il soggetto titolare del contratto di somministrazione del bene distribuito</w:t>
      </w:r>
      <w:r>
        <w:rPr>
          <w:rFonts w:ascii="Arial" w:hAnsi="Arial" w:cs="Arial"/>
          <w:sz w:val="24"/>
          <w:szCs w:val="24"/>
        </w:rPr>
        <w:t xml:space="preserve"> attraverso le medesime infrastrutture.</w:t>
      </w:r>
    </w:p>
    <w:p w14:paraId="2A5FE552" w14:textId="77777777" w:rsidR="00297929" w:rsidRPr="00286E13" w:rsidRDefault="0044088E" w:rsidP="00286E13">
      <w:pPr>
        <w:spacing w:line="360" w:lineRule="auto"/>
        <w:ind w:firstLine="708"/>
        <w:jc w:val="both"/>
        <w:rPr>
          <w:rFonts w:ascii="Arial" w:hAnsi="Arial" w:cs="Arial"/>
          <w:sz w:val="24"/>
          <w:szCs w:val="24"/>
        </w:rPr>
      </w:pPr>
      <w:r>
        <w:rPr>
          <w:rFonts w:ascii="Arial" w:hAnsi="Arial" w:cs="Arial"/>
          <w:sz w:val="24"/>
          <w:szCs w:val="24"/>
        </w:rPr>
        <w:t>Per meglio rappresentare come la disciplina novellata, dietro la</w:t>
      </w:r>
      <w:r>
        <w:rPr>
          <w:rFonts w:ascii="Arial" w:hAnsi="Arial" w:cs="Arial"/>
          <w:sz w:val="24"/>
          <w:szCs w:val="24"/>
        </w:rPr>
        <w:t xml:space="preserve"> quale WIND TRE S.P.A. vorrebbe trincerarsi, sia applicabile a diversa casistica, richiamiamo la normativa di cui all’art. 21 del D.Lgs. 23 maggio 2000 n. 164 concernente le disposizioni di attuazione della direttiva n. 98/30/CE inerente la </w:t>
      </w:r>
      <w:r>
        <w:rPr>
          <w:rFonts w:ascii="Arial" w:hAnsi="Arial" w:cs="Arial"/>
          <w:sz w:val="24"/>
          <w:szCs w:val="24"/>
          <w:u w:val="single"/>
        </w:rPr>
        <w:t>distribuzione d</w:t>
      </w:r>
      <w:r>
        <w:rPr>
          <w:rFonts w:ascii="Arial" w:hAnsi="Arial" w:cs="Arial"/>
          <w:sz w:val="24"/>
          <w:szCs w:val="24"/>
          <w:u w:val="single"/>
        </w:rPr>
        <w:t>el gas</w:t>
      </w:r>
      <w:r>
        <w:rPr>
          <w:rFonts w:ascii="Arial" w:hAnsi="Arial" w:cs="Arial"/>
          <w:sz w:val="24"/>
          <w:szCs w:val="24"/>
        </w:rPr>
        <w:t xml:space="preserve"> naturale e la normativa di cui all’art. 1 del D.Lgs. 18 giugno 2007 n. 73 convertita in legge n. 125 del 3 agosto 2007, con la quale sono state disposte misure urgenti per l’attuazione di disposizioni comunitarie in materia di </w:t>
      </w:r>
      <w:r>
        <w:rPr>
          <w:rFonts w:ascii="Arial" w:hAnsi="Arial" w:cs="Arial"/>
          <w:sz w:val="24"/>
          <w:szCs w:val="24"/>
          <w:u w:val="single"/>
        </w:rPr>
        <w:t>liberalizzazione dei m</w:t>
      </w:r>
      <w:r>
        <w:rPr>
          <w:rFonts w:ascii="Arial" w:hAnsi="Arial" w:cs="Arial"/>
          <w:sz w:val="24"/>
          <w:szCs w:val="24"/>
          <w:u w:val="single"/>
        </w:rPr>
        <w:t>ercati dell’energia</w:t>
      </w:r>
      <w:r>
        <w:rPr>
          <w:rFonts w:ascii="Arial" w:hAnsi="Arial" w:cs="Arial"/>
          <w:sz w:val="24"/>
          <w:szCs w:val="24"/>
        </w:rPr>
        <w:t>”.</w:t>
      </w:r>
    </w:p>
    <w:p w14:paraId="3BED41BF" w14:textId="77777777" w:rsidR="00297929" w:rsidRPr="00286E13" w:rsidRDefault="0044088E" w:rsidP="00286E13">
      <w:pPr>
        <w:spacing w:line="360" w:lineRule="auto"/>
        <w:ind w:firstLine="708"/>
        <w:jc w:val="both"/>
        <w:rPr>
          <w:rFonts w:ascii="Arial" w:hAnsi="Arial" w:cs="Arial"/>
          <w:sz w:val="24"/>
          <w:szCs w:val="24"/>
        </w:rPr>
      </w:pPr>
      <w:r>
        <w:rPr>
          <w:rFonts w:ascii="Arial" w:hAnsi="Arial" w:cs="Arial"/>
          <w:sz w:val="24"/>
          <w:szCs w:val="24"/>
        </w:rPr>
        <w:t xml:space="preserve">In tali tipi di distribuzione si assiste ad una </w:t>
      </w:r>
      <w:r>
        <w:rPr>
          <w:rFonts w:ascii="Arial" w:hAnsi="Arial" w:cs="Arial"/>
          <w:sz w:val="24"/>
          <w:szCs w:val="24"/>
          <w:u w:val="single"/>
        </w:rPr>
        <w:t>netta separazione tra l’attività di distribuzione e quella di vendita</w:t>
      </w:r>
      <w:r>
        <w:rPr>
          <w:rFonts w:ascii="Arial" w:hAnsi="Arial" w:cs="Arial"/>
          <w:sz w:val="24"/>
          <w:szCs w:val="24"/>
        </w:rPr>
        <w:t xml:space="preserve"> che si concreta nel fatto che il </w:t>
      </w:r>
      <w:r>
        <w:rPr>
          <w:rFonts w:ascii="Arial" w:hAnsi="Arial" w:cs="Arial"/>
          <w:sz w:val="24"/>
          <w:szCs w:val="24"/>
          <w:u w:val="single"/>
        </w:rPr>
        <w:t>gas</w:t>
      </w:r>
      <w:r>
        <w:rPr>
          <w:rFonts w:ascii="Arial" w:hAnsi="Arial" w:cs="Arial"/>
          <w:sz w:val="24"/>
          <w:szCs w:val="24"/>
        </w:rPr>
        <w:t xml:space="preserve"> o l’</w:t>
      </w:r>
      <w:r>
        <w:rPr>
          <w:rFonts w:ascii="Arial" w:hAnsi="Arial" w:cs="Arial"/>
          <w:sz w:val="24"/>
          <w:szCs w:val="24"/>
          <w:u w:val="single"/>
        </w:rPr>
        <w:t>energia elettrica vengono distribuiti in rete da una determinata società</w:t>
      </w:r>
      <w:r>
        <w:rPr>
          <w:rFonts w:ascii="Arial" w:hAnsi="Arial" w:cs="Arial"/>
          <w:sz w:val="24"/>
          <w:szCs w:val="24"/>
        </w:rPr>
        <w:t xml:space="preserve"> (p</w:t>
      </w:r>
      <w:r>
        <w:rPr>
          <w:rFonts w:ascii="Arial" w:hAnsi="Arial" w:cs="Arial"/>
          <w:sz w:val="24"/>
          <w:szCs w:val="24"/>
        </w:rPr>
        <w:t xml:space="preserve">er esempio Enel Distribuzione S.p.A.) ed </w:t>
      </w:r>
      <w:r>
        <w:rPr>
          <w:rFonts w:ascii="Arial" w:hAnsi="Arial" w:cs="Arial"/>
          <w:sz w:val="24"/>
          <w:szCs w:val="24"/>
          <w:u w:val="single"/>
        </w:rPr>
        <w:t>una volta che sono “transitate” nell’infrastruttura concessionata di proprietà esclusiva di un soggetto, vengono commercializzate da altre società</w:t>
      </w:r>
      <w:r>
        <w:rPr>
          <w:rFonts w:ascii="Arial" w:hAnsi="Arial" w:cs="Arial"/>
          <w:sz w:val="24"/>
          <w:szCs w:val="24"/>
        </w:rPr>
        <w:t xml:space="preserve"> per poi raggiungere l’utente finale.</w:t>
      </w:r>
    </w:p>
    <w:p w14:paraId="180016C1" w14:textId="77777777" w:rsidR="00297929" w:rsidRPr="00286E13" w:rsidRDefault="0044088E" w:rsidP="00286E13">
      <w:pPr>
        <w:spacing w:line="360" w:lineRule="auto"/>
        <w:ind w:firstLine="708"/>
        <w:jc w:val="both"/>
        <w:rPr>
          <w:rFonts w:ascii="Arial" w:hAnsi="Arial" w:cs="Arial"/>
          <w:sz w:val="24"/>
          <w:szCs w:val="24"/>
        </w:rPr>
      </w:pPr>
      <w:r>
        <w:rPr>
          <w:rFonts w:ascii="Arial" w:hAnsi="Arial" w:cs="Arial"/>
          <w:sz w:val="24"/>
          <w:szCs w:val="24"/>
        </w:rPr>
        <w:t>Ma ciò non accade nel caso e ne</w:t>
      </w:r>
      <w:r>
        <w:rPr>
          <w:rFonts w:ascii="Arial" w:hAnsi="Arial" w:cs="Arial"/>
          <w:sz w:val="24"/>
          <w:szCs w:val="24"/>
        </w:rPr>
        <w:t xml:space="preserve">l </w:t>
      </w:r>
      <w:r>
        <w:rPr>
          <w:rFonts w:ascii="Arial" w:hAnsi="Arial" w:cs="Arial"/>
          <w:sz w:val="24"/>
          <w:szCs w:val="24"/>
          <w:u w:val="single"/>
        </w:rPr>
        <w:t>settore delle telecomunicazioni</w:t>
      </w:r>
      <w:r>
        <w:rPr>
          <w:rFonts w:ascii="Arial" w:hAnsi="Arial" w:cs="Arial"/>
          <w:sz w:val="24"/>
          <w:szCs w:val="24"/>
        </w:rPr>
        <w:t xml:space="preserve"> laddove il </w:t>
      </w:r>
      <w:r>
        <w:rPr>
          <w:rFonts w:ascii="Arial" w:hAnsi="Arial" w:cs="Arial"/>
          <w:sz w:val="24"/>
          <w:szCs w:val="24"/>
          <w:u w:val="single"/>
        </w:rPr>
        <w:t>Legislatore</w:t>
      </w:r>
      <w:r>
        <w:rPr>
          <w:rFonts w:ascii="Arial" w:hAnsi="Arial" w:cs="Arial"/>
          <w:sz w:val="24"/>
          <w:szCs w:val="24"/>
        </w:rPr>
        <w:t xml:space="preserve"> </w:t>
      </w:r>
      <w:r>
        <w:rPr>
          <w:rFonts w:ascii="Arial" w:hAnsi="Arial" w:cs="Arial"/>
          <w:b/>
          <w:bCs/>
          <w:sz w:val="24"/>
          <w:szCs w:val="24"/>
          <w:u w:val="single"/>
        </w:rPr>
        <w:t>non impone una separazione</w:t>
      </w:r>
      <w:r>
        <w:rPr>
          <w:rFonts w:ascii="Arial" w:hAnsi="Arial" w:cs="Arial"/>
          <w:sz w:val="24"/>
          <w:szCs w:val="24"/>
        </w:rPr>
        <w:t xml:space="preserve"> tra soggetto fornitore e soggetto che poi effettivamente vende il prodotto (come nel richiamato caso di gas od energia elettrica), </w:t>
      </w:r>
      <w:r>
        <w:rPr>
          <w:rFonts w:ascii="Arial" w:hAnsi="Arial" w:cs="Arial"/>
          <w:sz w:val="24"/>
          <w:szCs w:val="24"/>
          <w:u w:val="single"/>
        </w:rPr>
        <w:t>ma anzi impone e normativamente incentiva</w:t>
      </w:r>
      <w:r>
        <w:rPr>
          <w:rFonts w:ascii="Arial" w:hAnsi="Arial" w:cs="Arial"/>
          <w:sz w:val="24"/>
          <w:szCs w:val="24"/>
          <w:u w:val="single"/>
        </w:rPr>
        <w:t xml:space="preserve"> la condivisione delle reti/infrastrutture</w:t>
      </w:r>
      <w:r>
        <w:rPr>
          <w:rFonts w:ascii="Arial" w:hAnsi="Arial" w:cs="Arial"/>
          <w:sz w:val="24"/>
          <w:szCs w:val="24"/>
        </w:rPr>
        <w:t xml:space="preserve"> e ciò anche in attuazione di precise direttive comunitarie.</w:t>
      </w:r>
    </w:p>
    <w:p w14:paraId="56759FD6" w14:textId="77777777" w:rsidR="00297929" w:rsidRPr="00286E13" w:rsidRDefault="0044088E" w:rsidP="00286E13">
      <w:pPr>
        <w:spacing w:line="360" w:lineRule="auto"/>
        <w:ind w:firstLine="708"/>
        <w:jc w:val="both"/>
        <w:rPr>
          <w:rFonts w:ascii="Arial" w:hAnsi="Arial" w:cs="Arial"/>
          <w:sz w:val="24"/>
          <w:szCs w:val="24"/>
        </w:rPr>
      </w:pPr>
      <w:r>
        <w:rPr>
          <w:rFonts w:ascii="Arial" w:hAnsi="Arial" w:cs="Arial"/>
          <w:sz w:val="24"/>
          <w:szCs w:val="24"/>
          <w:u w:val="single"/>
        </w:rPr>
        <w:t>Questa è la ragione</w:t>
      </w:r>
      <w:r>
        <w:rPr>
          <w:rFonts w:ascii="Arial" w:hAnsi="Arial" w:cs="Arial"/>
          <w:sz w:val="24"/>
          <w:szCs w:val="24"/>
        </w:rPr>
        <w:t xml:space="preserve"> per la quale il Legislatore ha appositamente previsto, per questa sola ipotesi di condivisione delle infrastrutture, il concetto appl</w:t>
      </w:r>
      <w:r>
        <w:rPr>
          <w:rFonts w:ascii="Arial" w:hAnsi="Arial" w:cs="Arial"/>
          <w:sz w:val="24"/>
          <w:szCs w:val="24"/>
        </w:rPr>
        <w:t xml:space="preserve">icativo di </w:t>
      </w:r>
      <w:r>
        <w:rPr>
          <w:rFonts w:ascii="Arial" w:hAnsi="Arial" w:cs="Arial"/>
          <w:sz w:val="24"/>
          <w:szCs w:val="24"/>
          <w:u w:val="single"/>
        </w:rPr>
        <w:t>soggettività passiva mediata</w:t>
      </w:r>
      <w:r>
        <w:rPr>
          <w:rFonts w:ascii="Arial" w:hAnsi="Arial" w:cs="Arial"/>
          <w:sz w:val="24"/>
          <w:szCs w:val="24"/>
        </w:rPr>
        <w:t>.</w:t>
      </w:r>
    </w:p>
    <w:p w14:paraId="7981B7A5" w14:textId="77777777" w:rsidR="00297929" w:rsidRPr="00286E13" w:rsidRDefault="0044088E" w:rsidP="00286E13">
      <w:pPr>
        <w:spacing w:line="360" w:lineRule="auto"/>
        <w:ind w:firstLine="708"/>
        <w:jc w:val="both"/>
        <w:rPr>
          <w:rFonts w:ascii="Arial" w:hAnsi="Arial" w:cs="Arial"/>
          <w:sz w:val="24"/>
          <w:szCs w:val="24"/>
        </w:rPr>
      </w:pPr>
      <w:r>
        <w:rPr>
          <w:rFonts w:ascii="Arial" w:hAnsi="Arial" w:cs="Arial"/>
          <w:sz w:val="24"/>
          <w:szCs w:val="24"/>
        </w:rPr>
        <w:t xml:space="preserve">Con la conseguenza che la normativa di cui all’art. </w:t>
      </w:r>
      <w:r>
        <w:rPr>
          <w:rFonts w:ascii="Arial" w:hAnsi="Arial" w:cs="Arial"/>
          <w:sz w:val="24"/>
          <w:szCs w:val="24"/>
          <w:u w:val="single"/>
        </w:rPr>
        <w:t>5 comma 14 quinquies</w:t>
      </w:r>
      <w:r>
        <w:rPr>
          <w:rFonts w:ascii="Arial" w:hAnsi="Arial" w:cs="Arial"/>
          <w:sz w:val="24"/>
          <w:szCs w:val="24"/>
        </w:rPr>
        <w:t xml:space="preserve"> </w:t>
      </w:r>
      <w:r>
        <w:rPr>
          <w:rFonts w:ascii="Arial" w:hAnsi="Arial" w:cs="Arial"/>
          <w:sz w:val="24"/>
          <w:szCs w:val="24"/>
          <w:u w:val="single"/>
        </w:rPr>
        <w:t>del D.L. 146/2021,</w:t>
      </w:r>
      <w:r>
        <w:rPr>
          <w:rFonts w:ascii="Arial" w:hAnsi="Arial" w:cs="Arial"/>
          <w:sz w:val="24"/>
          <w:szCs w:val="24"/>
        </w:rPr>
        <w:t xml:space="preserve"> richiamata da WIND TRE S.P.A., </w:t>
      </w:r>
      <w:r>
        <w:rPr>
          <w:rFonts w:ascii="Arial" w:hAnsi="Arial" w:cs="Arial"/>
          <w:sz w:val="24"/>
          <w:szCs w:val="24"/>
          <w:u w:val="single"/>
        </w:rPr>
        <w:t xml:space="preserve">è applicabile e/o riferibile esclusivamente ai </w:t>
      </w:r>
      <w:r>
        <w:rPr>
          <w:rFonts w:ascii="Arial" w:hAnsi="Arial" w:cs="Arial"/>
          <w:sz w:val="24"/>
          <w:szCs w:val="24"/>
          <w:u w:val="single"/>
        </w:rPr>
        <w:lastRenderedPageBreak/>
        <w:t>casi in cui si deve attuare, per legge, una f</w:t>
      </w:r>
      <w:r>
        <w:rPr>
          <w:rFonts w:ascii="Arial" w:hAnsi="Arial" w:cs="Arial"/>
          <w:sz w:val="24"/>
          <w:szCs w:val="24"/>
          <w:u w:val="single"/>
        </w:rPr>
        <w:t>isica separazione tra il soggetto titolare dell’infrastruttura ed il soggetto titolare del contratto di vendita del bene che, poi, distribuirà al cliente finale</w:t>
      </w:r>
      <w:r>
        <w:rPr>
          <w:rFonts w:ascii="Arial" w:hAnsi="Arial" w:cs="Arial"/>
          <w:sz w:val="24"/>
          <w:szCs w:val="24"/>
        </w:rPr>
        <w:t>.</w:t>
      </w:r>
    </w:p>
    <w:p w14:paraId="006F2C28" w14:textId="77777777" w:rsidR="00297929" w:rsidRPr="00286E13" w:rsidRDefault="0044088E" w:rsidP="00286E13">
      <w:pPr>
        <w:spacing w:line="360" w:lineRule="auto"/>
        <w:ind w:firstLine="708"/>
        <w:jc w:val="both"/>
        <w:rPr>
          <w:rFonts w:ascii="Arial" w:hAnsi="Arial" w:cs="Arial"/>
          <w:sz w:val="24"/>
          <w:szCs w:val="24"/>
        </w:rPr>
      </w:pPr>
      <w:r>
        <w:rPr>
          <w:rFonts w:ascii="Arial" w:hAnsi="Arial" w:cs="Arial"/>
          <w:sz w:val="24"/>
          <w:szCs w:val="24"/>
        </w:rPr>
        <w:t>Inoltre, con la novella dell’anno 2021 il Legislatore nuovamente intervenendo nella disciplina</w:t>
      </w:r>
      <w:r>
        <w:rPr>
          <w:rFonts w:ascii="Arial" w:hAnsi="Arial" w:cs="Arial"/>
          <w:sz w:val="24"/>
          <w:szCs w:val="24"/>
        </w:rPr>
        <w:t xml:space="preserve"> di cui al comma 831 ha stabilito che: “</w:t>
      </w:r>
      <w:r>
        <w:rPr>
          <w:rFonts w:ascii="Arial" w:hAnsi="Arial" w:cs="Arial"/>
          <w:i/>
          <w:iCs/>
          <w:sz w:val="24"/>
          <w:szCs w:val="24"/>
        </w:rPr>
        <w:t xml:space="preserve">il comma 831 dell’articolo 1 della Legge 27 dicembre 2019 n. 160 si interpreta nel senso che: a) per le occupazioni permanenti di suolo pubblico effettuate nei settori </w:t>
      </w:r>
      <w:r>
        <w:rPr>
          <w:rFonts w:ascii="Arial" w:hAnsi="Arial" w:cs="Arial"/>
          <w:b/>
          <w:bCs/>
          <w:i/>
          <w:iCs/>
          <w:sz w:val="24"/>
          <w:szCs w:val="24"/>
          <w:u w:val="single"/>
        </w:rPr>
        <w:t>in cui è prevista una separazione</w:t>
      </w:r>
      <w:r>
        <w:rPr>
          <w:rFonts w:ascii="Arial" w:hAnsi="Arial" w:cs="Arial"/>
          <w:i/>
          <w:iCs/>
          <w:sz w:val="24"/>
          <w:szCs w:val="24"/>
        </w:rPr>
        <w:t>, in ragione di</w:t>
      </w:r>
      <w:r>
        <w:rPr>
          <w:rFonts w:ascii="Arial" w:hAnsi="Arial" w:cs="Arial"/>
          <w:i/>
          <w:iCs/>
          <w:sz w:val="24"/>
          <w:szCs w:val="24"/>
        </w:rPr>
        <w:t xml:space="preserve"> assetti normativi regolamentari o contrattuali </w:t>
      </w:r>
      <w:r>
        <w:rPr>
          <w:rFonts w:ascii="Arial" w:hAnsi="Arial" w:cs="Arial"/>
          <w:b/>
          <w:bCs/>
          <w:i/>
          <w:iCs/>
          <w:sz w:val="24"/>
          <w:szCs w:val="24"/>
          <w:u w:val="single"/>
        </w:rPr>
        <w:t xml:space="preserve">tra i soggetti titolari delle infrastrutture ed i soggetti titolari del contratto di vendita del bene distribuito alla </w:t>
      </w:r>
      <w:r>
        <w:rPr>
          <w:rFonts w:ascii="Arial" w:hAnsi="Arial" w:cs="Arial"/>
          <w:b/>
          <w:bCs/>
          <w:i/>
          <w:iCs/>
          <w:sz w:val="24"/>
          <w:szCs w:val="24"/>
        </w:rPr>
        <w:t>clientela finale</w:t>
      </w:r>
      <w:r>
        <w:rPr>
          <w:rFonts w:ascii="Arial" w:hAnsi="Arial" w:cs="Arial"/>
          <w:i/>
          <w:iCs/>
          <w:sz w:val="24"/>
          <w:szCs w:val="24"/>
        </w:rPr>
        <w:t xml:space="preserve">, </w:t>
      </w:r>
      <w:r>
        <w:rPr>
          <w:rFonts w:ascii="Arial" w:hAnsi="Arial" w:cs="Arial"/>
          <w:b/>
          <w:bCs/>
          <w:i/>
          <w:iCs/>
          <w:sz w:val="24"/>
          <w:szCs w:val="24"/>
          <w:u w:val="single"/>
        </w:rPr>
        <w:t>non configurandosi alcuna occupazione in via mediata</w:t>
      </w:r>
      <w:r>
        <w:rPr>
          <w:rFonts w:ascii="Arial" w:hAnsi="Arial" w:cs="Arial"/>
          <w:i/>
          <w:iCs/>
          <w:sz w:val="24"/>
          <w:szCs w:val="24"/>
        </w:rPr>
        <w:t xml:space="preserve"> ed alcun utilizzo </w:t>
      </w:r>
      <w:r>
        <w:rPr>
          <w:rFonts w:ascii="Arial" w:hAnsi="Arial" w:cs="Arial"/>
          <w:i/>
          <w:iCs/>
          <w:sz w:val="24"/>
          <w:szCs w:val="24"/>
        </w:rPr>
        <w:t xml:space="preserve">materiale delle infrastrutture da parte della società di vendita, </w:t>
      </w:r>
      <w:r>
        <w:rPr>
          <w:rFonts w:ascii="Arial" w:hAnsi="Arial" w:cs="Arial"/>
          <w:b/>
          <w:bCs/>
          <w:i/>
          <w:iCs/>
          <w:sz w:val="24"/>
          <w:szCs w:val="24"/>
          <w:u w:val="single"/>
        </w:rPr>
        <w:t>il canone è dovuto esclusivamente dal soggetto titolare</w:t>
      </w:r>
      <w:r>
        <w:rPr>
          <w:rFonts w:ascii="Arial" w:hAnsi="Arial" w:cs="Arial"/>
          <w:b/>
          <w:bCs/>
          <w:i/>
          <w:iCs/>
          <w:sz w:val="24"/>
          <w:szCs w:val="24"/>
        </w:rPr>
        <w:t xml:space="preserve"> </w:t>
      </w:r>
      <w:r>
        <w:rPr>
          <w:rFonts w:ascii="Arial" w:hAnsi="Arial" w:cs="Arial"/>
          <w:b/>
          <w:bCs/>
          <w:i/>
          <w:iCs/>
          <w:sz w:val="24"/>
          <w:szCs w:val="24"/>
          <w:u w:val="single"/>
        </w:rPr>
        <w:t>dell’atto concessione</w:t>
      </w:r>
      <w:r>
        <w:rPr>
          <w:rFonts w:ascii="Arial" w:hAnsi="Arial" w:cs="Arial"/>
          <w:i/>
          <w:iCs/>
          <w:sz w:val="24"/>
          <w:szCs w:val="24"/>
        </w:rPr>
        <w:t xml:space="preserve"> delle infrastrutture, in base alle utenze delle predette società di vendita”.</w:t>
      </w:r>
    </w:p>
    <w:p w14:paraId="43FDADB5" w14:textId="77777777" w:rsidR="00297929" w:rsidRPr="00286E13" w:rsidRDefault="0044088E" w:rsidP="00286E13">
      <w:pPr>
        <w:spacing w:line="360" w:lineRule="auto"/>
        <w:ind w:firstLine="708"/>
        <w:jc w:val="both"/>
        <w:rPr>
          <w:rFonts w:ascii="Arial" w:hAnsi="Arial" w:cs="Arial"/>
          <w:sz w:val="24"/>
          <w:szCs w:val="24"/>
        </w:rPr>
      </w:pPr>
      <w:r>
        <w:rPr>
          <w:rFonts w:ascii="Arial" w:hAnsi="Arial" w:cs="Arial"/>
          <w:b/>
          <w:bCs/>
          <w:sz w:val="24"/>
          <w:szCs w:val="24"/>
        </w:rPr>
        <w:t>MA</w:t>
      </w:r>
      <w:r>
        <w:rPr>
          <w:rFonts w:ascii="Arial" w:hAnsi="Arial" w:cs="Arial"/>
          <w:sz w:val="24"/>
          <w:szCs w:val="24"/>
        </w:rPr>
        <w:t xml:space="preserve"> questa è norma, come anticipato, </w:t>
      </w:r>
      <w:r>
        <w:rPr>
          <w:rFonts w:ascii="Arial" w:hAnsi="Arial" w:cs="Arial"/>
          <w:sz w:val="24"/>
          <w:szCs w:val="24"/>
          <w:u w:val="single"/>
        </w:rPr>
        <w:t>valevole solo per i mercati di</w:t>
      </w:r>
      <w:r>
        <w:rPr>
          <w:rFonts w:ascii="Arial" w:hAnsi="Arial" w:cs="Arial"/>
          <w:sz w:val="24"/>
          <w:szCs w:val="24"/>
        </w:rPr>
        <w:t xml:space="preserve"> vendita/commercializzazione del </w:t>
      </w:r>
      <w:r>
        <w:rPr>
          <w:rFonts w:ascii="Arial" w:hAnsi="Arial" w:cs="Arial"/>
          <w:sz w:val="24"/>
          <w:szCs w:val="24"/>
          <w:u w:val="single"/>
        </w:rPr>
        <w:t xml:space="preserve">gas e dell’energia elettrica e </w:t>
      </w:r>
      <w:r>
        <w:rPr>
          <w:rFonts w:ascii="Arial" w:hAnsi="Arial" w:cs="Arial"/>
          <w:b/>
          <w:bCs/>
          <w:sz w:val="24"/>
          <w:szCs w:val="24"/>
          <w:u w:val="single"/>
        </w:rPr>
        <w:t>non già per il settore della telefonia</w:t>
      </w:r>
      <w:r>
        <w:rPr>
          <w:rFonts w:ascii="Arial" w:hAnsi="Arial" w:cs="Arial"/>
          <w:sz w:val="24"/>
          <w:szCs w:val="24"/>
        </w:rPr>
        <w:t xml:space="preserve"> e trasmissione dati </w:t>
      </w:r>
      <w:r>
        <w:rPr>
          <w:rFonts w:ascii="Arial" w:hAnsi="Arial" w:cs="Arial"/>
          <w:sz w:val="24"/>
          <w:szCs w:val="24"/>
          <w:u w:val="single"/>
        </w:rPr>
        <w:t>nel quale</w:t>
      </w:r>
      <w:r>
        <w:rPr>
          <w:rFonts w:ascii="Arial" w:hAnsi="Arial" w:cs="Arial"/>
          <w:sz w:val="24"/>
          <w:szCs w:val="24"/>
        </w:rPr>
        <w:t>, non solo per espressa volontà normativa nazionale ma anche</w:t>
      </w:r>
      <w:r>
        <w:rPr>
          <w:rFonts w:ascii="Arial" w:hAnsi="Arial" w:cs="Arial"/>
          <w:sz w:val="24"/>
          <w:szCs w:val="24"/>
        </w:rPr>
        <w:t xml:space="preserve"> per volontà comunitaria, </w:t>
      </w:r>
      <w:r>
        <w:rPr>
          <w:rFonts w:ascii="Arial" w:hAnsi="Arial" w:cs="Arial"/>
          <w:sz w:val="24"/>
          <w:szCs w:val="24"/>
          <w:u w:val="single"/>
        </w:rPr>
        <w:t>deve esistere</w:t>
      </w:r>
      <w:r>
        <w:rPr>
          <w:rFonts w:ascii="Arial" w:hAnsi="Arial" w:cs="Arial"/>
          <w:sz w:val="24"/>
          <w:szCs w:val="24"/>
        </w:rPr>
        <w:t xml:space="preserve">, come in effetti esiste, </w:t>
      </w:r>
      <w:r>
        <w:rPr>
          <w:rFonts w:ascii="Arial" w:hAnsi="Arial" w:cs="Arial"/>
          <w:b/>
          <w:bCs/>
          <w:sz w:val="24"/>
          <w:szCs w:val="24"/>
          <w:u w:val="single"/>
        </w:rPr>
        <w:t>condivisione</w:t>
      </w:r>
      <w:r>
        <w:rPr>
          <w:rFonts w:ascii="Arial" w:hAnsi="Arial" w:cs="Arial"/>
          <w:sz w:val="24"/>
          <w:szCs w:val="24"/>
        </w:rPr>
        <w:t xml:space="preserve"> delle infrastrutture e delle reti.</w:t>
      </w:r>
    </w:p>
    <w:p w14:paraId="75FDD4EA" w14:textId="77777777" w:rsidR="00297929" w:rsidRPr="00286E13" w:rsidRDefault="0044088E" w:rsidP="00286E13">
      <w:pPr>
        <w:spacing w:line="360" w:lineRule="auto"/>
        <w:ind w:firstLine="708"/>
        <w:jc w:val="both"/>
        <w:rPr>
          <w:rFonts w:ascii="Arial" w:hAnsi="Arial" w:cs="Arial"/>
          <w:sz w:val="24"/>
          <w:szCs w:val="24"/>
        </w:rPr>
      </w:pPr>
      <w:r>
        <w:rPr>
          <w:rFonts w:ascii="Arial" w:hAnsi="Arial" w:cs="Arial"/>
          <w:sz w:val="24"/>
          <w:szCs w:val="24"/>
        </w:rPr>
        <w:t>Del resto, è la stessa WIND TRE S.P.A. nella narrativa del proprio atto a descrivere le modalità operative di condivisione delle infrastrutture</w:t>
      </w:r>
      <w:r>
        <w:rPr>
          <w:rFonts w:ascii="Arial" w:hAnsi="Arial" w:cs="Arial"/>
          <w:sz w:val="24"/>
          <w:szCs w:val="24"/>
        </w:rPr>
        <w:t xml:space="preserve"> e le modalità tecniche di collegamento che prevedono che l’operatore sia presente (non sul suolo pubblico ma esclusivamente nella centrale TIM con apposito kit di consegna). Attraverso tale modalità l’operatore (WIND TRE S.P.A.) si avvale dell’intera trat</w:t>
      </w:r>
      <w:r>
        <w:rPr>
          <w:rFonts w:ascii="Arial" w:hAnsi="Arial" w:cs="Arial"/>
          <w:sz w:val="24"/>
          <w:szCs w:val="24"/>
        </w:rPr>
        <w:t xml:space="preserve">ta che va dalla centrale (sede OLT/PDI) alle abitazioni dei clienti, indipendentemente dall’architettura posta “a valle” della centrale (FTTC: Fiber to the Cabinet / FTTH: Fiber to the Home). Il traffico generato dai clienti viene consegnato all’operatore </w:t>
      </w:r>
      <w:r>
        <w:rPr>
          <w:rFonts w:ascii="Arial" w:hAnsi="Arial" w:cs="Arial"/>
          <w:sz w:val="24"/>
          <w:szCs w:val="24"/>
        </w:rPr>
        <w:t>a livello di centrale, tramite un kit (accesso) dedicato all’operatore che ne ha fatto richiesta.</w:t>
      </w:r>
    </w:p>
    <w:p w14:paraId="25DE0A59" w14:textId="77777777" w:rsidR="00297929" w:rsidRPr="00286E13" w:rsidRDefault="0044088E" w:rsidP="00286E13">
      <w:pPr>
        <w:spacing w:line="360" w:lineRule="auto"/>
        <w:ind w:firstLine="708"/>
        <w:jc w:val="both"/>
        <w:rPr>
          <w:rFonts w:ascii="Arial" w:hAnsi="Arial" w:cs="Arial"/>
          <w:sz w:val="24"/>
          <w:szCs w:val="24"/>
        </w:rPr>
      </w:pPr>
      <w:r>
        <w:rPr>
          <w:rFonts w:ascii="Arial" w:hAnsi="Arial" w:cs="Arial"/>
          <w:sz w:val="24"/>
          <w:szCs w:val="24"/>
        </w:rPr>
        <w:t>La natura stessa dell’infrastruttura vuole, quindi, una compresenza di più operatori che agiscono sulla/nella rete TIM/FiberCop S.p.A. che utilizza, anch’essa</w:t>
      </w:r>
      <w:r>
        <w:rPr>
          <w:rFonts w:ascii="Arial" w:hAnsi="Arial" w:cs="Arial"/>
          <w:sz w:val="24"/>
          <w:szCs w:val="24"/>
        </w:rPr>
        <w:t xml:space="preserve">, la rete insieme ai suoi competitors; </w:t>
      </w:r>
      <w:r>
        <w:rPr>
          <w:rFonts w:ascii="Arial" w:hAnsi="Arial" w:cs="Arial"/>
          <w:sz w:val="24"/>
          <w:szCs w:val="24"/>
          <w:u w:val="single"/>
        </w:rPr>
        <w:t>ciò differentemente da quanto accade nel caso delle società proprietarie della rete di distribuzione del gas o dell’energia elettrica che non possono, per legge, direttamente vendere il prodotto agli utenti finali,</w:t>
      </w:r>
      <w:r>
        <w:rPr>
          <w:rFonts w:ascii="Arial" w:hAnsi="Arial" w:cs="Arial"/>
          <w:sz w:val="24"/>
          <w:szCs w:val="24"/>
        </w:rPr>
        <w:t xml:space="preserve"> do</w:t>
      </w:r>
      <w:r>
        <w:rPr>
          <w:rFonts w:ascii="Arial" w:hAnsi="Arial" w:cs="Arial"/>
          <w:sz w:val="24"/>
          <w:szCs w:val="24"/>
        </w:rPr>
        <w:t>vendosi invece rivolgere ad altre società che effettuano (solo loro) la vendita, per commercializzare il prodotto veicolato nelle proprie infrastrutture (gas/energia elettrica).</w:t>
      </w:r>
    </w:p>
    <w:p w14:paraId="523FBD0A" w14:textId="77777777" w:rsidR="00297929" w:rsidRPr="00286E13" w:rsidRDefault="0044088E" w:rsidP="00286E13">
      <w:pPr>
        <w:spacing w:line="360" w:lineRule="auto"/>
        <w:ind w:firstLine="708"/>
        <w:jc w:val="both"/>
        <w:rPr>
          <w:rFonts w:ascii="Arial" w:hAnsi="Arial" w:cs="Arial"/>
          <w:sz w:val="24"/>
          <w:szCs w:val="24"/>
        </w:rPr>
      </w:pPr>
      <w:r>
        <w:rPr>
          <w:rFonts w:ascii="Arial" w:hAnsi="Arial" w:cs="Arial"/>
          <w:sz w:val="24"/>
          <w:szCs w:val="24"/>
        </w:rPr>
        <w:t xml:space="preserve">Di seguito uno schema riassuntivo sulla differenza di utilizzo della rete tra </w:t>
      </w:r>
      <w:r>
        <w:rPr>
          <w:rFonts w:ascii="Arial" w:hAnsi="Arial" w:cs="Arial"/>
          <w:sz w:val="24"/>
          <w:szCs w:val="24"/>
        </w:rPr>
        <w:t>le società di TLC e le società che commercializzano Gas ed Energia.</w:t>
      </w:r>
    </w:p>
    <w:p w14:paraId="72441820" w14:textId="77777777" w:rsidR="00297929" w:rsidRPr="00286E13" w:rsidRDefault="00297929" w:rsidP="00286E13">
      <w:pPr>
        <w:spacing w:line="360" w:lineRule="auto"/>
        <w:rPr>
          <w:rFonts w:ascii="Arial" w:hAnsi="Arial" w:cs="Arial"/>
          <w:sz w:val="24"/>
          <w:szCs w:val="24"/>
        </w:rPr>
      </w:pPr>
    </w:p>
    <w:tbl>
      <w:tblPr>
        <w:tblW w:w="98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3"/>
        <w:gridCol w:w="3617"/>
        <w:gridCol w:w="3678"/>
      </w:tblGrid>
      <w:tr w:rsidR="00297929" w:rsidRPr="00286E13" w14:paraId="75D25D5A" w14:textId="77777777">
        <w:tc>
          <w:tcPr>
            <w:tcW w:w="9888" w:type="dxa"/>
            <w:gridSpan w:val="3"/>
            <w:tcBorders>
              <w:top w:val="single" w:sz="8" w:space="0" w:color="1F4E79"/>
              <w:left w:val="single" w:sz="8" w:space="0" w:color="1F4E79"/>
              <w:bottom w:val="single" w:sz="8" w:space="0" w:color="1F4E79"/>
              <w:right w:val="single" w:sz="8" w:space="0" w:color="1F4E79"/>
            </w:tcBorders>
            <w:shd w:val="clear" w:color="auto" w:fill="1F4E79"/>
            <w:vAlign w:val="center"/>
          </w:tcPr>
          <w:p w14:paraId="395E6841" w14:textId="77777777" w:rsidR="00297929" w:rsidRPr="00286E13" w:rsidRDefault="0044088E" w:rsidP="00286E13">
            <w:pPr>
              <w:spacing w:line="360" w:lineRule="auto"/>
              <w:jc w:val="center"/>
              <w:rPr>
                <w:rFonts w:ascii="Arial" w:hAnsi="Arial" w:cs="Arial"/>
                <w:sz w:val="24"/>
                <w:szCs w:val="24"/>
              </w:rPr>
            </w:pPr>
            <w:r>
              <w:rPr>
                <w:rFonts w:ascii="Arial" w:hAnsi="Arial" w:cs="Arial"/>
                <w:b/>
                <w:bCs/>
                <w:color w:val="FFFFFF"/>
                <w:sz w:val="24"/>
                <w:szCs w:val="24"/>
              </w:rPr>
              <w:t>SERVIZI DI RETE — Schema comparativo</w:t>
            </w:r>
          </w:p>
        </w:tc>
      </w:tr>
      <w:tr w:rsidR="00297929" w:rsidRPr="00286E13" w14:paraId="44645A12" w14:textId="77777777">
        <w:tc>
          <w:tcPr>
            <w:tcW w:w="2593"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22543A70" w14:textId="77777777" w:rsidR="00297929" w:rsidRPr="00286E13" w:rsidRDefault="0044088E" w:rsidP="00286E13">
            <w:pPr>
              <w:spacing w:line="360" w:lineRule="auto"/>
              <w:jc w:val="center"/>
              <w:rPr>
                <w:rFonts w:ascii="Arial" w:hAnsi="Arial" w:cs="Arial"/>
                <w:sz w:val="24"/>
                <w:szCs w:val="24"/>
              </w:rPr>
            </w:pPr>
            <w:r>
              <w:rPr>
                <w:rFonts w:ascii="Arial" w:hAnsi="Arial" w:cs="Arial"/>
                <w:b/>
                <w:bCs/>
                <w:color w:val="FFFFFF"/>
                <w:sz w:val="24"/>
                <w:szCs w:val="24"/>
              </w:rPr>
              <w:t>CRITERIO</w:t>
            </w:r>
          </w:p>
        </w:tc>
        <w:tc>
          <w:tcPr>
            <w:tcW w:w="3617" w:type="dxa"/>
            <w:tcBorders>
              <w:top w:val="single" w:sz="4" w:space="0" w:color="BFBFBF"/>
              <w:bottom w:val="single" w:sz="4" w:space="0" w:color="BFBFBF"/>
              <w:right w:val="single" w:sz="4" w:space="0" w:color="BFBFBF"/>
            </w:tcBorders>
            <w:shd w:val="clear" w:color="auto" w:fill="2E75B6"/>
            <w:vAlign w:val="center"/>
          </w:tcPr>
          <w:p w14:paraId="14528E04" w14:textId="77777777" w:rsidR="00297929" w:rsidRPr="00286E13" w:rsidRDefault="0044088E" w:rsidP="00286E13">
            <w:pPr>
              <w:spacing w:line="360" w:lineRule="auto"/>
              <w:jc w:val="center"/>
              <w:rPr>
                <w:rFonts w:ascii="Arial" w:hAnsi="Arial" w:cs="Arial"/>
                <w:sz w:val="24"/>
                <w:szCs w:val="24"/>
              </w:rPr>
            </w:pPr>
            <w:r>
              <w:rPr>
                <w:rFonts w:ascii="Arial" w:hAnsi="Arial" w:cs="Arial"/>
                <w:b/>
                <w:bCs/>
                <w:color w:val="FFFFFF"/>
                <w:sz w:val="24"/>
                <w:szCs w:val="24"/>
              </w:rPr>
              <w:t>Società Telefoniche Uso mediato delle reti</w:t>
            </w:r>
          </w:p>
        </w:tc>
        <w:tc>
          <w:tcPr>
            <w:tcW w:w="3678" w:type="dxa"/>
            <w:tcBorders>
              <w:top w:val="single" w:sz="4" w:space="0" w:color="BFBFBF"/>
              <w:bottom w:val="single" w:sz="4" w:space="0" w:color="BFBFBF"/>
              <w:right w:val="single" w:sz="4" w:space="0" w:color="BFBFBF"/>
            </w:tcBorders>
            <w:shd w:val="clear" w:color="auto" w:fill="C55A11"/>
            <w:vAlign w:val="center"/>
          </w:tcPr>
          <w:p w14:paraId="3E1EF330" w14:textId="77777777" w:rsidR="00297929" w:rsidRPr="00286E13" w:rsidRDefault="0044088E" w:rsidP="00286E13">
            <w:pPr>
              <w:spacing w:line="360" w:lineRule="auto"/>
              <w:jc w:val="center"/>
              <w:rPr>
                <w:rFonts w:ascii="Arial" w:hAnsi="Arial" w:cs="Arial"/>
                <w:sz w:val="24"/>
                <w:szCs w:val="24"/>
              </w:rPr>
            </w:pPr>
            <w:r>
              <w:rPr>
                <w:rFonts w:ascii="Arial" w:hAnsi="Arial" w:cs="Arial"/>
                <w:b/>
                <w:bCs/>
                <w:color w:val="FFFFFF"/>
                <w:sz w:val="24"/>
                <w:szCs w:val="24"/>
              </w:rPr>
              <w:t>Società di vendita gas/energia Nessun uso delle reti</w:t>
            </w:r>
          </w:p>
        </w:tc>
      </w:tr>
      <w:tr w:rsidR="00297929" w:rsidRPr="00286E13" w14:paraId="190D8A0A" w14:textId="77777777">
        <w:tc>
          <w:tcPr>
            <w:tcW w:w="2593" w:type="dxa"/>
            <w:tcBorders>
              <w:left w:val="single" w:sz="4" w:space="0" w:color="BFBFBF"/>
              <w:bottom w:val="single" w:sz="4" w:space="0" w:color="BFBFBF"/>
              <w:right w:val="single" w:sz="4" w:space="0" w:color="BFBFBF"/>
            </w:tcBorders>
            <w:shd w:val="clear" w:color="auto" w:fill="DEEAF1"/>
            <w:vAlign w:val="center"/>
          </w:tcPr>
          <w:p w14:paraId="58E03204" w14:textId="77777777" w:rsidR="00297929" w:rsidRPr="00286E13" w:rsidRDefault="0044088E" w:rsidP="00286E13">
            <w:pPr>
              <w:spacing w:line="360" w:lineRule="auto"/>
              <w:rPr>
                <w:rFonts w:ascii="Arial" w:hAnsi="Arial" w:cs="Arial"/>
                <w:sz w:val="24"/>
                <w:szCs w:val="24"/>
              </w:rPr>
            </w:pPr>
            <w:r>
              <w:rPr>
                <w:rFonts w:ascii="Arial" w:hAnsi="Arial" w:cs="Arial"/>
                <w:b/>
                <w:bCs/>
                <w:color w:val="1F4E79"/>
                <w:sz w:val="24"/>
                <w:szCs w:val="24"/>
              </w:rPr>
              <w:t>Cosa passa nella rete</w:t>
            </w:r>
          </w:p>
        </w:tc>
        <w:tc>
          <w:tcPr>
            <w:tcW w:w="3617" w:type="dxa"/>
            <w:tcBorders>
              <w:bottom w:val="single" w:sz="4" w:space="0" w:color="BFBFBF"/>
              <w:right w:val="single" w:sz="4" w:space="0" w:color="BFBFBF"/>
            </w:tcBorders>
            <w:shd w:val="clear" w:color="auto" w:fill="D6E4F0"/>
            <w:vAlign w:val="center"/>
          </w:tcPr>
          <w:p w14:paraId="2BEB9640" w14:textId="77777777" w:rsidR="00297929" w:rsidRPr="00286E13" w:rsidRDefault="0044088E" w:rsidP="00286E13">
            <w:pPr>
              <w:spacing w:line="360" w:lineRule="auto"/>
              <w:jc w:val="center"/>
              <w:rPr>
                <w:rFonts w:ascii="Arial" w:hAnsi="Arial" w:cs="Arial"/>
                <w:sz w:val="24"/>
                <w:szCs w:val="24"/>
              </w:rPr>
            </w:pPr>
            <w:r>
              <w:rPr>
                <w:rFonts w:ascii="Arial" w:hAnsi="Arial" w:cs="Arial"/>
                <w:color w:val="1F4E79"/>
                <w:sz w:val="24"/>
                <w:szCs w:val="24"/>
              </w:rPr>
              <w:t xml:space="preserve">Oltre al segnale del </w:t>
            </w:r>
            <w:r>
              <w:rPr>
                <w:rFonts w:ascii="Arial" w:hAnsi="Arial" w:cs="Arial"/>
                <w:color w:val="1F4E79"/>
                <w:sz w:val="24"/>
                <w:szCs w:val="24"/>
              </w:rPr>
              <w:t>concessionario, anche il segnale delle altre società operatori (Wind, Vodafone, FASTWEB ecc.)</w:t>
            </w:r>
          </w:p>
        </w:tc>
        <w:tc>
          <w:tcPr>
            <w:tcW w:w="3678" w:type="dxa"/>
            <w:tcBorders>
              <w:bottom w:val="single" w:sz="4" w:space="0" w:color="BFBFBF"/>
              <w:right w:val="single" w:sz="4" w:space="0" w:color="BFBFBF"/>
            </w:tcBorders>
            <w:shd w:val="clear" w:color="auto" w:fill="FCE4D6"/>
            <w:vAlign w:val="center"/>
          </w:tcPr>
          <w:p w14:paraId="07EFE414" w14:textId="77777777" w:rsidR="00297929" w:rsidRPr="00286E13" w:rsidRDefault="0044088E" w:rsidP="00286E13">
            <w:pPr>
              <w:spacing w:line="360" w:lineRule="auto"/>
              <w:jc w:val="center"/>
              <w:rPr>
                <w:rFonts w:ascii="Arial" w:hAnsi="Arial" w:cs="Arial"/>
                <w:sz w:val="24"/>
                <w:szCs w:val="24"/>
              </w:rPr>
            </w:pPr>
            <w:r>
              <w:rPr>
                <w:rFonts w:ascii="Arial" w:hAnsi="Arial" w:cs="Arial"/>
                <w:color w:val="843D03"/>
                <w:sz w:val="24"/>
                <w:szCs w:val="24"/>
              </w:rPr>
              <w:t>Gas riconducibile solo al gestore della rete</w:t>
            </w:r>
          </w:p>
        </w:tc>
      </w:tr>
      <w:tr w:rsidR="00297929" w:rsidRPr="00286E13" w14:paraId="2FFAC60D" w14:textId="77777777">
        <w:tc>
          <w:tcPr>
            <w:tcW w:w="2593" w:type="dxa"/>
            <w:tcBorders>
              <w:left w:val="single" w:sz="4" w:space="0" w:color="BFBFBF"/>
              <w:bottom w:val="single" w:sz="4" w:space="0" w:color="BFBFBF"/>
              <w:right w:val="single" w:sz="4" w:space="0" w:color="BFBFBF"/>
            </w:tcBorders>
            <w:shd w:val="clear" w:color="auto" w:fill="DEEAF1"/>
            <w:vAlign w:val="center"/>
          </w:tcPr>
          <w:p w14:paraId="37757301" w14:textId="77777777" w:rsidR="00297929" w:rsidRPr="00286E13" w:rsidRDefault="0044088E" w:rsidP="00286E13">
            <w:pPr>
              <w:spacing w:line="360" w:lineRule="auto"/>
              <w:rPr>
                <w:rFonts w:ascii="Arial" w:hAnsi="Arial" w:cs="Arial"/>
                <w:sz w:val="24"/>
                <w:szCs w:val="24"/>
              </w:rPr>
            </w:pPr>
            <w:r>
              <w:rPr>
                <w:rFonts w:ascii="Arial" w:hAnsi="Arial" w:cs="Arial"/>
                <w:b/>
                <w:bCs/>
                <w:color w:val="1F4E79"/>
                <w:sz w:val="24"/>
                <w:szCs w:val="24"/>
              </w:rPr>
              <w:t>Titolarità del contenuto trasportato</w:t>
            </w:r>
          </w:p>
        </w:tc>
        <w:tc>
          <w:tcPr>
            <w:tcW w:w="3617" w:type="dxa"/>
            <w:tcBorders>
              <w:bottom w:val="single" w:sz="4" w:space="0" w:color="BFBFBF"/>
              <w:right w:val="single" w:sz="4" w:space="0" w:color="BFBFBF"/>
            </w:tcBorders>
            <w:shd w:val="clear" w:color="auto" w:fill="D6E4F0"/>
            <w:vAlign w:val="center"/>
          </w:tcPr>
          <w:p w14:paraId="2FC9D13E" w14:textId="77777777" w:rsidR="00297929" w:rsidRPr="00286E13" w:rsidRDefault="0044088E" w:rsidP="00286E13">
            <w:pPr>
              <w:spacing w:line="360" w:lineRule="auto"/>
              <w:jc w:val="center"/>
              <w:rPr>
                <w:rFonts w:ascii="Arial" w:hAnsi="Arial" w:cs="Arial"/>
                <w:sz w:val="24"/>
                <w:szCs w:val="24"/>
              </w:rPr>
            </w:pPr>
            <w:r>
              <w:rPr>
                <w:rFonts w:ascii="Arial" w:hAnsi="Arial" w:cs="Arial"/>
                <w:color w:val="1F4E79"/>
                <w:sz w:val="24"/>
                <w:szCs w:val="24"/>
              </w:rPr>
              <w:t>Società Telefoniche (Wind, Vodafone, FASTWEB ecc.)</w:t>
            </w:r>
          </w:p>
        </w:tc>
        <w:tc>
          <w:tcPr>
            <w:tcW w:w="3678" w:type="dxa"/>
            <w:tcBorders>
              <w:bottom w:val="single" w:sz="4" w:space="0" w:color="BFBFBF"/>
              <w:right w:val="single" w:sz="4" w:space="0" w:color="BFBFBF"/>
            </w:tcBorders>
            <w:shd w:val="clear" w:color="auto" w:fill="FCE4D6"/>
            <w:vAlign w:val="center"/>
          </w:tcPr>
          <w:p w14:paraId="6C6D163B" w14:textId="77777777" w:rsidR="00297929" w:rsidRPr="00286E13" w:rsidRDefault="0044088E" w:rsidP="00286E13">
            <w:pPr>
              <w:spacing w:line="360" w:lineRule="auto"/>
              <w:jc w:val="center"/>
              <w:rPr>
                <w:rFonts w:ascii="Arial" w:hAnsi="Arial" w:cs="Arial"/>
                <w:sz w:val="24"/>
                <w:szCs w:val="24"/>
              </w:rPr>
            </w:pPr>
            <w:r>
              <w:rPr>
                <w:rFonts w:ascii="Arial" w:hAnsi="Arial" w:cs="Arial"/>
                <w:color w:val="843D03"/>
                <w:sz w:val="24"/>
                <w:szCs w:val="24"/>
              </w:rPr>
              <w:t>Gestore della rete</w:t>
            </w:r>
          </w:p>
        </w:tc>
      </w:tr>
      <w:tr w:rsidR="00297929" w:rsidRPr="00286E13" w14:paraId="268EA13A" w14:textId="77777777">
        <w:tc>
          <w:tcPr>
            <w:tcW w:w="2593" w:type="dxa"/>
            <w:tcBorders>
              <w:left w:val="single" w:sz="4" w:space="0" w:color="BFBFBF"/>
              <w:bottom w:val="single" w:sz="4" w:space="0" w:color="BFBFBF"/>
              <w:right w:val="single" w:sz="4" w:space="0" w:color="BFBFBF"/>
            </w:tcBorders>
            <w:shd w:val="clear" w:color="auto" w:fill="DEEAF1"/>
            <w:vAlign w:val="center"/>
          </w:tcPr>
          <w:p w14:paraId="428CBADD" w14:textId="77777777" w:rsidR="00297929" w:rsidRPr="00286E13" w:rsidRDefault="0044088E" w:rsidP="00286E13">
            <w:pPr>
              <w:spacing w:line="360" w:lineRule="auto"/>
              <w:rPr>
                <w:rFonts w:ascii="Arial" w:hAnsi="Arial" w:cs="Arial"/>
                <w:sz w:val="24"/>
                <w:szCs w:val="24"/>
              </w:rPr>
            </w:pPr>
            <w:r>
              <w:rPr>
                <w:rFonts w:ascii="Arial" w:hAnsi="Arial" w:cs="Arial"/>
                <w:b/>
                <w:bCs/>
                <w:color w:val="1F4E79"/>
                <w:sz w:val="24"/>
                <w:szCs w:val="24"/>
              </w:rPr>
              <w:t xml:space="preserve">Ruolo </w:t>
            </w:r>
            <w:r>
              <w:rPr>
                <w:rFonts w:ascii="Arial" w:hAnsi="Arial" w:cs="Arial"/>
                <w:b/>
                <w:bCs/>
                <w:color w:val="1F4E79"/>
                <w:sz w:val="24"/>
                <w:szCs w:val="24"/>
              </w:rPr>
              <w:t>del soggetto</w:t>
            </w:r>
          </w:p>
        </w:tc>
        <w:tc>
          <w:tcPr>
            <w:tcW w:w="3617" w:type="dxa"/>
            <w:tcBorders>
              <w:bottom w:val="single" w:sz="4" w:space="0" w:color="BFBFBF"/>
              <w:right w:val="single" w:sz="4" w:space="0" w:color="BFBFBF"/>
            </w:tcBorders>
            <w:shd w:val="clear" w:color="auto" w:fill="D6E4F0"/>
            <w:vAlign w:val="center"/>
          </w:tcPr>
          <w:p w14:paraId="2BE97778" w14:textId="77777777" w:rsidR="00297929" w:rsidRPr="00286E13" w:rsidRDefault="0044088E" w:rsidP="00286E13">
            <w:pPr>
              <w:spacing w:line="360" w:lineRule="auto"/>
              <w:jc w:val="center"/>
              <w:rPr>
                <w:rFonts w:ascii="Arial" w:hAnsi="Arial" w:cs="Arial"/>
                <w:sz w:val="24"/>
                <w:szCs w:val="24"/>
              </w:rPr>
            </w:pPr>
            <w:r>
              <w:rPr>
                <w:rFonts w:ascii="Arial" w:hAnsi="Arial" w:cs="Arial"/>
                <w:color w:val="1F4E79"/>
                <w:sz w:val="24"/>
                <w:szCs w:val="24"/>
              </w:rPr>
              <w:t>Fornitore del servizio e utilizzatore dell’infrastruttura</w:t>
            </w:r>
          </w:p>
        </w:tc>
        <w:tc>
          <w:tcPr>
            <w:tcW w:w="3678" w:type="dxa"/>
            <w:tcBorders>
              <w:bottom w:val="single" w:sz="4" w:space="0" w:color="BFBFBF"/>
              <w:right w:val="single" w:sz="4" w:space="0" w:color="BFBFBF"/>
            </w:tcBorders>
            <w:shd w:val="clear" w:color="auto" w:fill="FCE4D6"/>
            <w:vAlign w:val="center"/>
          </w:tcPr>
          <w:p w14:paraId="3698FF80" w14:textId="77777777" w:rsidR="00297929" w:rsidRPr="00286E13" w:rsidRDefault="0044088E" w:rsidP="00286E13">
            <w:pPr>
              <w:spacing w:line="360" w:lineRule="auto"/>
              <w:jc w:val="center"/>
              <w:rPr>
                <w:rFonts w:ascii="Arial" w:hAnsi="Arial" w:cs="Arial"/>
                <w:sz w:val="24"/>
                <w:szCs w:val="24"/>
              </w:rPr>
            </w:pPr>
            <w:r>
              <w:rPr>
                <w:rFonts w:ascii="Arial" w:hAnsi="Arial" w:cs="Arial"/>
                <w:color w:val="843D03"/>
                <w:sz w:val="24"/>
                <w:szCs w:val="24"/>
              </w:rPr>
              <w:t>Venditore commerciale del prodotto</w:t>
            </w:r>
          </w:p>
        </w:tc>
      </w:tr>
      <w:tr w:rsidR="00297929" w:rsidRPr="00286E13" w14:paraId="414C9EE9" w14:textId="77777777">
        <w:tc>
          <w:tcPr>
            <w:tcW w:w="2593" w:type="dxa"/>
            <w:tcBorders>
              <w:left w:val="single" w:sz="4" w:space="0" w:color="BFBFBF"/>
              <w:bottom w:val="single" w:sz="4" w:space="0" w:color="BFBFBF"/>
              <w:right w:val="single" w:sz="4" w:space="0" w:color="BFBFBF"/>
            </w:tcBorders>
            <w:shd w:val="clear" w:color="auto" w:fill="DEEAF1"/>
            <w:vAlign w:val="center"/>
          </w:tcPr>
          <w:p w14:paraId="48CBEBBC" w14:textId="77777777" w:rsidR="00297929" w:rsidRPr="00286E13" w:rsidRDefault="0044088E" w:rsidP="00286E13">
            <w:pPr>
              <w:spacing w:line="360" w:lineRule="auto"/>
              <w:rPr>
                <w:rFonts w:ascii="Arial" w:hAnsi="Arial" w:cs="Arial"/>
                <w:sz w:val="24"/>
                <w:szCs w:val="24"/>
              </w:rPr>
            </w:pPr>
            <w:r>
              <w:rPr>
                <w:rFonts w:ascii="Arial" w:hAnsi="Arial" w:cs="Arial"/>
                <w:b/>
                <w:bCs/>
                <w:color w:val="1F4E79"/>
                <w:sz w:val="24"/>
                <w:szCs w:val="24"/>
              </w:rPr>
              <w:t>Rapporto con il suolo pubblico</w:t>
            </w:r>
          </w:p>
        </w:tc>
        <w:tc>
          <w:tcPr>
            <w:tcW w:w="3617" w:type="dxa"/>
            <w:tcBorders>
              <w:bottom w:val="single" w:sz="4" w:space="0" w:color="BFBFBF"/>
              <w:right w:val="single" w:sz="4" w:space="0" w:color="BFBFBF"/>
            </w:tcBorders>
            <w:shd w:val="clear" w:color="auto" w:fill="D6E4F0"/>
            <w:vAlign w:val="center"/>
          </w:tcPr>
          <w:p w14:paraId="521F77F1" w14:textId="77777777" w:rsidR="00297929" w:rsidRPr="00286E13" w:rsidRDefault="0044088E" w:rsidP="00286E13">
            <w:pPr>
              <w:spacing w:line="360" w:lineRule="auto"/>
              <w:jc w:val="center"/>
              <w:rPr>
                <w:rFonts w:ascii="Arial" w:hAnsi="Arial" w:cs="Arial"/>
                <w:sz w:val="24"/>
                <w:szCs w:val="24"/>
              </w:rPr>
            </w:pPr>
            <w:r>
              <w:rPr>
                <w:rFonts w:ascii="Arial" w:hAnsi="Arial" w:cs="Arial"/>
                <w:color w:val="1F4E79"/>
                <w:sz w:val="24"/>
                <w:szCs w:val="24"/>
              </w:rPr>
              <w:t>Concreto, funzionale, strumentale</w:t>
            </w:r>
          </w:p>
        </w:tc>
        <w:tc>
          <w:tcPr>
            <w:tcW w:w="3678" w:type="dxa"/>
            <w:tcBorders>
              <w:bottom w:val="single" w:sz="4" w:space="0" w:color="BFBFBF"/>
              <w:right w:val="single" w:sz="4" w:space="0" w:color="BFBFBF"/>
            </w:tcBorders>
            <w:shd w:val="clear" w:color="auto" w:fill="FCE4D6"/>
            <w:vAlign w:val="center"/>
          </w:tcPr>
          <w:p w14:paraId="1C4940EE" w14:textId="77777777" w:rsidR="00297929" w:rsidRPr="00286E13" w:rsidRDefault="0044088E" w:rsidP="00286E13">
            <w:pPr>
              <w:spacing w:line="360" w:lineRule="auto"/>
              <w:jc w:val="center"/>
              <w:rPr>
                <w:rFonts w:ascii="Arial" w:hAnsi="Arial" w:cs="Arial"/>
                <w:sz w:val="24"/>
                <w:szCs w:val="24"/>
              </w:rPr>
            </w:pPr>
            <w:r>
              <w:rPr>
                <w:rFonts w:ascii="Arial" w:hAnsi="Arial" w:cs="Arial"/>
                <w:color w:val="843D03"/>
                <w:sz w:val="24"/>
                <w:szCs w:val="24"/>
              </w:rPr>
              <w:t>Assente</w:t>
            </w:r>
          </w:p>
        </w:tc>
      </w:tr>
      <w:tr w:rsidR="00297929" w:rsidRPr="00286E13" w14:paraId="4F97BF6E" w14:textId="77777777">
        <w:tc>
          <w:tcPr>
            <w:tcW w:w="2593" w:type="dxa"/>
            <w:tcBorders>
              <w:left w:val="single" w:sz="4" w:space="0" w:color="BFBFBF"/>
              <w:bottom w:val="single" w:sz="4" w:space="0" w:color="BFBFBF"/>
              <w:right w:val="single" w:sz="4" w:space="0" w:color="BFBFBF"/>
            </w:tcBorders>
            <w:shd w:val="clear" w:color="auto" w:fill="DEEAF1"/>
            <w:vAlign w:val="center"/>
          </w:tcPr>
          <w:p w14:paraId="3379302E" w14:textId="77777777" w:rsidR="00297929" w:rsidRPr="00286E13" w:rsidRDefault="0044088E" w:rsidP="00286E13">
            <w:pPr>
              <w:spacing w:line="360" w:lineRule="auto"/>
              <w:rPr>
                <w:rFonts w:ascii="Arial" w:hAnsi="Arial" w:cs="Arial"/>
                <w:sz w:val="24"/>
                <w:szCs w:val="24"/>
              </w:rPr>
            </w:pPr>
            <w:r>
              <w:rPr>
                <w:rFonts w:ascii="Arial" w:hAnsi="Arial" w:cs="Arial"/>
                <w:b/>
                <w:bCs/>
                <w:color w:val="1F4E79"/>
                <w:sz w:val="24"/>
                <w:szCs w:val="24"/>
              </w:rPr>
              <w:t>Tipo di attività</w:t>
            </w:r>
          </w:p>
        </w:tc>
        <w:tc>
          <w:tcPr>
            <w:tcW w:w="3617" w:type="dxa"/>
            <w:tcBorders>
              <w:bottom w:val="single" w:sz="4" w:space="0" w:color="BFBFBF"/>
              <w:right w:val="single" w:sz="4" w:space="0" w:color="BFBFBF"/>
            </w:tcBorders>
            <w:shd w:val="clear" w:color="auto" w:fill="D6E4F0"/>
            <w:vAlign w:val="center"/>
          </w:tcPr>
          <w:p w14:paraId="4B3A1EE4" w14:textId="77777777" w:rsidR="00297929" w:rsidRPr="00286E13" w:rsidRDefault="0044088E" w:rsidP="00286E13">
            <w:pPr>
              <w:spacing w:line="360" w:lineRule="auto"/>
              <w:jc w:val="center"/>
              <w:rPr>
                <w:rFonts w:ascii="Arial" w:hAnsi="Arial" w:cs="Arial"/>
                <w:sz w:val="24"/>
                <w:szCs w:val="24"/>
              </w:rPr>
            </w:pPr>
            <w:r>
              <w:rPr>
                <w:rFonts w:ascii="Arial" w:hAnsi="Arial" w:cs="Arial"/>
                <w:color w:val="1F4E79"/>
                <w:sz w:val="24"/>
                <w:szCs w:val="24"/>
              </w:rPr>
              <w:t>Tecnica + commerciale</w:t>
            </w:r>
          </w:p>
        </w:tc>
        <w:tc>
          <w:tcPr>
            <w:tcW w:w="3678" w:type="dxa"/>
            <w:tcBorders>
              <w:bottom w:val="single" w:sz="4" w:space="0" w:color="BFBFBF"/>
              <w:right w:val="single" w:sz="4" w:space="0" w:color="BFBFBF"/>
            </w:tcBorders>
            <w:shd w:val="clear" w:color="auto" w:fill="FCE4D6"/>
            <w:vAlign w:val="center"/>
          </w:tcPr>
          <w:p w14:paraId="0FBFE3ED" w14:textId="77777777" w:rsidR="00297929" w:rsidRPr="00286E13" w:rsidRDefault="0044088E" w:rsidP="00286E13">
            <w:pPr>
              <w:spacing w:line="360" w:lineRule="auto"/>
              <w:jc w:val="center"/>
              <w:rPr>
                <w:rFonts w:ascii="Arial" w:hAnsi="Arial" w:cs="Arial"/>
                <w:sz w:val="24"/>
                <w:szCs w:val="24"/>
              </w:rPr>
            </w:pPr>
            <w:r>
              <w:rPr>
                <w:rFonts w:ascii="Arial" w:hAnsi="Arial" w:cs="Arial"/>
                <w:color w:val="843D03"/>
                <w:sz w:val="24"/>
                <w:szCs w:val="24"/>
              </w:rPr>
              <w:t>Solo commerciale</w:t>
            </w:r>
          </w:p>
        </w:tc>
      </w:tr>
      <w:tr w:rsidR="00297929" w:rsidRPr="00286E13" w14:paraId="59A443BB" w14:textId="77777777">
        <w:tc>
          <w:tcPr>
            <w:tcW w:w="2593" w:type="dxa"/>
            <w:tcBorders>
              <w:left w:val="single" w:sz="4" w:space="0" w:color="BFBFBF"/>
              <w:bottom w:val="single" w:sz="4" w:space="0" w:color="BFBFBF"/>
              <w:right w:val="single" w:sz="4" w:space="0" w:color="BFBFBF"/>
            </w:tcBorders>
            <w:shd w:val="clear" w:color="auto" w:fill="DEEAF1"/>
            <w:vAlign w:val="center"/>
          </w:tcPr>
          <w:p w14:paraId="0B97D1FB" w14:textId="77777777" w:rsidR="00297929" w:rsidRPr="00286E13" w:rsidRDefault="0044088E" w:rsidP="00286E13">
            <w:pPr>
              <w:spacing w:line="360" w:lineRule="auto"/>
              <w:rPr>
                <w:rFonts w:ascii="Arial" w:hAnsi="Arial" w:cs="Arial"/>
                <w:sz w:val="24"/>
                <w:szCs w:val="24"/>
              </w:rPr>
            </w:pPr>
            <w:r>
              <w:rPr>
                <w:rFonts w:ascii="Arial" w:hAnsi="Arial" w:cs="Arial"/>
                <w:b/>
                <w:bCs/>
                <w:color w:val="1F4E79"/>
                <w:sz w:val="24"/>
                <w:szCs w:val="24"/>
              </w:rPr>
              <w:t>Uso della rete</w:t>
            </w:r>
          </w:p>
        </w:tc>
        <w:tc>
          <w:tcPr>
            <w:tcW w:w="3617" w:type="dxa"/>
            <w:tcBorders>
              <w:bottom w:val="single" w:sz="4" w:space="0" w:color="BFBFBF"/>
              <w:right w:val="single" w:sz="4" w:space="0" w:color="BFBFBF"/>
            </w:tcBorders>
            <w:shd w:val="clear" w:color="auto" w:fill="D6E4F0"/>
            <w:vAlign w:val="center"/>
          </w:tcPr>
          <w:p w14:paraId="5A5F36B1" w14:textId="77777777" w:rsidR="00297929" w:rsidRPr="00286E13" w:rsidRDefault="0044088E" w:rsidP="00286E13">
            <w:pPr>
              <w:spacing w:line="360" w:lineRule="auto"/>
              <w:jc w:val="center"/>
              <w:rPr>
                <w:rFonts w:ascii="Arial" w:hAnsi="Arial" w:cs="Arial"/>
                <w:sz w:val="24"/>
                <w:szCs w:val="24"/>
              </w:rPr>
            </w:pPr>
            <w:r>
              <w:rPr>
                <w:rFonts w:ascii="Arial" w:hAnsi="Arial" w:cs="Arial"/>
                <w:color w:val="1F4E79"/>
                <w:sz w:val="24"/>
                <w:szCs w:val="24"/>
              </w:rPr>
              <w:t>SÌ</w:t>
            </w:r>
          </w:p>
        </w:tc>
        <w:tc>
          <w:tcPr>
            <w:tcW w:w="3678" w:type="dxa"/>
            <w:tcBorders>
              <w:bottom w:val="single" w:sz="4" w:space="0" w:color="BFBFBF"/>
              <w:right w:val="single" w:sz="4" w:space="0" w:color="BFBFBF"/>
            </w:tcBorders>
            <w:shd w:val="clear" w:color="auto" w:fill="FCE4D6"/>
            <w:vAlign w:val="center"/>
          </w:tcPr>
          <w:p w14:paraId="11C1FA19" w14:textId="77777777" w:rsidR="00297929" w:rsidRPr="00286E13" w:rsidRDefault="0044088E" w:rsidP="00286E13">
            <w:pPr>
              <w:spacing w:line="360" w:lineRule="auto"/>
              <w:jc w:val="center"/>
              <w:rPr>
                <w:rFonts w:ascii="Arial" w:hAnsi="Arial" w:cs="Arial"/>
                <w:sz w:val="24"/>
                <w:szCs w:val="24"/>
              </w:rPr>
            </w:pPr>
            <w:r>
              <w:rPr>
                <w:rFonts w:ascii="Arial" w:hAnsi="Arial" w:cs="Arial"/>
                <w:color w:val="843D03"/>
                <w:sz w:val="24"/>
                <w:szCs w:val="24"/>
              </w:rPr>
              <w:t>NO</w:t>
            </w:r>
          </w:p>
        </w:tc>
      </w:tr>
      <w:tr w:rsidR="00297929" w:rsidRPr="00286E13" w14:paraId="5F7C8F62" w14:textId="77777777">
        <w:tc>
          <w:tcPr>
            <w:tcW w:w="2593" w:type="dxa"/>
            <w:tcBorders>
              <w:left w:val="single" w:sz="4" w:space="0" w:color="BFBFBF"/>
              <w:bottom w:val="single" w:sz="4" w:space="0" w:color="BFBFBF"/>
              <w:right w:val="single" w:sz="4" w:space="0" w:color="BFBFBF"/>
            </w:tcBorders>
            <w:shd w:val="clear" w:color="auto" w:fill="DEEAF1"/>
            <w:vAlign w:val="center"/>
          </w:tcPr>
          <w:p w14:paraId="0DC7550C" w14:textId="77777777" w:rsidR="00297929" w:rsidRPr="00286E13" w:rsidRDefault="0044088E" w:rsidP="00286E13">
            <w:pPr>
              <w:spacing w:line="360" w:lineRule="auto"/>
              <w:rPr>
                <w:rFonts w:ascii="Arial" w:hAnsi="Arial" w:cs="Arial"/>
                <w:sz w:val="24"/>
                <w:szCs w:val="24"/>
              </w:rPr>
            </w:pPr>
            <w:r>
              <w:rPr>
                <w:rFonts w:ascii="Arial" w:hAnsi="Arial" w:cs="Arial"/>
                <w:b/>
                <w:bCs/>
                <w:color w:val="1F4E79"/>
                <w:sz w:val="24"/>
                <w:szCs w:val="24"/>
              </w:rPr>
              <w:t>Qualificazione giuridica</w:t>
            </w:r>
          </w:p>
        </w:tc>
        <w:tc>
          <w:tcPr>
            <w:tcW w:w="3617" w:type="dxa"/>
            <w:tcBorders>
              <w:bottom w:val="single" w:sz="4" w:space="0" w:color="BFBFBF"/>
              <w:right w:val="single" w:sz="4" w:space="0" w:color="BFBFBF"/>
            </w:tcBorders>
            <w:shd w:val="clear" w:color="auto" w:fill="D6E4F0"/>
            <w:vAlign w:val="center"/>
          </w:tcPr>
          <w:p w14:paraId="3316675B" w14:textId="77777777" w:rsidR="00297929" w:rsidRPr="00286E13" w:rsidRDefault="0044088E" w:rsidP="00286E13">
            <w:pPr>
              <w:spacing w:line="360" w:lineRule="auto"/>
              <w:jc w:val="center"/>
              <w:rPr>
                <w:rFonts w:ascii="Arial" w:hAnsi="Arial" w:cs="Arial"/>
                <w:sz w:val="24"/>
                <w:szCs w:val="24"/>
              </w:rPr>
            </w:pPr>
            <w:r>
              <w:rPr>
                <w:rFonts w:ascii="Arial" w:hAnsi="Arial" w:cs="Arial"/>
                <w:color w:val="1F4E79"/>
                <w:sz w:val="24"/>
                <w:szCs w:val="24"/>
              </w:rPr>
              <w:t>Uso mediato della rete → soggettività passiva CUP</w:t>
            </w:r>
          </w:p>
        </w:tc>
        <w:tc>
          <w:tcPr>
            <w:tcW w:w="3678" w:type="dxa"/>
            <w:tcBorders>
              <w:bottom w:val="single" w:sz="4" w:space="0" w:color="BFBFBF"/>
              <w:right w:val="single" w:sz="4" w:space="0" w:color="BFBFBF"/>
            </w:tcBorders>
            <w:shd w:val="clear" w:color="auto" w:fill="FCE4D6"/>
            <w:vAlign w:val="center"/>
          </w:tcPr>
          <w:p w14:paraId="7D87D829" w14:textId="77777777" w:rsidR="00297929" w:rsidRPr="00286E13" w:rsidRDefault="0044088E" w:rsidP="00286E13">
            <w:pPr>
              <w:spacing w:line="360" w:lineRule="auto"/>
              <w:jc w:val="center"/>
              <w:rPr>
                <w:rFonts w:ascii="Arial" w:hAnsi="Arial" w:cs="Arial"/>
                <w:sz w:val="24"/>
                <w:szCs w:val="24"/>
              </w:rPr>
            </w:pPr>
            <w:r>
              <w:rPr>
                <w:rFonts w:ascii="Arial" w:hAnsi="Arial" w:cs="Arial"/>
                <w:color w:val="843D03"/>
                <w:sz w:val="24"/>
                <w:szCs w:val="24"/>
              </w:rPr>
              <w:t>Nessun uso della rete → escluso dalla soggettività passiva</w:t>
            </w:r>
          </w:p>
        </w:tc>
      </w:tr>
    </w:tbl>
    <w:p w14:paraId="4895916C" w14:textId="77777777" w:rsidR="00297929" w:rsidRPr="00286E13" w:rsidRDefault="00297929" w:rsidP="00286E13">
      <w:pPr>
        <w:spacing w:line="360" w:lineRule="auto"/>
        <w:rPr>
          <w:rFonts w:ascii="Arial" w:hAnsi="Arial" w:cs="Arial"/>
          <w:sz w:val="24"/>
          <w:szCs w:val="24"/>
        </w:rPr>
      </w:pPr>
    </w:p>
    <w:p w14:paraId="2CF8A883" w14:textId="6CE097C6" w:rsidR="00842FBA" w:rsidRPr="00842FBA" w:rsidRDefault="00842FBA" w:rsidP="00842FBA">
      <w:pPr>
        <w:spacing w:line="360" w:lineRule="auto"/>
        <w:ind w:firstLine="708"/>
        <w:contextualSpacing/>
        <w:jc w:val="both"/>
        <w:rPr>
          <w:rFonts w:ascii="Arial" w:hAnsi="Arial" w:cs="Arial"/>
          <w:sz w:val="24"/>
          <w:szCs w:val="24"/>
        </w:rPr>
      </w:pPr>
      <w:r>
        <w:rPr>
          <w:rFonts w:ascii="Arial" w:hAnsi="Arial" w:cs="Arial"/>
          <w:sz w:val="24"/>
          <w:szCs w:val="24"/>
        </w:rPr>
        <w:t xml:space="preserve">Prima della recente pronuncia della Corte di Cassazione, innanzi richiamata, già confermava quanto fin qui rilevato la più recente giurisprudenza in materia nell’ambito delle telecomunicazioni; fra tante si richiama la recentissima sentenza resa dal </w:t>
      </w:r>
      <w:r>
        <w:rPr>
          <w:rFonts w:ascii="Arial" w:hAnsi="Arial" w:cs="Arial"/>
          <w:b/>
          <w:bCs/>
          <w:sz w:val="24"/>
          <w:szCs w:val="24"/>
          <w:u w:val="single"/>
        </w:rPr>
        <w:t xml:space="preserve">TRIBUNALE DI BERGAMO n. 1523 del 25.11.2025 contro </w:t>
      </w:r>
      <w:r w:rsidR="00372560">
        <w:rPr>
          <w:rFonts w:ascii="Arial" w:hAnsi="Arial" w:cs="Arial"/>
          <w:b/>
          <w:bCs/>
          <w:sz w:val="24"/>
          <w:szCs w:val="24"/>
          <w:u w:val="single"/>
        </w:rPr>
        <w:t xml:space="preserve">Fastweb </w:t>
      </w:r>
      <w:r>
        <w:rPr>
          <w:rFonts w:ascii="Arial" w:hAnsi="Arial" w:cs="Arial"/>
          <w:b/>
          <w:bCs/>
          <w:sz w:val="24"/>
          <w:szCs w:val="24"/>
          <w:u w:val="single"/>
        </w:rPr>
        <w:t>S.p.A., nonché ancor più di recente TRIBUNALE DI BERGAMO 289 del 21.03.2026  contro VODAFONE, ed ancora Tribunale di Treviso n. 240/2025 pubblicata il 20/02/2025, resa in appello, e la sentenza del Tribunale di Piacenza n. 207 del 06.05.2025. Che vengono indicate tra le altre per le puntuali motivazioni addotte, ed infatti:</w:t>
      </w:r>
    </w:p>
    <w:p w14:paraId="5A657FFB" w14:textId="77777777" w:rsidR="00842FBA" w:rsidRPr="00842FBA" w:rsidRDefault="00842FBA" w:rsidP="00842FBA">
      <w:pPr>
        <w:spacing w:line="360" w:lineRule="auto"/>
        <w:ind w:firstLine="708"/>
        <w:contextualSpacing/>
        <w:rPr>
          <w:rFonts w:ascii="Arial" w:eastAsia="Arial" w:hAnsi="Arial" w:cs="Arial"/>
          <w:sz w:val="24"/>
          <w:szCs w:val="24"/>
        </w:rPr>
      </w:pPr>
      <w:r>
        <w:rPr>
          <w:rFonts w:ascii="Arial" w:eastAsia="Arial" w:hAnsi="Arial" w:cs="Arial"/>
          <w:sz w:val="24"/>
          <w:szCs w:val="24"/>
        </w:rPr>
        <w:t>Il Giudice di Bergamo ha così precisato:</w:t>
      </w:r>
    </w:p>
    <w:p w14:paraId="02EBAA96" w14:textId="77777777" w:rsidR="00842FBA" w:rsidRPr="00C576B3" w:rsidRDefault="00842FBA" w:rsidP="00842FBA">
      <w:pPr>
        <w:spacing w:line="360" w:lineRule="auto"/>
        <w:ind w:firstLine="709"/>
        <w:contextualSpacing/>
        <w:jc w:val="both"/>
        <w:rPr>
          <w:rFonts w:ascii="Arial" w:eastAsia="Arial" w:hAnsi="Arial" w:cs="Arial"/>
          <w:iCs/>
          <w:sz w:val="24"/>
          <w:szCs w:val="24"/>
        </w:rPr>
      </w:pPr>
      <w:r>
        <w:rPr>
          <w:rFonts w:ascii="Arial" w:eastAsia="Arial" w:hAnsi="Arial" w:cs="Arial"/>
          <w:i/>
          <w:iCs/>
          <w:sz w:val="24"/>
          <w:szCs w:val="24"/>
        </w:rPr>
        <w:t xml:space="preserve">“La norma nel testo attualmente vigente dispone: il canone è dovuto dal soggetto titolare dell’atto di concessione dell’occupazione del suolo pubblico e dai soggetti che occupano il suolo pubblico, </w:t>
      </w:r>
      <w:r>
        <w:rPr>
          <w:rFonts w:ascii="Arial" w:eastAsia="Arial" w:hAnsi="Arial" w:cs="Arial"/>
          <w:b/>
          <w:bCs/>
          <w:i/>
          <w:iCs/>
          <w:sz w:val="24"/>
          <w:szCs w:val="24"/>
        </w:rPr>
        <w:t>anche in via mediata, attraverso l’utilizzo materiale delle infrastrutture del soggetto titolare della concessione</w:t>
      </w:r>
      <w:r>
        <w:rPr>
          <w:rFonts w:ascii="Arial" w:eastAsia="Arial" w:hAnsi="Arial" w:cs="Arial"/>
          <w:i/>
          <w:iCs/>
          <w:sz w:val="24"/>
          <w:szCs w:val="24"/>
        </w:rPr>
        <w:t xml:space="preserve"> sulla base del numero delle rispettive utenze moltiplicate per la seguente tariffa forfetaria. Si ritiene, soprattutto alla luce della modifica del testo normativo ad opera della legge n. 178/2020, che il legislatore abbia inteso imporre il pagamento del canone de quo a tutti gli operatori che, nell’erogare </w:t>
      </w:r>
      <w:r>
        <w:rPr>
          <w:rFonts w:ascii="Arial" w:eastAsia="Arial" w:hAnsi="Arial" w:cs="Arial"/>
          <w:i/>
          <w:iCs/>
          <w:sz w:val="24"/>
          <w:szCs w:val="24"/>
        </w:rPr>
        <w:lastRenderedPageBreak/>
        <w:t xml:space="preserve">il servizio di pubblica utilità (quale è quello delle telecomunicazioni di Fastweb spa), si avvalgono dei cavi e delle strutture del soggetto che è titolare della concessione e che, per il tramite di questo utilizzo (appunto, mediatamente), occupano il suolo pubblico. L’espressione “utilizzo materiale” va interpretata alla luce della volontà del legislatore come sinonimo di utilizzo che non necessariamente rimanda ad “una modificazione della realtà esterna”. Invero il canone è imposto a tutti quei soggetti che si avvalgono di fatto delle occupazioni permanenti del territorio comunale con cavi e condutture. E poiché è incontestato che Fastweb spa si avvale mediatamente (o virtualmente che dir si voglia) della rete infrastrutturale di Tim/Telecom spa si ritiene che essa rientri fra i soggetti obbligati contemplati dalla norma e soggetto tenuto al pagamento (conforme sul punto Tribunale di Piacenza n. 207/2025; Tribunale Treviso n. 240/2025)”. TRIBUNALE DI BERGAMO n. 1523 del 25.11.2025 </w:t>
      </w:r>
      <w:r>
        <w:rPr>
          <w:rFonts w:ascii="Arial" w:eastAsia="Arial" w:hAnsi="Arial" w:cs="Arial"/>
          <w:iCs/>
          <w:sz w:val="24"/>
          <w:szCs w:val="24"/>
        </w:rPr>
        <w:t>(</w:t>
      </w:r>
      <w:r>
        <w:rPr>
          <w:rFonts w:ascii="Arial" w:eastAsia="Arial" w:hAnsi="Arial" w:cs="Arial"/>
          <w:b/>
          <w:bCs/>
          <w:iCs/>
          <w:sz w:val="24"/>
          <w:szCs w:val="24"/>
        </w:rPr>
        <w:t>doc. 12</w:t>
      </w:r>
      <w:r>
        <w:rPr>
          <w:rFonts w:ascii="Arial" w:eastAsia="Arial" w:hAnsi="Arial" w:cs="Arial"/>
          <w:iCs/>
          <w:sz w:val="24"/>
          <w:szCs w:val="24"/>
        </w:rPr>
        <w:t>).</w:t>
      </w:r>
    </w:p>
    <w:p w14:paraId="25FBED46" w14:textId="77777777" w:rsidR="00842FBA" w:rsidRPr="00842FBA" w:rsidRDefault="00842FBA" w:rsidP="00842FBA">
      <w:pPr>
        <w:spacing w:line="360" w:lineRule="auto"/>
        <w:ind w:firstLine="709"/>
        <w:contextualSpacing/>
        <w:jc w:val="both"/>
        <w:rPr>
          <w:rFonts w:ascii="Arial" w:eastAsia="Arial" w:hAnsi="Arial" w:cs="Arial"/>
          <w:iCs/>
          <w:sz w:val="24"/>
          <w:szCs w:val="24"/>
        </w:rPr>
      </w:pPr>
      <w:r>
        <w:rPr>
          <w:rFonts w:ascii="Arial" w:eastAsia="Arial" w:hAnsi="Arial" w:cs="Arial"/>
          <w:iCs/>
          <w:sz w:val="24"/>
          <w:szCs w:val="24"/>
        </w:rPr>
        <w:t xml:space="preserve">Sempre il </w:t>
      </w:r>
      <w:r>
        <w:rPr>
          <w:rFonts w:ascii="Arial" w:eastAsia="Arial" w:hAnsi="Arial" w:cs="Arial"/>
          <w:b/>
          <w:bCs/>
          <w:iCs/>
          <w:sz w:val="24"/>
          <w:szCs w:val="24"/>
        </w:rPr>
        <w:t>Tribunale di Bergamo con la sentenza 289/2026 ha ribadito</w:t>
      </w:r>
      <w:r>
        <w:rPr>
          <w:rFonts w:ascii="Arial" w:eastAsia="Arial" w:hAnsi="Arial" w:cs="Arial"/>
          <w:iCs/>
          <w:sz w:val="24"/>
          <w:szCs w:val="24"/>
        </w:rPr>
        <w:t>:</w:t>
      </w:r>
    </w:p>
    <w:p w14:paraId="4CCA536C" w14:textId="77777777" w:rsidR="00842FBA" w:rsidRPr="00842FBA" w:rsidRDefault="00842FBA" w:rsidP="00842FBA">
      <w:pPr>
        <w:autoSpaceDE w:val="0"/>
        <w:autoSpaceDN w:val="0"/>
        <w:adjustRightInd w:val="0"/>
        <w:spacing w:line="360" w:lineRule="auto"/>
        <w:jc w:val="both"/>
        <w:rPr>
          <w:rFonts w:ascii="Arial" w:hAnsi="Arial" w:cs="Arial"/>
          <w:i/>
          <w:iCs/>
          <w:color w:val="000000"/>
          <w:sz w:val="24"/>
          <w:szCs w:val="24"/>
        </w:rPr>
      </w:pPr>
      <w:r>
        <w:rPr>
          <w:rFonts w:ascii="Arial" w:eastAsia="Arial" w:hAnsi="Arial" w:cs="Arial"/>
          <w:iCs/>
          <w:color w:val="000000"/>
          <w:sz w:val="24"/>
          <w:szCs w:val="24"/>
        </w:rPr>
        <w:t>“</w:t>
      </w:r>
      <w:r>
        <w:rPr>
          <w:rFonts w:ascii="Arial" w:hAnsi="Arial" w:cs="Arial"/>
          <w:i/>
          <w:iCs/>
          <w:color w:val="000000"/>
          <w:sz w:val="24"/>
          <w:szCs w:val="24"/>
        </w:rPr>
        <w:t xml:space="preserve">le attuali normative fanno riferimento ad un nuovo concetto basato sull’occupazione in via mediata , dove sussistono una pluralità di soggetti passivi , costituiti dal soggetto titolare e dai soggetti che occupano ed utilizzano l’area . </w:t>
      </w:r>
    </w:p>
    <w:p w14:paraId="08EF4189" w14:textId="77777777" w:rsidR="00842FBA" w:rsidRPr="00842FBA" w:rsidRDefault="00842FBA" w:rsidP="00842FBA">
      <w:pPr>
        <w:autoSpaceDE w:val="0"/>
        <w:autoSpaceDN w:val="0"/>
        <w:adjustRightInd w:val="0"/>
        <w:spacing w:line="360" w:lineRule="auto"/>
        <w:jc w:val="both"/>
        <w:rPr>
          <w:rFonts w:ascii="Arial" w:hAnsi="Arial" w:cs="Arial"/>
          <w:i/>
          <w:iCs/>
          <w:color w:val="000000"/>
          <w:sz w:val="24"/>
          <w:szCs w:val="24"/>
        </w:rPr>
      </w:pPr>
      <w:r>
        <w:rPr>
          <w:rFonts w:ascii="Arial" w:hAnsi="Arial" w:cs="Arial"/>
          <w:i/>
          <w:iCs/>
          <w:color w:val="000000"/>
          <w:sz w:val="24"/>
          <w:szCs w:val="24"/>
        </w:rPr>
        <w:t xml:space="preserve">Piu precisamente, risulta aggiornata e superata la precedente normativa, che considerava il solo concessionario quale unico soggetto passivo , rendendo adeguata la normativa ad una tipologia relativa ad un mercato liberalizzato, dove vi sono più operatori che utilizzano la stessa infrastruttura per la fornitura del proprio servizio di telefonia . </w:t>
      </w:r>
    </w:p>
    <w:p w14:paraId="5DB1DC71" w14:textId="77777777" w:rsidR="00842FBA" w:rsidRPr="00842FBA" w:rsidRDefault="00842FBA" w:rsidP="00842FBA">
      <w:pPr>
        <w:spacing w:line="360" w:lineRule="auto"/>
        <w:ind w:firstLine="709"/>
        <w:jc w:val="both"/>
        <w:rPr>
          <w:rFonts w:ascii="Arial" w:hAnsi="Arial" w:cs="Arial"/>
          <w:i/>
          <w:iCs/>
          <w:sz w:val="24"/>
          <w:szCs w:val="24"/>
        </w:rPr>
      </w:pPr>
      <w:r>
        <w:rPr>
          <w:rFonts w:ascii="Arial" w:hAnsi="Arial" w:cs="Arial"/>
          <w:i/>
          <w:iCs/>
          <w:sz w:val="24"/>
          <w:szCs w:val="24"/>
        </w:rPr>
        <w:t>Inoltre, diversamente da quanto affermato da parte attrice, gli accordi wholesale sono pienamente riferibile alla fattispecie connessa” all’utilizzo materiale “.</w:t>
      </w:r>
    </w:p>
    <w:p w14:paraId="0B62B352" w14:textId="77777777" w:rsidR="00842FBA" w:rsidRPr="00842FBA" w:rsidRDefault="00842FBA" w:rsidP="00842FBA">
      <w:pPr>
        <w:autoSpaceDE w:val="0"/>
        <w:autoSpaceDN w:val="0"/>
        <w:adjustRightInd w:val="0"/>
        <w:spacing w:line="360" w:lineRule="auto"/>
        <w:jc w:val="both"/>
        <w:rPr>
          <w:rFonts w:ascii="Arial" w:hAnsi="Arial" w:cs="Arial"/>
          <w:i/>
          <w:iCs/>
          <w:color w:val="000000"/>
          <w:sz w:val="24"/>
          <w:szCs w:val="24"/>
        </w:rPr>
      </w:pPr>
      <w:r>
        <w:rPr>
          <w:rFonts w:ascii="Arial" w:hAnsi="Arial" w:cs="Arial"/>
          <w:i/>
          <w:iCs/>
          <w:color w:val="000000"/>
          <w:sz w:val="24"/>
          <w:szCs w:val="24"/>
        </w:rPr>
        <w:t xml:space="preserve">Infatti gli accordi wholesale VULA ( Virtual Unbundled Local Access ) sono accordi commerciali tra operatori di telecomunicazioni che permettono l’accesso alle reti di accesso locali ( reti di fibra ottica o di rame ) di un operatore dominante a un altro operatore , a condizioni eque e non discriminatorie . </w:t>
      </w:r>
    </w:p>
    <w:p w14:paraId="64860337" w14:textId="77777777" w:rsidR="00842FBA" w:rsidRPr="00842FBA" w:rsidRDefault="00842FBA" w:rsidP="00842FBA">
      <w:pPr>
        <w:autoSpaceDE w:val="0"/>
        <w:autoSpaceDN w:val="0"/>
        <w:adjustRightInd w:val="0"/>
        <w:spacing w:line="360" w:lineRule="auto"/>
        <w:jc w:val="both"/>
        <w:rPr>
          <w:rFonts w:ascii="Arial" w:hAnsi="Arial" w:cs="Arial"/>
          <w:i/>
          <w:iCs/>
          <w:color w:val="000000"/>
          <w:sz w:val="24"/>
          <w:szCs w:val="24"/>
        </w:rPr>
      </w:pPr>
      <w:r>
        <w:rPr>
          <w:rFonts w:ascii="Arial" w:hAnsi="Arial" w:cs="Arial"/>
          <w:i/>
          <w:iCs/>
          <w:color w:val="000000"/>
          <w:sz w:val="24"/>
          <w:szCs w:val="24"/>
        </w:rPr>
        <w:t xml:space="preserve">In pratica , un operatore che non ha una rete di accesso propria può utilizzare la rete di un altro operatore per offrire servizi di accesso a internet e voce ai propri clienti . </w:t>
      </w:r>
    </w:p>
    <w:p w14:paraId="04363831" w14:textId="77777777" w:rsidR="00842FBA" w:rsidRPr="00842FBA" w:rsidRDefault="00842FBA" w:rsidP="00842FBA">
      <w:pPr>
        <w:autoSpaceDE w:val="0"/>
        <w:autoSpaceDN w:val="0"/>
        <w:adjustRightInd w:val="0"/>
        <w:spacing w:line="360" w:lineRule="auto"/>
        <w:jc w:val="both"/>
        <w:rPr>
          <w:rFonts w:ascii="Arial" w:hAnsi="Arial" w:cs="Arial"/>
          <w:i/>
          <w:iCs/>
          <w:color w:val="000000"/>
          <w:sz w:val="24"/>
          <w:szCs w:val="24"/>
        </w:rPr>
      </w:pPr>
      <w:r>
        <w:rPr>
          <w:rFonts w:ascii="Arial" w:hAnsi="Arial" w:cs="Arial"/>
          <w:i/>
          <w:iCs/>
          <w:color w:val="000000"/>
          <w:sz w:val="24"/>
          <w:szCs w:val="24"/>
        </w:rPr>
        <w:t xml:space="preserve">Anche se l’accesso è definito “ virtuale “ in ambito tecnico – commerciale , lo stesso comporta un flusso fisico di dati che transita comunque mediante cavi e condutture esistenti sul suolo pubblico comunale . </w:t>
      </w:r>
    </w:p>
    <w:p w14:paraId="2F164FCC" w14:textId="77777777" w:rsidR="00842FBA" w:rsidRPr="00842FBA" w:rsidRDefault="00842FBA" w:rsidP="00842FBA">
      <w:pPr>
        <w:spacing w:line="360" w:lineRule="auto"/>
        <w:ind w:firstLine="709"/>
        <w:jc w:val="both"/>
        <w:rPr>
          <w:rFonts w:ascii="Arial" w:hAnsi="Arial" w:cs="Arial"/>
          <w:b/>
          <w:bCs/>
          <w:sz w:val="24"/>
          <w:szCs w:val="24"/>
        </w:rPr>
      </w:pPr>
      <w:r>
        <w:rPr>
          <w:rFonts w:ascii="Arial" w:hAnsi="Arial" w:cs="Arial"/>
          <w:i/>
          <w:iCs/>
          <w:sz w:val="24"/>
          <w:szCs w:val="24"/>
        </w:rPr>
        <w:t xml:space="preserve">In base alle numerose sentenze di merito sull’argomento in questione , il criterio legato alla materialità dell’uso dell’infrastruttura di altro operatore , risulta compreso anche quello legato alla modalità di accesso virtuale ,legata all’evoluzione ed al progresso tecnologico nell’ambito della telefonia . </w:t>
      </w:r>
      <w:r>
        <w:rPr>
          <w:rFonts w:ascii="Arial" w:hAnsi="Arial" w:cs="Arial"/>
          <w:sz w:val="24"/>
          <w:szCs w:val="24"/>
        </w:rPr>
        <w:t xml:space="preserve">Tribunale di Bergamo n. 289 del 21.3.2026 </w:t>
      </w:r>
      <w:r>
        <w:rPr>
          <w:rFonts w:ascii="Arial" w:hAnsi="Arial" w:cs="Arial"/>
          <w:b/>
          <w:bCs/>
          <w:sz w:val="24"/>
          <w:szCs w:val="24"/>
        </w:rPr>
        <w:t>(doc. 13).</w:t>
      </w:r>
    </w:p>
    <w:p w14:paraId="06000E18" w14:textId="77777777" w:rsidR="00842FBA" w:rsidRPr="00842FBA" w:rsidRDefault="00842FBA" w:rsidP="00842FBA">
      <w:pPr>
        <w:spacing w:line="360" w:lineRule="auto"/>
        <w:ind w:firstLine="708"/>
        <w:jc w:val="both"/>
        <w:rPr>
          <w:sz w:val="24"/>
          <w:szCs w:val="24"/>
        </w:rPr>
      </w:pPr>
      <w:r>
        <w:rPr>
          <w:rFonts w:ascii="Arial" w:eastAsia="Arial" w:hAnsi="Arial" w:cs="Arial"/>
          <w:sz w:val="24"/>
          <w:szCs w:val="24"/>
        </w:rPr>
        <w:lastRenderedPageBreak/>
        <w:t xml:space="preserve">Di particolare rilievo sistematico è la recentissima </w:t>
      </w:r>
      <w:r>
        <w:rPr>
          <w:rFonts w:ascii="Arial" w:eastAsia="Arial" w:hAnsi="Arial" w:cs="Arial"/>
          <w:b/>
          <w:bCs/>
          <w:sz w:val="24"/>
          <w:szCs w:val="24"/>
        </w:rPr>
        <w:t>sentenza del Tribunale di Napoli n. 5948 del 13.04.2026 (RG 16629/2025)</w:t>
      </w:r>
      <w:r>
        <w:rPr>
          <w:rFonts w:ascii="Arial" w:eastAsia="Arial" w:hAnsi="Arial" w:cs="Arial"/>
          <w:sz w:val="24"/>
          <w:szCs w:val="24"/>
        </w:rPr>
        <w:t xml:space="preserve"> (doc. 14), pronunciata – con riferimento a una controversia analoga avente ad oggetto un avviso di accertamento CUP per gli anni 2021-2024 </w:t>
      </w:r>
      <w:r>
        <w:rPr>
          <w:rFonts w:ascii="Arial" w:eastAsia="Arial" w:hAnsi="Arial" w:cs="Arial"/>
          <w:b/>
          <w:bCs/>
          <w:sz w:val="24"/>
          <w:szCs w:val="24"/>
        </w:rPr>
        <w:t>proposto proprio da Wind Tre</w:t>
      </w:r>
      <w:r>
        <w:rPr>
          <w:rFonts w:ascii="Arial" w:eastAsia="Arial" w:hAnsi="Arial" w:cs="Arial"/>
          <w:sz w:val="24"/>
          <w:szCs w:val="24"/>
        </w:rPr>
        <w:t xml:space="preserve"> – che ha confermato la piena legittimità dell’accertamento su tutti i profili di merito contestati, rendendo una motivazione di particolare rilievo e </w:t>
      </w:r>
      <w:r>
        <w:rPr>
          <w:rFonts w:ascii="Arial" w:hAnsi="Arial" w:cs="Arial"/>
          <w:sz w:val="24"/>
          <w:szCs w:val="24"/>
        </w:rPr>
        <w:t xml:space="preserve">ben chiarendo il concetto di </w:t>
      </w:r>
      <w:r>
        <w:rPr>
          <w:rFonts w:ascii="Arial" w:hAnsi="Arial" w:cs="Arial"/>
          <w:i/>
          <w:iCs/>
          <w:sz w:val="24"/>
          <w:szCs w:val="24"/>
        </w:rPr>
        <w:t xml:space="preserve">“utilizzo materiale” </w:t>
      </w:r>
      <w:r>
        <w:rPr>
          <w:rFonts w:ascii="Arial" w:hAnsi="Arial" w:cs="Arial"/>
          <w:sz w:val="24"/>
          <w:szCs w:val="24"/>
        </w:rPr>
        <w:t>(</w:t>
      </w:r>
      <w:r>
        <w:rPr>
          <w:rFonts w:ascii="Arial" w:hAnsi="Arial" w:cs="Arial"/>
          <w:b/>
          <w:bCs/>
          <w:sz w:val="24"/>
          <w:szCs w:val="24"/>
        </w:rPr>
        <w:t xml:space="preserve">Tribunale Napoli n.5948 del 13.4.2026): </w:t>
      </w:r>
    </w:p>
    <w:p w14:paraId="4B295F0C" w14:textId="77777777" w:rsidR="00842FBA" w:rsidRPr="00842FBA" w:rsidRDefault="00842FBA" w:rsidP="00842FBA">
      <w:pPr>
        <w:spacing w:line="360" w:lineRule="auto"/>
        <w:ind w:firstLine="709"/>
        <w:jc w:val="both"/>
        <w:rPr>
          <w:rFonts w:ascii="Arial" w:hAnsi="Arial" w:cs="Arial"/>
          <w:i/>
          <w:iCs/>
          <w:sz w:val="24"/>
          <w:szCs w:val="24"/>
        </w:rPr>
      </w:pPr>
      <w:r>
        <w:rPr>
          <w:rFonts w:ascii="Arial" w:hAnsi="Arial" w:cs="Arial"/>
          <w:i/>
          <w:iCs/>
          <w:sz w:val="24"/>
          <w:szCs w:val="24"/>
        </w:rPr>
        <w:t>“Questo giudice ritiene di dover aderire alla lettura secondo la quale l'espressione «utilizzo materiale» non vada intesa né come installazione di cavi o condutture ulteriori, né come indispensabile modificazione percepibile della realtà esterna, bensì come equivalente di un utilizzo concreto dell'infrastruttura in concessione, idoneo a integrare un'occupazione mediata del suolo pubblico quando l'operatore, per erogare il servizio venduto alla clientela, si avvale della rete del concessionario. In tale prospettiva, la ratio della modifica normativa è proprio quella di coinvolgere nel pagamento del canone anche gli operatori che, pur non essendo titolari della concessione, traggono un vantaggio immediato e diretto dall'uso dell'infrastruttura in concessione per la fornitura del servizio. Diversamente, la previsione normativa finirebbe per essere priva di effettiva portata applicativa nel settore in cui l'utilizzo della rete altrui è tecnicamente fisiologico.”</w:t>
      </w:r>
    </w:p>
    <w:p w14:paraId="0D302F45" w14:textId="27754923" w:rsidR="00842FBA" w:rsidRPr="00842FBA" w:rsidRDefault="00842FBA" w:rsidP="00842FBA">
      <w:pPr>
        <w:spacing w:line="360" w:lineRule="auto"/>
        <w:ind w:firstLine="708"/>
        <w:jc w:val="both"/>
        <w:rPr>
          <w:sz w:val="24"/>
          <w:szCs w:val="24"/>
        </w:rPr>
      </w:pPr>
      <w:r>
        <w:rPr>
          <w:rFonts w:ascii="Arial" w:eastAsia="Arial" w:hAnsi="Arial" w:cs="Arial"/>
          <w:sz w:val="24"/>
          <w:szCs w:val="24"/>
        </w:rPr>
        <w:t>Il Tribunale di Napoli ha altresì chiarito l’inapplicabilità dell’art. 5, comma 14-</w:t>
      </w:r>
      <w:r>
        <w:rPr>
          <w:rFonts w:ascii="Arial" w:eastAsia="Arial" w:hAnsi="Arial" w:cs="Arial"/>
          <w:i/>
          <w:iCs/>
          <w:sz w:val="24"/>
          <w:szCs w:val="24"/>
        </w:rPr>
        <w:t>quinquies</w:t>
      </w:r>
      <w:r>
        <w:rPr>
          <w:rFonts w:ascii="Arial" w:eastAsia="Arial" w:hAnsi="Arial" w:cs="Arial"/>
          <w:sz w:val="24"/>
          <w:szCs w:val="24"/>
        </w:rPr>
        <w:t>, D.L. 146/2021 al settore delle telecomunicazioni, osservando che “</w:t>
      </w:r>
      <w:r>
        <w:rPr>
          <w:rFonts w:ascii="Arial" w:eastAsia="Arial" w:hAnsi="Arial" w:cs="Arial"/>
          <w:i/>
          <w:iCs/>
          <w:sz w:val="24"/>
          <w:szCs w:val="24"/>
        </w:rPr>
        <w:t xml:space="preserve">la separazione cui la disposizione si riferisce va intesa con riguardo ai settori nei quali la dissociazione tra attività di distribuzione e attività di vendita è strutturalmente più netta </w:t>
      </w:r>
      <w:r w:rsidR="00372560">
        <w:rPr>
          <w:rFonts w:ascii="Arial" w:eastAsia="Arial" w:hAnsi="Arial" w:cs="Arial"/>
          <w:i/>
          <w:iCs/>
          <w:sz w:val="24"/>
          <w:szCs w:val="24"/>
        </w:rPr>
        <w:t>(</w:t>
      </w:r>
      <w:r>
        <w:rPr>
          <w:rFonts w:ascii="Arial" w:eastAsia="Arial" w:hAnsi="Arial" w:cs="Arial"/>
          <w:i/>
          <w:iCs/>
          <w:sz w:val="24"/>
          <w:szCs w:val="24"/>
        </w:rPr>
        <w:t>…</w:t>
      </w:r>
      <w:r w:rsidR="00372560">
        <w:rPr>
          <w:rFonts w:ascii="Arial" w:eastAsia="Arial" w:hAnsi="Arial" w:cs="Arial"/>
          <w:i/>
          <w:iCs/>
          <w:sz w:val="24"/>
          <w:szCs w:val="24"/>
        </w:rPr>
        <w:t>)</w:t>
      </w:r>
      <w:r>
        <w:rPr>
          <w:rFonts w:ascii="Arial" w:eastAsia="Arial" w:hAnsi="Arial" w:cs="Arial"/>
          <w:i/>
          <w:iCs/>
          <w:sz w:val="24"/>
          <w:szCs w:val="24"/>
        </w:rPr>
        <w:t xml:space="preserve"> soggetti dedicati alla sola vendita, che, limitandosi alla commercializzazione, non occupano il suolo pubblico neppure in via mediata e non utilizzano materialmente l’infrastruttura</w:t>
      </w:r>
      <w:r>
        <w:rPr>
          <w:rFonts w:ascii="Arial" w:eastAsia="Arial" w:hAnsi="Arial" w:cs="Arial"/>
          <w:sz w:val="24"/>
          <w:szCs w:val="24"/>
        </w:rPr>
        <w:t>”.</w:t>
      </w:r>
    </w:p>
    <w:p w14:paraId="0C9230BA" w14:textId="77777777" w:rsidR="00842FBA" w:rsidRPr="00842FBA" w:rsidRDefault="00842FBA" w:rsidP="00842FBA">
      <w:pPr>
        <w:spacing w:line="360" w:lineRule="auto"/>
        <w:ind w:firstLine="708"/>
        <w:jc w:val="both"/>
        <w:rPr>
          <w:sz w:val="24"/>
          <w:szCs w:val="24"/>
        </w:rPr>
      </w:pPr>
      <w:r>
        <w:rPr>
          <w:rFonts w:ascii="Arial" w:eastAsia="Arial" w:hAnsi="Arial" w:cs="Arial"/>
          <w:sz w:val="24"/>
          <w:szCs w:val="24"/>
        </w:rPr>
        <w:t>Con specifico riguardo alla legittimità del metodo di calcolo induttivo, il Tribunale di Napoli ha ritenuto pienamente legittimo il ricorso a criteri presuntivi fondati su dati AGCOM rapportati alla popolazione residente, statuendo che “</w:t>
      </w:r>
      <w:r>
        <w:rPr>
          <w:rFonts w:ascii="Arial" w:eastAsia="Arial" w:hAnsi="Arial" w:cs="Arial"/>
          <w:i/>
          <w:iCs/>
          <w:sz w:val="24"/>
          <w:szCs w:val="24"/>
        </w:rPr>
        <w:t>il ricorso a criteri presuntivi fondati su dati AGCOM, rapportati alla popolazione residente e alle quote di mercato, costituisce una legittima modalità ricostruttiva del presupposto impositivo, conforme ai principi generali in materia di entrate patrimoniali e in ogni caso giustificata dalla mancata collaborazione del contribuente. Non può, pertanto, invocarsi a proprio vantaggio una situazione di incertezza determinata dalla stessa condotta dell’operatore</w:t>
      </w:r>
      <w:r>
        <w:rPr>
          <w:rFonts w:ascii="Arial" w:eastAsia="Arial" w:hAnsi="Arial" w:cs="Arial"/>
          <w:sz w:val="24"/>
          <w:szCs w:val="24"/>
        </w:rPr>
        <w:t>”.</w:t>
      </w:r>
    </w:p>
    <w:p w14:paraId="5F640E0F" w14:textId="77777777" w:rsidR="00842FBA" w:rsidRPr="00842FBA" w:rsidRDefault="00842FBA" w:rsidP="00842FBA">
      <w:pPr>
        <w:spacing w:line="360" w:lineRule="auto"/>
        <w:ind w:firstLine="708"/>
        <w:jc w:val="both"/>
        <w:rPr>
          <w:sz w:val="24"/>
          <w:szCs w:val="24"/>
        </w:rPr>
      </w:pPr>
      <w:r>
        <w:rPr>
          <w:rFonts w:ascii="Arial" w:eastAsia="Arial" w:hAnsi="Arial" w:cs="Arial"/>
          <w:sz w:val="24"/>
          <w:szCs w:val="24"/>
        </w:rPr>
        <w:t>Infine, il Tribunale di Napoli ha respinto la tesi della sufficienza del pagamento del minimo forfettario, chiarendo che “</w:t>
      </w:r>
      <w:r>
        <w:rPr>
          <w:rFonts w:ascii="Arial" w:eastAsia="Arial" w:hAnsi="Arial" w:cs="Arial"/>
          <w:i/>
          <w:iCs/>
          <w:sz w:val="24"/>
          <w:szCs w:val="24"/>
        </w:rPr>
        <w:t xml:space="preserve">il minimo di € 800,00 previsto dalla legge opera solo ove il prodotto tra utenze e tariffa risulti inferiore a tale soglia, ma presuppone comunque </w:t>
      </w:r>
      <w:r>
        <w:rPr>
          <w:rFonts w:ascii="Arial" w:eastAsia="Arial" w:hAnsi="Arial" w:cs="Arial"/>
          <w:i/>
          <w:iCs/>
          <w:sz w:val="24"/>
          <w:szCs w:val="24"/>
        </w:rPr>
        <w:lastRenderedPageBreak/>
        <w:t>una corretta e veritiera dichiarazione delle utenze attive. In mancanza di tale presupposto, il versamento del minimo non è idoneo a estinguere l’obbligazione nella sua effettiva consistenza</w:t>
      </w:r>
      <w:r>
        <w:rPr>
          <w:rFonts w:ascii="Arial" w:eastAsia="Arial" w:hAnsi="Arial" w:cs="Arial"/>
          <w:sz w:val="24"/>
          <w:szCs w:val="24"/>
        </w:rPr>
        <w:t>”.</w:t>
      </w:r>
    </w:p>
    <w:p w14:paraId="1C7C4206" w14:textId="77777777" w:rsidR="00842FBA" w:rsidRPr="00842FBA" w:rsidRDefault="00842FBA" w:rsidP="00842FBA">
      <w:pPr>
        <w:spacing w:line="360" w:lineRule="auto"/>
        <w:ind w:firstLine="708"/>
        <w:contextualSpacing/>
        <w:jc w:val="both"/>
        <w:rPr>
          <w:rFonts w:ascii="Arial" w:eastAsia="Arial" w:hAnsi="Arial" w:cs="Arial"/>
          <w:sz w:val="24"/>
          <w:szCs w:val="24"/>
        </w:rPr>
      </w:pPr>
      <w:r>
        <w:rPr>
          <w:rFonts w:ascii="Arial" w:eastAsia="Arial" w:hAnsi="Arial" w:cs="Arial"/>
          <w:sz w:val="24"/>
          <w:szCs w:val="24"/>
        </w:rPr>
        <w:t xml:space="preserve">Ed ancora, i giudici del </w:t>
      </w:r>
      <w:r>
        <w:rPr>
          <w:rFonts w:ascii="Arial" w:eastAsia="Arial" w:hAnsi="Arial" w:cs="Arial"/>
          <w:b/>
          <w:bCs/>
          <w:sz w:val="24"/>
          <w:szCs w:val="24"/>
        </w:rPr>
        <w:t>Tribunale di TREVISO</w:t>
      </w:r>
      <w:r>
        <w:rPr>
          <w:rFonts w:ascii="Arial" w:eastAsia="Arial" w:hAnsi="Arial" w:cs="Arial"/>
          <w:sz w:val="24"/>
          <w:szCs w:val="24"/>
        </w:rPr>
        <w:t xml:space="preserve"> hanno rigettato, ancora una volta, l’appello di una primaria compagnia telefonica che insisteva nel ritenersi estranea alla soggettività passiva mediata in relazione alla fornitura del servizio di telecomunicazioni.</w:t>
      </w:r>
    </w:p>
    <w:p w14:paraId="65FD9B39" w14:textId="77777777" w:rsidR="00842FBA" w:rsidRPr="00842FBA" w:rsidRDefault="00842FBA" w:rsidP="00842FBA">
      <w:pPr>
        <w:spacing w:line="360" w:lineRule="auto"/>
        <w:ind w:firstLine="708"/>
        <w:contextualSpacing/>
        <w:jc w:val="both"/>
        <w:rPr>
          <w:rFonts w:ascii="Arial" w:eastAsia="Arial" w:hAnsi="Arial" w:cs="Arial"/>
          <w:sz w:val="24"/>
          <w:szCs w:val="24"/>
        </w:rPr>
      </w:pPr>
      <w:r>
        <w:rPr>
          <w:rFonts w:ascii="Arial" w:eastAsia="Arial" w:hAnsi="Arial" w:cs="Arial"/>
          <w:sz w:val="24"/>
          <w:szCs w:val="24"/>
        </w:rPr>
        <w:t>Si legge nella sentenza:</w:t>
      </w:r>
    </w:p>
    <w:p w14:paraId="4D38B8A4" w14:textId="77777777" w:rsidR="00842FBA" w:rsidRPr="00842FBA" w:rsidRDefault="00842FBA" w:rsidP="00842FBA">
      <w:pPr>
        <w:spacing w:line="360" w:lineRule="auto"/>
        <w:ind w:firstLine="709"/>
        <w:contextualSpacing/>
        <w:jc w:val="both"/>
        <w:rPr>
          <w:rFonts w:ascii="Arial" w:eastAsia="Arial" w:hAnsi="Arial" w:cs="Arial"/>
          <w:sz w:val="24"/>
          <w:szCs w:val="24"/>
        </w:rPr>
      </w:pPr>
      <w:r>
        <w:rPr>
          <w:rFonts w:ascii="Arial" w:eastAsia="Arial" w:hAnsi="Arial" w:cs="Arial"/>
          <w:i/>
          <w:iCs/>
          <w:sz w:val="24"/>
          <w:szCs w:val="24"/>
        </w:rPr>
        <w:t xml:space="preserve">“Si ritiene, soprattutto alla luce della modifica del testo normativo ad opera della legge n. 178/2020, che il legislatore abbia inteso imporre il pagamento del canone de quo a tutti gli operatori che, nell’erogare il servizio di pubblica utilità (quale è quello delle telecomunicazioni), si avvalgono dei cavi e delle strutture del soggetto che è titolare della concessione e che, per il tramite di questo utilizzo (appunto, mediatamente), occupano il suolo pubblico. L’espressione “utilizzo materiale” va interpretata alla luce di tale voluntas legis come sinonimo di utilizzo che non necessariamente rimanda ad una modificazione della realtà esterna (quale è quella, ipotizzata dall’appellante, che si realizza con l’installazione di “cavi propri” nella infrastruttura a rete fissa altrui). Ciò in quanto il canone è imposto a quanti, comunque, si avvalgono di fatto delle occupazioni permanenti del territorio comunale con cavi e condutture. E poiché è incontestato che l’operatore, attraverso le varie forme di tecnologia descritte in atti, si avvale della rete infrastrutturale di TIM, si ritiene che esso rientri fra i soggetti obbligati contemplati dalla norma”. </w:t>
      </w:r>
      <w:r>
        <w:rPr>
          <w:rFonts w:ascii="Arial" w:eastAsia="Arial" w:hAnsi="Arial" w:cs="Arial"/>
          <w:b/>
          <w:bCs/>
          <w:i/>
          <w:iCs/>
          <w:sz w:val="24"/>
          <w:szCs w:val="24"/>
        </w:rPr>
        <w:t xml:space="preserve">Tribunale di Treviso n. 240/2025 del 20/02/2025, resa in appello </w:t>
      </w:r>
      <w:r>
        <w:rPr>
          <w:rFonts w:ascii="Arial" w:eastAsia="Arial" w:hAnsi="Arial" w:cs="Arial"/>
          <w:iCs/>
          <w:sz w:val="24"/>
          <w:szCs w:val="24"/>
        </w:rPr>
        <w:t>(</w:t>
      </w:r>
      <w:r>
        <w:rPr>
          <w:rFonts w:ascii="Arial" w:eastAsia="Arial" w:hAnsi="Arial" w:cs="Arial"/>
          <w:b/>
          <w:bCs/>
          <w:iCs/>
          <w:sz w:val="24"/>
          <w:szCs w:val="24"/>
        </w:rPr>
        <w:t>doc. 15</w:t>
      </w:r>
      <w:r>
        <w:rPr>
          <w:rFonts w:ascii="Arial" w:eastAsia="Arial" w:hAnsi="Arial" w:cs="Arial"/>
          <w:iCs/>
          <w:sz w:val="24"/>
          <w:szCs w:val="24"/>
        </w:rPr>
        <w:t>)</w:t>
      </w:r>
      <w:r>
        <w:rPr>
          <w:rFonts w:ascii="Arial" w:eastAsia="Arial" w:hAnsi="Arial" w:cs="Arial"/>
          <w:i/>
          <w:iCs/>
          <w:sz w:val="24"/>
          <w:szCs w:val="24"/>
        </w:rPr>
        <w:t>.</w:t>
      </w:r>
    </w:p>
    <w:p w14:paraId="14104ABD" w14:textId="77777777" w:rsidR="00842FBA" w:rsidRPr="00842FBA" w:rsidRDefault="00842FBA" w:rsidP="00842FBA">
      <w:pPr>
        <w:spacing w:line="360" w:lineRule="auto"/>
        <w:ind w:firstLine="709"/>
        <w:contextualSpacing/>
        <w:jc w:val="both"/>
        <w:rPr>
          <w:rFonts w:ascii="Arial" w:eastAsia="Arial" w:hAnsi="Arial" w:cs="Arial"/>
          <w:sz w:val="24"/>
          <w:szCs w:val="24"/>
        </w:rPr>
      </w:pPr>
      <w:r>
        <w:rPr>
          <w:rFonts w:ascii="Arial" w:eastAsia="Arial" w:hAnsi="Arial" w:cs="Arial"/>
          <w:sz w:val="24"/>
          <w:szCs w:val="24"/>
        </w:rPr>
        <w:t xml:space="preserve">Il Tribunale di </w:t>
      </w:r>
      <w:r>
        <w:rPr>
          <w:rFonts w:ascii="Arial" w:eastAsia="Arial" w:hAnsi="Arial" w:cs="Arial"/>
          <w:b/>
          <w:bCs/>
          <w:sz w:val="24"/>
          <w:szCs w:val="24"/>
        </w:rPr>
        <w:t>PIACENZA,</w:t>
      </w:r>
      <w:r>
        <w:rPr>
          <w:rFonts w:ascii="Arial" w:eastAsia="Arial" w:hAnsi="Arial" w:cs="Arial"/>
          <w:sz w:val="24"/>
          <w:szCs w:val="24"/>
        </w:rPr>
        <w:t xml:space="preserve"> poi, rigettando l’opposizione di Vodafone, ha sempre posto l’accento sul concetto di occupazione mediata e sulla </w:t>
      </w:r>
      <w:r>
        <w:rPr>
          <w:rFonts w:ascii="Arial" w:eastAsia="Arial" w:hAnsi="Arial" w:cs="Arial"/>
          <w:i/>
          <w:iCs/>
          <w:sz w:val="24"/>
          <w:szCs w:val="24"/>
        </w:rPr>
        <w:t>ratio</w:t>
      </w:r>
      <w:r>
        <w:rPr>
          <w:rFonts w:ascii="Arial" w:eastAsia="Arial" w:hAnsi="Arial" w:cs="Arial"/>
          <w:sz w:val="24"/>
          <w:szCs w:val="24"/>
        </w:rPr>
        <w:t xml:space="preserve"> della norma di interpretazione autentica.</w:t>
      </w:r>
    </w:p>
    <w:p w14:paraId="5010025C" w14:textId="77777777" w:rsidR="00842FBA" w:rsidRPr="00842FBA" w:rsidRDefault="00842FBA" w:rsidP="00842FBA">
      <w:pPr>
        <w:spacing w:line="360" w:lineRule="auto"/>
        <w:ind w:firstLine="708"/>
        <w:contextualSpacing/>
        <w:jc w:val="both"/>
        <w:rPr>
          <w:rFonts w:ascii="Arial" w:eastAsia="Arial" w:hAnsi="Arial" w:cs="Arial"/>
          <w:sz w:val="24"/>
          <w:szCs w:val="24"/>
        </w:rPr>
      </w:pPr>
      <w:r>
        <w:rPr>
          <w:rFonts w:ascii="Arial" w:eastAsia="Arial" w:hAnsi="Arial" w:cs="Arial"/>
          <w:sz w:val="24"/>
          <w:szCs w:val="24"/>
        </w:rPr>
        <w:t>Si legge in sentenza:</w:t>
      </w:r>
    </w:p>
    <w:p w14:paraId="11376B20" w14:textId="77777777" w:rsidR="00842FBA" w:rsidRPr="00842FBA" w:rsidRDefault="00842FBA" w:rsidP="00842FBA">
      <w:pPr>
        <w:spacing w:line="360" w:lineRule="auto"/>
        <w:ind w:firstLine="709"/>
        <w:contextualSpacing/>
        <w:jc w:val="both"/>
        <w:rPr>
          <w:rFonts w:ascii="Arial" w:eastAsia="Arial" w:hAnsi="Arial" w:cs="Arial"/>
          <w:b/>
          <w:bCs/>
          <w:sz w:val="24"/>
          <w:szCs w:val="24"/>
        </w:rPr>
      </w:pPr>
      <w:r>
        <w:rPr>
          <w:rFonts w:ascii="Arial" w:eastAsia="Arial" w:hAnsi="Arial" w:cs="Arial"/>
          <w:i/>
          <w:iCs/>
          <w:sz w:val="24"/>
          <w:szCs w:val="24"/>
        </w:rPr>
        <w:t xml:space="preserve">“5. Con l’art. 5, comma 14-quinquies, del D.L. 146/2021, il legislatore ha dettato una norma di interpretazione autentica stabilendo, per quanto qui rileva, che: a) per le occupazioni permanenti di suolo pubblico effettuate nei settori in cui è prevista una separazione, in ragione di assetti normativi, regolamentari o contrattuali, tra i soggetti titolari delle infrastrutture ed i soggetti titolari del contratto di vendita del bene distribuito alla clientela finale, non configurandosi alcuna occupazione in via mediata ed alcun utilizzo materiale delle infrastrutture da parte della società di vendita, il canone è dovuto esclusivamente dal soggetto titolare dell’atto di concessione delle infrastrutture, in base alle utenze delle predette società di vendita. 6. La norma che ha introdotto la c.d. soggettività passiva mediata, letta alla luce dell’intervento di interpretazione autentica, va intesa nel senso che l’esclusione dalla debenza del canone non è generalizzata ma </w:t>
      </w:r>
      <w:r>
        <w:rPr>
          <w:rFonts w:ascii="Arial" w:eastAsia="Arial" w:hAnsi="Arial" w:cs="Arial"/>
          <w:i/>
          <w:iCs/>
          <w:sz w:val="24"/>
          <w:szCs w:val="24"/>
        </w:rPr>
        <w:lastRenderedPageBreak/>
        <w:t xml:space="preserve">esclusivamente dedicata a quei settori in cui è prevista una separazione fra i titolari delle infrastrutture ed i titolari del contratto di vendita del bene distribuito alla clientela finale, previsione riferibile a quei settori – come quelli del gas e dell’energia elettrica – in cui la normativa di riferimento impone una netta separazione tra l’attività di distribuzione e quella di vendita, lasciando per il resto inalterata l’originaria previsione. 7. Diversamente argomentando, infatti, non si capirebbe la ragione per cui il legislatore abbia inteso mantenere in vigore la previsione introdotta dalla L. n. 178/2020, di debenza del canone da parte sia del diretto intestatario dell’infrastruttura che di tutti coloro che anche in via mediata, attraverso l’utilizzo materiale delle infrastrutture del soggetto titolare della concessione, ne fanno utilizzazione, accanto a quella di interpretazione autentica che invece riserva la soggettività passiva del canone al solo concessionario dell’infrastruttura. 8. La ratio della norma di interpretazione autentica, dunque, va ricercata nella peculiare caratteristica del sistema che opera per le imprese di distribuzione del gas e dell’energia elettrica dove le società titolari dei contratti di vendita non utilizzano, neppure in via mediata, la rete di distribuzione della materia prima ai clienti finali, limitandosi solamente alla commercializzazione del prodotto. 9. Per il servizio di telefonia, come quello in esame, l’operatore telefonico non si limita alla mera commercializzazione del servizio ma fa uso, seppur mediato, della rete infrastrutturale di TIM, collegandovisi mediante i sistemi descritti nell’atto di citazione, tra cui la distribuzione BITSTREAM NGA, per cui l’operatore affitta l’intera tratta che va dal PDI alle abitazioni dei clienti, indipendentemente dall’architettura posta “a valle” della centrale (FTTC/FTTH), con il traffico di tutti gli operatori trasportato separato tramite l’uso delle VLAN. 10. Peraltro nel criterio di materialità dell’uso dell’infrastruttura altrui deve intendersi incluso anche quello con modalità virtuale considerata l’evoluzione tecnologica nel campo della telefonia. 11. Ne consegue, da tutto quanto precede, che VODAFONE non possa essere considerata al pari di una mera società di commercializzazione di prodotti telefonici ma, diversamente, vada ritenuta un operatore telefonico che si avvale, nel caso di specie, in via mediata di infrastrutture del concessionario TIM, sì che la stessa rientra nella previsione di cui all’art. 1, comma 831, della L. n. 160/2019, così come modificato dalla L. n. 178/2020, e deve essere ritenuta soggetto passivo ai fini del CUP”. </w:t>
      </w:r>
      <w:r>
        <w:rPr>
          <w:rFonts w:ascii="Arial" w:eastAsia="Arial" w:hAnsi="Arial" w:cs="Arial"/>
          <w:b/>
          <w:bCs/>
          <w:i/>
          <w:iCs/>
          <w:sz w:val="24"/>
          <w:szCs w:val="24"/>
        </w:rPr>
        <w:t>Tribunale di Piacenza n. 207 del 06.05.2025</w:t>
      </w:r>
      <w:r>
        <w:rPr>
          <w:rFonts w:ascii="Arial" w:eastAsia="Arial" w:hAnsi="Arial" w:cs="Arial"/>
          <w:b/>
          <w:bCs/>
          <w:iCs/>
          <w:sz w:val="24"/>
          <w:szCs w:val="24"/>
        </w:rPr>
        <w:t xml:space="preserve"> (doc. 16)</w:t>
      </w:r>
      <w:r>
        <w:rPr>
          <w:rFonts w:ascii="Arial" w:eastAsia="Arial" w:hAnsi="Arial" w:cs="Arial"/>
          <w:b/>
          <w:bCs/>
          <w:i/>
          <w:iCs/>
          <w:sz w:val="24"/>
          <w:szCs w:val="24"/>
        </w:rPr>
        <w:t>.</w:t>
      </w:r>
    </w:p>
    <w:p w14:paraId="16156D17" w14:textId="77777777" w:rsidR="00842FBA" w:rsidRPr="00842FBA" w:rsidRDefault="00842FBA" w:rsidP="00842FBA">
      <w:pPr>
        <w:spacing w:line="360" w:lineRule="auto"/>
        <w:ind w:firstLine="360"/>
        <w:contextualSpacing/>
        <w:jc w:val="both"/>
        <w:rPr>
          <w:rFonts w:ascii="Arial" w:eastAsia="Arial" w:hAnsi="Arial" w:cs="Arial"/>
          <w:b/>
          <w:bCs/>
          <w:i/>
          <w:iCs/>
          <w:sz w:val="24"/>
          <w:szCs w:val="24"/>
        </w:rPr>
      </w:pPr>
      <w:r>
        <w:rPr>
          <w:rFonts w:ascii="Arial" w:eastAsia="Arial" w:hAnsi="Arial" w:cs="Arial"/>
          <w:sz w:val="24"/>
          <w:szCs w:val="24"/>
        </w:rPr>
        <w:t xml:space="preserve">Anche con successiva pronuncia, il </w:t>
      </w:r>
      <w:r>
        <w:rPr>
          <w:rFonts w:ascii="Arial" w:eastAsia="Arial" w:hAnsi="Arial" w:cs="Arial"/>
          <w:b/>
          <w:bCs/>
          <w:sz w:val="24"/>
          <w:szCs w:val="24"/>
        </w:rPr>
        <w:t>Tribunale di Piacenza – i</w:t>
      </w:r>
      <w:r>
        <w:rPr>
          <w:rFonts w:ascii="Arial" w:eastAsia="Arial" w:hAnsi="Arial" w:cs="Arial"/>
          <w:b/>
          <w:bCs/>
          <w:sz w:val="24"/>
          <w:szCs w:val="24"/>
          <w:u w:val="single"/>
        </w:rPr>
        <w:t>n funzione di giudice di secondo grado (sent. 350 del 16.07.2025, R.G. 1562/2024) (doc. 17</w:t>
      </w:r>
      <w:r>
        <w:rPr>
          <w:rFonts w:ascii="Arial" w:eastAsia="Arial" w:hAnsi="Arial" w:cs="Arial"/>
          <w:sz w:val="24"/>
          <w:szCs w:val="24"/>
          <w:u w:val="single"/>
        </w:rPr>
        <w:t xml:space="preserve">) </w:t>
      </w:r>
      <w:r>
        <w:rPr>
          <w:rFonts w:ascii="Arial" w:eastAsia="Arial" w:hAnsi="Arial" w:cs="Arial"/>
          <w:sz w:val="24"/>
          <w:szCs w:val="24"/>
        </w:rPr>
        <w:t xml:space="preserve">– ha confermato in appello il medesimo orientamento, precisando che “l’utilizzo materiale non implica modificazione fisica del suolo e l’occupazione mediata ricorre anche in caso di utilizzo virtuale e condiviso della rete” e che “la separazione di cui alla norma </w:t>
      </w:r>
      <w:r>
        <w:rPr>
          <w:rFonts w:ascii="Arial" w:eastAsia="Arial" w:hAnsi="Arial" w:cs="Arial"/>
          <w:sz w:val="24"/>
          <w:szCs w:val="24"/>
        </w:rPr>
        <w:lastRenderedPageBreak/>
        <w:t xml:space="preserve">interpretativa non è configurabile quando il venditore utilizza la rete del concessionario per erogare il servizio” il giudice di appello ha infatti precisato che:” </w:t>
      </w:r>
      <w:r>
        <w:rPr>
          <w:rFonts w:ascii="Arial" w:eastAsia="Arial" w:hAnsi="Arial" w:cs="Arial"/>
          <w:b/>
          <w:bCs/>
          <w:i/>
          <w:iCs/>
          <w:sz w:val="24"/>
          <w:szCs w:val="24"/>
        </w:rPr>
        <w:t>Diversamente argomentando, infatti, non si capirebbe la ragione per cui il legislatore abbia inteso mantenere in vigore la previsione introdotta dalla L.n.178/2020, di debenza del canone da parte sia del diretto intestatario dell’infrastruttura che di tutti coloro che anche in via mediata, attraverso l'utilizzo materiale delle infrastrutture del soggetto titolare della concessione ne fanno utilizzazione, accanto a quella di interpretazione autentica che invece riserva la soggettività passiva del canone al solo concessionario dell’infrastruttura.</w:t>
      </w:r>
    </w:p>
    <w:p w14:paraId="4F06C340" w14:textId="77777777" w:rsidR="00842FBA" w:rsidRPr="00842FBA" w:rsidRDefault="00842FBA" w:rsidP="00842FBA">
      <w:pPr>
        <w:numPr>
          <w:ilvl w:val="0"/>
          <w:numId w:val="9"/>
        </w:numPr>
        <w:spacing w:line="360" w:lineRule="auto"/>
        <w:contextualSpacing/>
        <w:jc w:val="both"/>
        <w:rPr>
          <w:rFonts w:ascii="Arial" w:eastAsia="Arial" w:hAnsi="Arial" w:cs="Arial"/>
          <w:b/>
          <w:bCs/>
          <w:i/>
          <w:iCs/>
          <w:sz w:val="24"/>
          <w:szCs w:val="24"/>
        </w:rPr>
      </w:pPr>
      <w:r>
        <w:rPr>
          <w:rFonts w:ascii="Arial" w:eastAsia="Arial" w:hAnsi="Arial" w:cs="Arial"/>
          <w:b/>
          <w:bCs/>
          <w:i/>
          <w:iCs/>
          <w:sz w:val="24"/>
          <w:szCs w:val="24"/>
        </w:rPr>
        <w:t>La ratio della norma di interpretazione autentica, dunque, va ricercata nella peculiare caratteristica del sistema che opera per le imprese di distribuzione del gas e dell’energia elettrica dove le società titolari dei contratti di vendita non utilizzano, neppure in via mediata, la rete di distribuzione della materia prima ai clienti finali limitandosi solamente alla commercializzazione del prodotto</w:t>
      </w:r>
    </w:p>
    <w:p w14:paraId="517D5B6B" w14:textId="77777777" w:rsidR="00842FBA" w:rsidRPr="00842FBA" w:rsidRDefault="00842FBA" w:rsidP="00842FBA">
      <w:pPr>
        <w:numPr>
          <w:ilvl w:val="0"/>
          <w:numId w:val="9"/>
        </w:numPr>
        <w:spacing w:line="360" w:lineRule="auto"/>
        <w:contextualSpacing/>
        <w:jc w:val="both"/>
        <w:rPr>
          <w:rFonts w:ascii="Arial" w:eastAsia="Arial" w:hAnsi="Arial" w:cs="Arial"/>
          <w:i/>
          <w:iCs/>
          <w:sz w:val="24"/>
          <w:szCs w:val="24"/>
        </w:rPr>
      </w:pPr>
      <w:r>
        <w:rPr>
          <w:rFonts w:ascii="Arial" w:eastAsia="Arial" w:hAnsi="Arial" w:cs="Arial"/>
          <w:i/>
          <w:iCs/>
          <w:sz w:val="24"/>
          <w:szCs w:val="24"/>
        </w:rPr>
        <w:t>Per il servizio di telefonia, come quello in esame, l’operatore telefonico non si limita alla mera commercializzazione del servizio ma fa uso, seppur mediato, della rete infrastrutturale di T. collegandovisi mediante i sistemi descritti nell’atto di citazione (cfr. pagg. 7,8,9 dove è descritto il tipo di connessione e le modalità di accesso alla rete come distribuzione BITSTREAM NGA e L’Operatore (V.) “affitta” l’intera tratta che va dal PDI alle abitazioni dei clienti, indipendentemente dall’architettura posta “a valle” della centrale (FTTC).. sia nel caso di FTTC che di FTTH la fibra ottica trasporta il traffico di tutti gli operatori, separato tramite l’uso delle VLAN (Virtual LAN).)</w:t>
      </w:r>
    </w:p>
    <w:p w14:paraId="51290AA9" w14:textId="77777777" w:rsidR="00842FBA" w:rsidRPr="00842FBA" w:rsidRDefault="00842FBA" w:rsidP="00842FBA">
      <w:pPr>
        <w:numPr>
          <w:ilvl w:val="0"/>
          <w:numId w:val="9"/>
        </w:numPr>
        <w:spacing w:line="360" w:lineRule="auto"/>
        <w:contextualSpacing/>
        <w:jc w:val="both"/>
        <w:rPr>
          <w:rFonts w:ascii="Arial" w:eastAsia="Arial" w:hAnsi="Arial" w:cs="Arial"/>
          <w:i/>
          <w:iCs/>
          <w:sz w:val="24"/>
          <w:szCs w:val="24"/>
        </w:rPr>
      </w:pPr>
      <w:r>
        <w:rPr>
          <w:rFonts w:ascii="Arial" w:eastAsia="Arial" w:hAnsi="Arial" w:cs="Arial"/>
          <w:i/>
          <w:iCs/>
          <w:sz w:val="24"/>
          <w:szCs w:val="24"/>
        </w:rPr>
        <w:t xml:space="preserve">Peraltro nel criterio di materialità dell’uso dell’infrastruttura altrui deve intendersi incluso anche quello con modalità virtuale considerata l’evoluzione tecnologica nel campo della telefonia.” </w:t>
      </w:r>
    </w:p>
    <w:p w14:paraId="2E8AD9BA" w14:textId="77777777" w:rsidR="00842FBA" w:rsidRPr="00842FBA" w:rsidRDefault="00842FBA" w:rsidP="00842FBA">
      <w:pPr>
        <w:spacing w:line="360" w:lineRule="auto"/>
        <w:ind w:firstLine="709"/>
        <w:contextualSpacing/>
        <w:jc w:val="both"/>
        <w:rPr>
          <w:rFonts w:ascii="Arial" w:eastAsia="Arial" w:hAnsi="Arial" w:cs="Arial"/>
          <w:sz w:val="24"/>
          <w:szCs w:val="24"/>
        </w:rPr>
      </w:pPr>
      <w:r>
        <w:rPr>
          <w:rFonts w:ascii="Arial" w:eastAsia="Arial" w:hAnsi="Arial" w:cs="Arial"/>
          <w:sz w:val="24"/>
          <w:szCs w:val="24"/>
        </w:rPr>
        <w:t xml:space="preserve">Ancora, il Tribunale di </w:t>
      </w:r>
      <w:r>
        <w:rPr>
          <w:rFonts w:ascii="Arial" w:eastAsia="Arial" w:hAnsi="Arial" w:cs="Arial"/>
          <w:b/>
          <w:bCs/>
          <w:sz w:val="24"/>
          <w:szCs w:val="24"/>
        </w:rPr>
        <w:t xml:space="preserve">IVREA </w:t>
      </w:r>
      <w:r>
        <w:rPr>
          <w:rFonts w:ascii="Arial" w:eastAsia="Arial" w:hAnsi="Arial" w:cs="Arial"/>
          <w:sz w:val="24"/>
          <w:szCs w:val="24"/>
        </w:rPr>
        <w:t xml:space="preserve">– </w:t>
      </w:r>
      <w:r>
        <w:rPr>
          <w:rFonts w:ascii="Arial" w:eastAsia="Arial" w:hAnsi="Arial" w:cs="Arial"/>
          <w:b/>
          <w:bCs/>
          <w:sz w:val="24"/>
          <w:szCs w:val="24"/>
        </w:rPr>
        <w:t>in funzione di giudice di secondo grado (sent. 29.09.2025, n. 1255)</w:t>
      </w:r>
      <w:r>
        <w:rPr>
          <w:rFonts w:ascii="Arial" w:eastAsia="Arial" w:hAnsi="Arial" w:cs="Arial"/>
          <w:sz w:val="24"/>
          <w:szCs w:val="24"/>
        </w:rPr>
        <w:t xml:space="preserve"> </w:t>
      </w:r>
      <w:r>
        <w:rPr>
          <w:rFonts w:ascii="Arial" w:eastAsia="Arial" w:hAnsi="Arial" w:cs="Arial"/>
          <w:b/>
          <w:bCs/>
          <w:sz w:val="24"/>
          <w:szCs w:val="24"/>
        </w:rPr>
        <w:t>(doc. 18)</w:t>
      </w:r>
      <w:r>
        <w:rPr>
          <w:rFonts w:ascii="Arial" w:eastAsia="Arial" w:hAnsi="Arial" w:cs="Arial"/>
          <w:sz w:val="24"/>
          <w:szCs w:val="24"/>
        </w:rPr>
        <w:t xml:space="preserve"> – ha rigettato l’appello proposto da un primario operatore telefonico avverso una decisione favorevole al Comune impositore, chiarendo che “</w:t>
      </w:r>
      <w:r>
        <w:rPr>
          <w:rFonts w:ascii="Arial" w:eastAsia="Arial" w:hAnsi="Arial" w:cs="Arial"/>
          <w:i/>
          <w:iCs/>
          <w:sz w:val="24"/>
          <w:szCs w:val="24"/>
        </w:rPr>
        <w:t>il concetto di utilizzo materiale delle infrastrutture, di cui all’art. 1, comma 831, L. n. 160/2019, non va inteso in senso meramente fisico o strutturale, ma come utilizzo concreto e funzionale, idoneo a produrre un vantaggio economico diretto per l’operatore che eroga il servizio</w:t>
      </w:r>
      <w:r>
        <w:rPr>
          <w:rFonts w:ascii="Arial" w:eastAsia="Arial" w:hAnsi="Arial" w:cs="Arial"/>
          <w:sz w:val="24"/>
          <w:szCs w:val="24"/>
        </w:rPr>
        <w:t>”, con la conseguenza che “</w:t>
      </w:r>
      <w:r>
        <w:rPr>
          <w:rFonts w:ascii="Arial" w:eastAsia="Arial" w:hAnsi="Arial" w:cs="Arial"/>
          <w:i/>
          <w:iCs/>
          <w:sz w:val="24"/>
          <w:szCs w:val="24"/>
        </w:rPr>
        <w:t xml:space="preserve">l’occupazione mediata del suolo pubblico è ravvisabile anche quando l’operatore accede alle infrastrutture del concessionario </w:t>
      </w:r>
      <w:r>
        <w:rPr>
          <w:rFonts w:ascii="Arial" w:eastAsia="Arial" w:hAnsi="Arial" w:cs="Arial"/>
          <w:i/>
          <w:iCs/>
          <w:sz w:val="24"/>
          <w:szCs w:val="24"/>
        </w:rPr>
        <w:lastRenderedPageBreak/>
        <w:t>mediante sistemi tecnologici quali VULA, WS, FTTH OS, risultando irrilevante l’assenza di una materiale posa in opera di nuovi cav</w:t>
      </w:r>
      <w:r>
        <w:rPr>
          <w:rFonts w:ascii="Arial" w:eastAsia="Arial" w:hAnsi="Arial" w:cs="Arial"/>
          <w:sz w:val="24"/>
          <w:szCs w:val="24"/>
        </w:rPr>
        <w:t>i”.</w:t>
      </w:r>
    </w:p>
    <w:p w14:paraId="1FCF705E" w14:textId="77777777" w:rsidR="00842FBA" w:rsidRPr="00842FBA" w:rsidRDefault="00842FBA" w:rsidP="00842FBA">
      <w:pPr>
        <w:spacing w:line="360" w:lineRule="auto"/>
        <w:ind w:firstLine="709"/>
        <w:contextualSpacing/>
        <w:jc w:val="both"/>
        <w:rPr>
          <w:rFonts w:ascii="Arial" w:eastAsia="Arial" w:hAnsi="Arial" w:cs="Arial"/>
          <w:sz w:val="24"/>
          <w:szCs w:val="24"/>
        </w:rPr>
      </w:pPr>
      <w:r>
        <w:rPr>
          <w:rFonts w:ascii="Arial" w:eastAsia="Arial" w:hAnsi="Arial" w:cs="Arial"/>
          <w:sz w:val="24"/>
          <w:szCs w:val="24"/>
        </w:rPr>
        <w:t xml:space="preserve">Ancora, il </w:t>
      </w:r>
      <w:r>
        <w:rPr>
          <w:rFonts w:ascii="Arial" w:eastAsia="Arial" w:hAnsi="Arial" w:cs="Arial"/>
          <w:b/>
          <w:bCs/>
          <w:sz w:val="24"/>
          <w:szCs w:val="24"/>
        </w:rPr>
        <w:t>Tribunale di</w:t>
      </w:r>
      <w:r>
        <w:rPr>
          <w:rFonts w:ascii="Arial" w:eastAsia="Arial" w:hAnsi="Arial" w:cs="Arial"/>
          <w:sz w:val="24"/>
          <w:szCs w:val="24"/>
        </w:rPr>
        <w:t xml:space="preserve"> </w:t>
      </w:r>
      <w:r>
        <w:rPr>
          <w:rFonts w:ascii="Arial" w:eastAsia="Arial" w:hAnsi="Arial" w:cs="Arial"/>
          <w:b/>
          <w:bCs/>
          <w:sz w:val="24"/>
          <w:szCs w:val="24"/>
        </w:rPr>
        <w:t>BOLZANO (sent. 08.04.2024, n. 431) (doc. 19)</w:t>
      </w:r>
      <w:r>
        <w:rPr>
          <w:rFonts w:ascii="Arial" w:eastAsia="Arial" w:hAnsi="Arial" w:cs="Arial"/>
          <w:sz w:val="24"/>
          <w:szCs w:val="24"/>
        </w:rPr>
        <w:t xml:space="preserve"> ha chiarito che la separazione rilevante ai fini dell’art. 5, comma 14-quinquies, D.L. 146/2021, riguarda esclusivamente i settori del gas e dell’energia elettrica e ha preso posizione esplicita contro la tesi della separazione per via contrattuale, osservando che tale tesi “</w:t>
      </w:r>
      <w:r>
        <w:rPr>
          <w:rFonts w:ascii="Arial" w:eastAsia="Arial" w:hAnsi="Arial" w:cs="Arial"/>
          <w:i/>
          <w:iCs/>
          <w:sz w:val="24"/>
          <w:szCs w:val="24"/>
        </w:rPr>
        <w:t>parte da una premessa errata, confondendo un contratto di accesso o condivisione della rete con una separazione funzionale delle attività che non è rinvenibile nella realtà tecnica e normativa del settore TLC</w:t>
      </w:r>
      <w:r>
        <w:rPr>
          <w:rFonts w:ascii="Arial" w:eastAsia="Arial" w:hAnsi="Arial" w:cs="Arial"/>
          <w:sz w:val="24"/>
          <w:szCs w:val="24"/>
        </w:rPr>
        <w:t>”; ha ulteriormente affermato che “</w:t>
      </w:r>
      <w:r>
        <w:rPr>
          <w:rFonts w:ascii="Arial" w:eastAsia="Arial" w:hAnsi="Arial" w:cs="Arial"/>
          <w:i/>
          <w:iCs/>
          <w:sz w:val="24"/>
          <w:szCs w:val="24"/>
        </w:rPr>
        <w:t>sono soggetti passivi del canone tutti gli operatori che utilizzano, anche in via mediata, la rete del concessionario</w:t>
      </w:r>
      <w:r>
        <w:rPr>
          <w:rFonts w:ascii="Arial" w:eastAsia="Arial" w:hAnsi="Arial" w:cs="Arial"/>
          <w:sz w:val="24"/>
          <w:szCs w:val="24"/>
        </w:rPr>
        <w:t>” e che “</w:t>
      </w:r>
      <w:r>
        <w:rPr>
          <w:rFonts w:ascii="Arial" w:eastAsia="Arial" w:hAnsi="Arial" w:cs="Arial"/>
          <w:i/>
          <w:iCs/>
          <w:sz w:val="24"/>
          <w:szCs w:val="24"/>
        </w:rPr>
        <w:t>l’uso materiale dell’infrastruttura non richiede l’installazione fisica di cavi e include anche l’utilizzo virtuale, coerentemente con l’evoluzione tecnologica</w:t>
      </w:r>
      <w:r>
        <w:rPr>
          <w:rFonts w:ascii="Arial" w:eastAsia="Arial" w:hAnsi="Arial" w:cs="Arial"/>
          <w:sz w:val="24"/>
          <w:szCs w:val="24"/>
        </w:rPr>
        <w:t>”.</w:t>
      </w:r>
    </w:p>
    <w:p w14:paraId="741677AC" w14:textId="77777777" w:rsidR="00842FBA" w:rsidRPr="00842FBA" w:rsidRDefault="00842FBA" w:rsidP="00842FBA">
      <w:pPr>
        <w:spacing w:line="360" w:lineRule="auto"/>
        <w:ind w:firstLine="709"/>
        <w:jc w:val="both"/>
        <w:rPr>
          <w:rFonts w:ascii="Arial" w:hAnsi="Arial" w:cs="Arial"/>
          <w:i/>
          <w:iCs/>
          <w:kern w:val="1"/>
          <w:sz w:val="24"/>
          <w:szCs w:val="24"/>
          <w:lang w:eastAsia="ar-SA"/>
        </w:rPr>
      </w:pPr>
      <w:r>
        <w:rPr>
          <w:rFonts w:ascii="Arial" w:hAnsi="Arial" w:cs="Arial"/>
          <w:kern w:val="1"/>
          <w:sz w:val="24"/>
          <w:szCs w:val="24"/>
          <w:lang w:eastAsia="ar-SA"/>
        </w:rPr>
        <w:t xml:space="preserve">Si menziona, anche, la sentenza resa dal </w:t>
      </w:r>
      <w:r>
        <w:rPr>
          <w:rFonts w:ascii="Arial" w:hAnsi="Arial" w:cs="Arial"/>
          <w:b/>
          <w:bCs/>
          <w:kern w:val="1"/>
          <w:sz w:val="24"/>
          <w:szCs w:val="24"/>
          <w:lang w:eastAsia="ar-SA"/>
        </w:rPr>
        <w:t>Tribunale di Bolzano n. 908/2025 del 15.10.2025</w:t>
      </w:r>
      <w:r>
        <w:rPr>
          <w:rFonts w:ascii="Arial" w:hAnsi="Arial" w:cs="Arial"/>
          <w:kern w:val="1"/>
          <w:sz w:val="24"/>
          <w:szCs w:val="24"/>
          <w:lang w:eastAsia="ar-SA"/>
        </w:rPr>
        <w:t xml:space="preserve">, che si produce </w:t>
      </w:r>
      <w:r>
        <w:rPr>
          <w:rFonts w:ascii="Arial" w:hAnsi="Arial" w:cs="Arial"/>
          <w:b/>
          <w:bCs/>
          <w:kern w:val="1"/>
          <w:sz w:val="24"/>
          <w:szCs w:val="24"/>
          <w:lang w:eastAsia="ar-SA"/>
        </w:rPr>
        <w:t>(doc. 20)</w:t>
      </w:r>
      <w:r>
        <w:rPr>
          <w:rFonts w:ascii="Arial" w:hAnsi="Arial" w:cs="Arial"/>
          <w:kern w:val="1"/>
          <w:sz w:val="24"/>
          <w:szCs w:val="24"/>
          <w:lang w:eastAsia="ar-SA"/>
        </w:rPr>
        <w:t xml:space="preserve">, che ha precisato: </w:t>
      </w:r>
      <w:r>
        <w:rPr>
          <w:rFonts w:ascii="Arial" w:hAnsi="Arial" w:cs="Arial"/>
          <w:i/>
          <w:iCs/>
          <w:kern w:val="1"/>
          <w:sz w:val="24"/>
          <w:szCs w:val="24"/>
          <w:lang w:eastAsia="ar-SA"/>
        </w:rPr>
        <w:t>“nel settore delle telecomunicazioni, il legislatore non appare aver imposto alcuna separazione, ma anzi, in attuazione delle direttive europee settoriali, ha incentivato la condivisione delle reti (cfr. nella giurisprudenza di questo Tribunale di Bolzano le sentenze nn. 431 e 649/2024).</w:t>
      </w:r>
    </w:p>
    <w:p w14:paraId="1CFA0429" w14:textId="77777777" w:rsidR="00842FBA" w:rsidRPr="00842FBA" w:rsidRDefault="00842FBA" w:rsidP="00842FBA">
      <w:pPr>
        <w:spacing w:line="360" w:lineRule="auto"/>
        <w:ind w:firstLine="709"/>
        <w:jc w:val="both"/>
        <w:rPr>
          <w:rFonts w:ascii="Arial" w:hAnsi="Arial" w:cs="Arial"/>
          <w:kern w:val="1"/>
          <w:sz w:val="24"/>
          <w:szCs w:val="24"/>
          <w:lang w:eastAsia="ar-SA"/>
        </w:rPr>
      </w:pPr>
      <w:r>
        <w:rPr>
          <w:rFonts w:ascii="Arial" w:hAnsi="Arial" w:cs="Arial"/>
          <w:i/>
          <w:iCs/>
          <w:kern w:val="1"/>
          <w:sz w:val="24"/>
          <w:szCs w:val="24"/>
          <w:lang w:eastAsia="ar-SA"/>
        </w:rPr>
        <w:t>È, infatti, la natura stessa dell'infrastruttura ad esigere una compresenza di più operatori, che agiscono sulla stessa rete del concessionario, il quale, a sua volta, utilizza l'infrastruttura assieme ai propri ... Quindi, per la particolarità della fattispecie, il concetto della “separazione” deve ritenersi applicabile a casistiche differenti rispetto a quella di cui è causa, come i settori del gas e dell’energia elettrica</w:t>
      </w:r>
      <w:r>
        <w:rPr>
          <w:rFonts w:ascii="Arial" w:hAnsi="Arial" w:cs="Arial"/>
          <w:kern w:val="1"/>
          <w:sz w:val="24"/>
          <w:szCs w:val="24"/>
          <w:lang w:eastAsia="ar-SA"/>
        </w:rPr>
        <w:t>."</w:t>
      </w:r>
    </w:p>
    <w:p w14:paraId="3E7E6A58" w14:textId="77777777" w:rsidR="00842FBA" w:rsidRPr="00842FBA" w:rsidRDefault="00842FBA" w:rsidP="00842FBA">
      <w:pPr>
        <w:spacing w:line="360" w:lineRule="auto"/>
        <w:ind w:firstLine="709"/>
        <w:jc w:val="both"/>
        <w:rPr>
          <w:rFonts w:ascii="Arial" w:hAnsi="Arial" w:cs="Arial"/>
          <w:kern w:val="1"/>
          <w:sz w:val="24"/>
          <w:szCs w:val="24"/>
          <w:lang w:eastAsia="ar-SA"/>
        </w:rPr>
      </w:pPr>
      <w:r>
        <w:rPr>
          <w:rFonts w:ascii="Arial" w:hAnsi="Arial" w:cs="Arial"/>
          <w:kern w:val="1"/>
          <w:sz w:val="24"/>
          <w:szCs w:val="24"/>
          <w:lang w:eastAsia="ar-SA"/>
        </w:rPr>
        <w:t>Tale sentenza è stata preceduta già da:</w:t>
      </w:r>
    </w:p>
    <w:p w14:paraId="12C27675" w14:textId="77777777" w:rsidR="00842FBA" w:rsidRPr="00842FBA" w:rsidRDefault="00842FBA" w:rsidP="00842FBA">
      <w:pPr>
        <w:spacing w:line="360" w:lineRule="auto"/>
        <w:ind w:firstLine="709"/>
        <w:jc w:val="both"/>
        <w:rPr>
          <w:rFonts w:ascii="Arial" w:hAnsi="Arial" w:cs="Arial"/>
          <w:kern w:val="1"/>
          <w:sz w:val="24"/>
          <w:szCs w:val="24"/>
          <w:lang w:eastAsia="ar-SA"/>
        </w:rPr>
      </w:pPr>
      <w:r>
        <w:rPr>
          <w:rFonts w:ascii="Arial" w:hAnsi="Arial" w:cs="Arial"/>
          <w:kern w:val="1"/>
          <w:sz w:val="24"/>
          <w:szCs w:val="24"/>
          <w:lang w:eastAsia="ar-SA"/>
        </w:rPr>
        <w:t>- Tribunale di Bolzano Sentenza N. 431/2024</w:t>
      </w:r>
    </w:p>
    <w:p w14:paraId="49471ABB" w14:textId="77777777" w:rsidR="00842FBA" w:rsidRPr="00842FBA" w:rsidRDefault="00842FBA" w:rsidP="00842FBA">
      <w:pPr>
        <w:spacing w:line="360" w:lineRule="auto"/>
        <w:ind w:firstLine="709"/>
        <w:jc w:val="both"/>
        <w:rPr>
          <w:rFonts w:ascii="Arial" w:hAnsi="Arial" w:cs="Arial"/>
          <w:kern w:val="1"/>
          <w:sz w:val="24"/>
          <w:szCs w:val="24"/>
          <w:lang w:eastAsia="ar-SA"/>
        </w:rPr>
      </w:pPr>
      <w:bookmarkStart w:id="1" w:name="m_4538845636176179816_m_-648566957053672"/>
      <w:r>
        <w:rPr>
          <w:rFonts w:ascii="Arial" w:hAnsi="Arial" w:cs="Arial"/>
          <w:kern w:val="1"/>
          <w:sz w:val="24"/>
          <w:szCs w:val="24"/>
          <w:lang w:eastAsia="ar-SA"/>
        </w:rPr>
        <w:t>- Tribunale di Bolzano Sentenza N. 649/2024</w:t>
      </w:r>
      <w:bookmarkEnd w:id="1"/>
    </w:p>
    <w:p w14:paraId="47D94290" w14:textId="77777777" w:rsidR="00842FBA" w:rsidRPr="00842FBA" w:rsidRDefault="00842FBA" w:rsidP="00842FBA">
      <w:pPr>
        <w:spacing w:line="360" w:lineRule="auto"/>
        <w:ind w:firstLine="709"/>
        <w:jc w:val="both"/>
        <w:rPr>
          <w:rFonts w:ascii="Arial" w:hAnsi="Arial" w:cs="Arial"/>
          <w:kern w:val="1"/>
          <w:sz w:val="24"/>
          <w:szCs w:val="24"/>
          <w:lang w:eastAsia="ar-SA"/>
        </w:rPr>
      </w:pPr>
      <w:r>
        <w:rPr>
          <w:rFonts w:ascii="Arial" w:hAnsi="Arial" w:cs="Arial"/>
          <w:kern w:val="1"/>
          <w:sz w:val="24"/>
          <w:szCs w:val="24"/>
          <w:lang w:eastAsia="ar-SA"/>
        </w:rPr>
        <w:t>- Tribunale di Padova Sentenza N. 1341/2024</w:t>
      </w:r>
    </w:p>
    <w:p w14:paraId="74DB64DA" w14:textId="77777777" w:rsidR="00842FBA" w:rsidRPr="00842FBA" w:rsidRDefault="00842FBA" w:rsidP="00842FBA">
      <w:pPr>
        <w:shd w:val="clear" w:color="auto" w:fill="FFFFFF"/>
        <w:spacing w:line="360" w:lineRule="auto"/>
        <w:ind w:firstLine="709"/>
        <w:jc w:val="both"/>
        <w:rPr>
          <w:rFonts w:ascii="Arial" w:hAnsi="Arial" w:cs="Arial"/>
          <w:kern w:val="1"/>
          <w:sz w:val="24"/>
          <w:szCs w:val="24"/>
          <w:lang w:eastAsia="ar-SA"/>
        </w:rPr>
      </w:pPr>
      <w:r>
        <w:rPr>
          <w:rFonts w:ascii="Arial" w:hAnsi="Arial" w:cs="Arial"/>
          <w:kern w:val="1"/>
          <w:sz w:val="24"/>
          <w:szCs w:val="24"/>
          <w:lang w:eastAsia="ar-SA"/>
        </w:rPr>
        <w:t>- Giudice di Pace di Treviso Sentenza N. 1409/2023</w:t>
      </w:r>
    </w:p>
    <w:p w14:paraId="1FB8F788" w14:textId="77777777" w:rsidR="00842FBA" w:rsidRPr="00842FBA" w:rsidRDefault="00842FBA" w:rsidP="00842FBA">
      <w:pPr>
        <w:shd w:val="clear" w:color="auto" w:fill="FFFFFF"/>
        <w:spacing w:line="360" w:lineRule="auto"/>
        <w:ind w:firstLine="709"/>
        <w:jc w:val="both"/>
        <w:rPr>
          <w:rFonts w:ascii="Arial" w:hAnsi="Arial" w:cs="Arial"/>
          <w:kern w:val="1"/>
          <w:sz w:val="24"/>
          <w:szCs w:val="24"/>
          <w:lang w:eastAsia="ar-SA"/>
        </w:rPr>
      </w:pPr>
      <w:r>
        <w:rPr>
          <w:rFonts w:ascii="Arial" w:hAnsi="Arial" w:cs="Arial"/>
          <w:kern w:val="1"/>
          <w:sz w:val="24"/>
          <w:szCs w:val="24"/>
          <w:lang w:eastAsia="ar-SA"/>
        </w:rPr>
        <w:t>- Giudice di Pace di Treviso Sentenza N. 1410/2023</w:t>
      </w:r>
    </w:p>
    <w:p w14:paraId="15FCEB4F" w14:textId="77777777" w:rsidR="00842FBA" w:rsidRPr="00842FBA" w:rsidRDefault="00842FBA" w:rsidP="00842FBA">
      <w:pPr>
        <w:shd w:val="clear" w:color="auto" w:fill="FFFFFF"/>
        <w:spacing w:line="360" w:lineRule="auto"/>
        <w:ind w:firstLine="709"/>
        <w:jc w:val="both"/>
        <w:rPr>
          <w:rFonts w:ascii="Arial" w:hAnsi="Arial" w:cs="Arial"/>
          <w:kern w:val="1"/>
          <w:sz w:val="24"/>
          <w:szCs w:val="24"/>
          <w:lang w:eastAsia="ar-SA"/>
        </w:rPr>
      </w:pPr>
      <w:r>
        <w:rPr>
          <w:rFonts w:ascii="Arial" w:hAnsi="Arial" w:cs="Arial"/>
          <w:kern w:val="1"/>
          <w:sz w:val="24"/>
          <w:szCs w:val="24"/>
          <w:lang w:eastAsia="ar-SA"/>
        </w:rPr>
        <w:t>- Giudice di Pace di Treviso Sentenza N. 1407/2023</w:t>
      </w:r>
    </w:p>
    <w:p w14:paraId="22DBF371" w14:textId="77777777" w:rsidR="00842FBA" w:rsidRPr="00842FBA" w:rsidRDefault="00842FBA" w:rsidP="00842FBA">
      <w:pPr>
        <w:shd w:val="clear" w:color="auto" w:fill="FFFFFF"/>
        <w:spacing w:line="360" w:lineRule="auto"/>
        <w:ind w:firstLine="709"/>
        <w:jc w:val="both"/>
        <w:rPr>
          <w:rFonts w:ascii="Arial" w:hAnsi="Arial" w:cs="Arial"/>
          <w:kern w:val="1"/>
          <w:sz w:val="24"/>
          <w:szCs w:val="24"/>
          <w:lang w:eastAsia="ar-SA"/>
        </w:rPr>
      </w:pPr>
      <w:r>
        <w:rPr>
          <w:rFonts w:ascii="Arial" w:hAnsi="Arial" w:cs="Arial"/>
          <w:kern w:val="1"/>
          <w:sz w:val="24"/>
          <w:szCs w:val="24"/>
          <w:lang w:eastAsia="ar-SA"/>
        </w:rPr>
        <w:t>- Giudice di Pace di Treviso Sentenza N. 1411/2023</w:t>
      </w:r>
    </w:p>
    <w:p w14:paraId="6B17034D" w14:textId="77777777" w:rsidR="00842FBA" w:rsidRPr="00842FBA" w:rsidRDefault="00842FBA" w:rsidP="00842FBA">
      <w:pPr>
        <w:shd w:val="clear" w:color="auto" w:fill="FFFFFF"/>
        <w:spacing w:line="360" w:lineRule="auto"/>
        <w:ind w:firstLine="709"/>
        <w:jc w:val="both"/>
        <w:rPr>
          <w:rFonts w:ascii="Arial" w:hAnsi="Arial" w:cs="Arial"/>
          <w:kern w:val="1"/>
          <w:sz w:val="24"/>
          <w:szCs w:val="24"/>
          <w:lang w:eastAsia="ar-SA"/>
        </w:rPr>
      </w:pPr>
      <w:r>
        <w:rPr>
          <w:rFonts w:ascii="Arial" w:hAnsi="Arial" w:cs="Arial"/>
          <w:kern w:val="1"/>
          <w:sz w:val="24"/>
          <w:szCs w:val="24"/>
          <w:lang w:eastAsia="ar-SA"/>
        </w:rPr>
        <w:t>- Giudice di Pace di Treviso Sentenza N. 1414/2023</w:t>
      </w:r>
    </w:p>
    <w:p w14:paraId="6CE68539" w14:textId="77777777" w:rsidR="00842FBA" w:rsidRPr="00842FBA" w:rsidRDefault="00842FBA" w:rsidP="00842FBA">
      <w:pPr>
        <w:shd w:val="clear" w:color="auto" w:fill="FFFFFF"/>
        <w:spacing w:line="360" w:lineRule="auto"/>
        <w:ind w:firstLine="709"/>
        <w:jc w:val="both"/>
        <w:rPr>
          <w:rFonts w:ascii="Arial" w:hAnsi="Arial" w:cs="Arial"/>
          <w:kern w:val="1"/>
          <w:sz w:val="24"/>
          <w:szCs w:val="24"/>
          <w:lang w:eastAsia="ar-SA"/>
        </w:rPr>
      </w:pPr>
      <w:r>
        <w:rPr>
          <w:rFonts w:ascii="Arial" w:hAnsi="Arial" w:cs="Arial"/>
          <w:kern w:val="1"/>
          <w:sz w:val="24"/>
          <w:szCs w:val="24"/>
          <w:lang w:eastAsia="ar-SA"/>
        </w:rPr>
        <w:t>- Giudice di Pace di Treviso Sentenza N. 167/2024</w:t>
      </w:r>
    </w:p>
    <w:p w14:paraId="6291DD42" w14:textId="77777777" w:rsidR="00842FBA" w:rsidRPr="00842FBA" w:rsidRDefault="00842FBA" w:rsidP="00842FBA">
      <w:pPr>
        <w:shd w:val="clear" w:color="auto" w:fill="FFFFFF"/>
        <w:spacing w:line="360" w:lineRule="auto"/>
        <w:ind w:firstLine="709"/>
        <w:jc w:val="both"/>
        <w:rPr>
          <w:rFonts w:ascii="Arial" w:hAnsi="Arial" w:cs="Arial"/>
          <w:kern w:val="1"/>
          <w:sz w:val="24"/>
          <w:szCs w:val="24"/>
          <w:lang w:eastAsia="ar-SA"/>
        </w:rPr>
      </w:pPr>
      <w:r>
        <w:rPr>
          <w:rFonts w:ascii="Arial" w:hAnsi="Arial" w:cs="Arial"/>
          <w:kern w:val="1"/>
          <w:sz w:val="24"/>
          <w:szCs w:val="24"/>
          <w:lang w:eastAsia="ar-SA"/>
        </w:rPr>
        <w:t>- Giudice di Pace di Treviso Sentenza N. 168/2024</w:t>
      </w:r>
    </w:p>
    <w:p w14:paraId="10E20911" w14:textId="77777777" w:rsidR="00842FBA" w:rsidRPr="00842FBA" w:rsidRDefault="00842FBA" w:rsidP="00842FBA">
      <w:pPr>
        <w:shd w:val="clear" w:color="auto" w:fill="FFFFFF"/>
        <w:spacing w:line="360" w:lineRule="auto"/>
        <w:ind w:firstLine="709"/>
        <w:jc w:val="both"/>
        <w:rPr>
          <w:rFonts w:ascii="Arial" w:hAnsi="Arial" w:cs="Arial"/>
          <w:kern w:val="1"/>
          <w:sz w:val="24"/>
          <w:szCs w:val="24"/>
          <w:lang w:eastAsia="ar-SA"/>
        </w:rPr>
      </w:pPr>
      <w:r>
        <w:rPr>
          <w:rFonts w:ascii="Arial" w:hAnsi="Arial" w:cs="Arial"/>
          <w:kern w:val="1"/>
          <w:sz w:val="24"/>
          <w:szCs w:val="24"/>
          <w:lang w:eastAsia="ar-SA"/>
        </w:rPr>
        <w:t>- Giudice di Pace di Treviso Sentenza N. 294/2024</w:t>
      </w:r>
    </w:p>
    <w:p w14:paraId="4A828DB8" w14:textId="77777777" w:rsidR="00842FBA" w:rsidRPr="00842FBA" w:rsidRDefault="00842FBA" w:rsidP="00842FBA">
      <w:pPr>
        <w:shd w:val="clear" w:color="auto" w:fill="FFFFFF"/>
        <w:spacing w:line="360" w:lineRule="auto"/>
        <w:ind w:firstLine="709"/>
        <w:jc w:val="both"/>
        <w:rPr>
          <w:rFonts w:ascii="Arial" w:hAnsi="Arial" w:cs="Arial"/>
          <w:kern w:val="1"/>
          <w:sz w:val="24"/>
          <w:szCs w:val="24"/>
          <w:lang w:eastAsia="ar-SA"/>
        </w:rPr>
      </w:pPr>
      <w:r>
        <w:rPr>
          <w:rFonts w:ascii="Arial" w:hAnsi="Arial" w:cs="Arial"/>
          <w:kern w:val="1"/>
          <w:sz w:val="24"/>
          <w:szCs w:val="24"/>
          <w:lang w:eastAsia="ar-SA"/>
        </w:rPr>
        <w:t>- Giudice di Pace di Treviso RG 5618/2023</w:t>
      </w:r>
    </w:p>
    <w:p w14:paraId="0D839CB2" w14:textId="77777777" w:rsidR="00842FBA" w:rsidRPr="00842FBA" w:rsidRDefault="00842FBA" w:rsidP="00842FBA">
      <w:pPr>
        <w:shd w:val="clear" w:color="auto" w:fill="FFFFFF"/>
        <w:spacing w:line="360" w:lineRule="auto"/>
        <w:ind w:firstLine="709"/>
        <w:jc w:val="both"/>
        <w:rPr>
          <w:rFonts w:ascii="Arial" w:hAnsi="Arial" w:cs="Arial"/>
          <w:kern w:val="1"/>
          <w:sz w:val="24"/>
          <w:szCs w:val="24"/>
          <w:lang w:eastAsia="ar-SA"/>
        </w:rPr>
      </w:pPr>
      <w:r>
        <w:rPr>
          <w:rFonts w:ascii="Arial" w:hAnsi="Arial" w:cs="Arial"/>
          <w:kern w:val="1"/>
          <w:sz w:val="24"/>
          <w:szCs w:val="24"/>
          <w:lang w:eastAsia="ar-SA"/>
        </w:rPr>
        <w:t>- Giudice di Pace di Treviso RG 5744/2023</w:t>
      </w:r>
    </w:p>
    <w:p w14:paraId="0D1F0BC5" w14:textId="77777777" w:rsidR="00842FBA" w:rsidRPr="00842FBA" w:rsidRDefault="00842FBA" w:rsidP="00842FBA">
      <w:pPr>
        <w:shd w:val="clear" w:color="auto" w:fill="FFFFFF"/>
        <w:spacing w:line="360" w:lineRule="auto"/>
        <w:ind w:firstLine="709"/>
        <w:jc w:val="both"/>
        <w:rPr>
          <w:rFonts w:ascii="Arial" w:hAnsi="Arial" w:cs="Arial"/>
          <w:kern w:val="1"/>
          <w:sz w:val="24"/>
          <w:szCs w:val="24"/>
          <w:lang w:eastAsia="ar-SA"/>
        </w:rPr>
      </w:pPr>
      <w:r>
        <w:rPr>
          <w:rFonts w:ascii="Arial" w:hAnsi="Arial" w:cs="Arial"/>
          <w:kern w:val="1"/>
          <w:sz w:val="24"/>
          <w:szCs w:val="24"/>
          <w:lang w:eastAsia="ar-SA"/>
        </w:rPr>
        <w:lastRenderedPageBreak/>
        <w:t>- Giudice di Pace di Treviso RG 5434/2023</w:t>
      </w:r>
    </w:p>
    <w:p w14:paraId="7B133365" w14:textId="77777777" w:rsidR="00842FBA" w:rsidRPr="00842FBA" w:rsidRDefault="00842FBA" w:rsidP="00842FBA">
      <w:pPr>
        <w:shd w:val="clear" w:color="auto" w:fill="FFFFFF"/>
        <w:spacing w:line="360" w:lineRule="auto"/>
        <w:ind w:firstLine="709"/>
        <w:jc w:val="both"/>
        <w:rPr>
          <w:rFonts w:ascii="Arial" w:hAnsi="Arial" w:cs="Arial"/>
          <w:kern w:val="1"/>
          <w:sz w:val="24"/>
          <w:szCs w:val="24"/>
          <w:lang w:eastAsia="ar-SA"/>
        </w:rPr>
      </w:pPr>
      <w:r>
        <w:rPr>
          <w:rFonts w:ascii="Arial" w:hAnsi="Arial" w:cs="Arial"/>
          <w:kern w:val="1"/>
          <w:sz w:val="24"/>
          <w:szCs w:val="24"/>
          <w:lang w:eastAsia="ar-SA"/>
        </w:rPr>
        <w:t>- Giudice di Pace di Padova Sentenza N. 1511/2023</w:t>
      </w:r>
    </w:p>
    <w:p w14:paraId="2AA797B0" w14:textId="77777777" w:rsidR="00842FBA" w:rsidRPr="00842FBA" w:rsidRDefault="00842FBA" w:rsidP="00842FBA">
      <w:pPr>
        <w:shd w:val="clear" w:color="auto" w:fill="FFFFFF"/>
        <w:spacing w:line="360" w:lineRule="auto"/>
        <w:ind w:firstLine="709"/>
        <w:jc w:val="both"/>
        <w:rPr>
          <w:rFonts w:ascii="Arial" w:hAnsi="Arial" w:cs="Arial"/>
          <w:kern w:val="1"/>
          <w:sz w:val="24"/>
          <w:szCs w:val="24"/>
          <w:lang w:eastAsia="ar-SA"/>
        </w:rPr>
      </w:pPr>
      <w:r>
        <w:rPr>
          <w:rFonts w:ascii="Arial" w:hAnsi="Arial" w:cs="Arial"/>
          <w:kern w:val="1"/>
          <w:sz w:val="24"/>
          <w:szCs w:val="24"/>
          <w:lang w:eastAsia="ar-SA"/>
        </w:rPr>
        <w:t>- Giudice di Pace di Padova Sentenza N. 1550/2023</w:t>
      </w:r>
    </w:p>
    <w:p w14:paraId="7A730749" w14:textId="77777777" w:rsidR="00842FBA" w:rsidRPr="00842FBA" w:rsidRDefault="00842FBA" w:rsidP="00842FBA">
      <w:pPr>
        <w:shd w:val="clear" w:color="auto" w:fill="FFFFFF"/>
        <w:spacing w:line="360" w:lineRule="auto"/>
        <w:ind w:firstLine="709"/>
        <w:jc w:val="both"/>
        <w:rPr>
          <w:rFonts w:ascii="Arial" w:hAnsi="Arial" w:cs="Arial"/>
          <w:kern w:val="1"/>
          <w:sz w:val="24"/>
          <w:szCs w:val="24"/>
          <w:lang w:eastAsia="ar-SA"/>
        </w:rPr>
      </w:pPr>
      <w:r>
        <w:rPr>
          <w:rFonts w:ascii="Arial" w:hAnsi="Arial" w:cs="Arial"/>
          <w:kern w:val="1"/>
          <w:sz w:val="24"/>
          <w:szCs w:val="24"/>
          <w:lang w:eastAsia="ar-SA"/>
        </w:rPr>
        <w:t>- Giudice di Pace di Padova Sentenza N. 454/2024</w:t>
      </w:r>
    </w:p>
    <w:p w14:paraId="29EB7F3F" w14:textId="77777777" w:rsidR="00842FBA" w:rsidRPr="00842FBA" w:rsidRDefault="00842FBA" w:rsidP="00842FBA">
      <w:pPr>
        <w:shd w:val="clear" w:color="auto" w:fill="FFFFFF"/>
        <w:spacing w:line="360" w:lineRule="auto"/>
        <w:ind w:firstLine="709"/>
        <w:jc w:val="both"/>
        <w:rPr>
          <w:rFonts w:ascii="Arial" w:hAnsi="Arial" w:cs="Arial"/>
          <w:kern w:val="1"/>
          <w:sz w:val="24"/>
          <w:szCs w:val="24"/>
          <w:lang w:eastAsia="ar-SA"/>
        </w:rPr>
      </w:pPr>
      <w:r>
        <w:rPr>
          <w:rFonts w:ascii="Arial" w:hAnsi="Arial" w:cs="Arial"/>
          <w:kern w:val="1"/>
          <w:sz w:val="24"/>
          <w:szCs w:val="24"/>
          <w:lang w:eastAsia="ar-SA"/>
        </w:rPr>
        <w:t>- Giudice di Pace di Padova Sentenza N. 6795/2024</w:t>
      </w:r>
    </w:p>
    <w:p w14:paraId="4A7D53CD" w14:textId="77777777" w:rsidR="00842FBA" w:rsidRPr="00842FBA" w:rsidRDefault="00842FBA" w:rsidP="00842FBA">
      <w:pPr>
        <w:shd w:val="clear" w:color="auto" w:fill="FFFFFF"/>
        <w:spacing w:line="360" w:lineRule="auto"/>
        <w:ind w:firstLine="709"/>
        <w:jc w:val="both"/>
        <w:rPr>
          <w:rFonts w:ascii="Arial" w:hAnsi="Arial" w:cs="Arial"/>
          <w:kern w:val="1"/>
          <w:sz w:val="24"/>
          <w:szCs w:val="24"/>
          <w:lang w:eastAsia="ar-SA"/>
        </w:rPr>
      </w:pPr>
      <w:r>
        <w:rPr>
          <w:rFonts w:ascii="Arial" w:hAnsi="Arial" w:cs="Arial"/>
          <w:kern w:val="1"/>
          <w:sz w:val="24"/>
          <w:szCs w:val="24"/>
          <w:lang w:eastAsia="ar-SA"/>
        </w:rPr>
        <w:t>- Giudice di Pace di Padova Sentenza N. 1058/2024</w:t>
      </w:r>
    </w:p>
    <w:p w14:paraId="4504B6FD" w14:textId="77777777" w:rsidR="00842FBA" w:rsidRPr="00842FBA" w:rsidRDefault="00842FBA" w:rsidP="00842FBA">
      <w:pPr>
        <w:shd w:val="clear" w:color="auto" w:fill="FFFFFF"/>
        <w:spacing w:line="360" w:lineRule="auto"/>
        <w:ind w:firstLine="709"/>
        <w:jc w:val="both"/>
        <w:rPr>
          <w:rFonts w:ascii="Arial" w:hAnsi="Arial" w:cs="Arial"/>
          <w:kern w:val="1"/>
          <w:sz w:val="24"/>
          <w:szCs w:val="24"/>
          <w:lang w:eastAsia="ar-SA"/>
        </w:rPr>
      </w:pPr>
      <w:r>
        <w:rPr>
          <w:rFonts w:ascii="Arial" w:hAnsi="Arial" w:cs="Arial"/>
          <w:kern w:val="1"/>
          <w:sz w:val="24"/>
          <w:szCs w:val="24"/>
          <w:lang w:eastAsia="ar-SA"/>
        </w:rPr>
        <w:t>- Giudice di Pace di Padova RG 5385/2023</w:t>
      </w:r>
    </w:p>
    <w:p w14:paraId="60ECE7BE" w14:textId="77777777" w:rsidR="00842FBA" w:rsidRPr="00842FBA" w:rsidRDefault="00842FBA" w:rsidP="00842FBA">
      <w:pPr>
        <w:shd w:val="clear" w:color="auto" w:fill="FFFFFF"/>
        <w:spacing w:line="360" w:lineRule="auto"/>
        <w:ind w:firstLine="709"/>
        <w:jc w:val="both"/>
        <w:rPr>
          <w:rFonts w:ascii="Arial" w:hAnsi="Arial" w:cs="Arial"/>
          <w:kern w:val="1"/>
          <w:sz w:val="24"/>
          <w:szCs w:val="24"/>
          <w:lang w:eastAsia="ar-SA"/>
        </w:rPr>
      </w:pPr>
      <w:r>
        <w:rPr>
          <w:rFonts w:ascii="Arial" w:hAnsi="Arial" w:cs="Arial"/>
          <w:kern w:val="1"/>
          <w:sz w:val="24"/>
          <w:szCs w:val="24"/>
          <w:lang w:eastAsia="ar-SA"/>
        </w:rPr>
        <w:t>- Giudice di Pace di Padova RG 4099/2023</w:t>
      </w:r>
    </w:p>
    <w:p w14:paraId="7B834A13" w14:textId="77777777" w:rsidR="00842FBA" w:rsidRPr="00842FBA" w:rsidRDefault="00842FBA" w:rsidP="00842FBA">
      <w:pPr>
        <w:shd w:val="clear" w:color="auto" w:fill="FFFFFF"/>
        <w:spacing w:line="360" w:lineRule="auto"/>
        <w:ind w:firstLine="709"/>
        <w:jc w:val="both"/>
        <w:rPr>
          <w:rFonts w:ascii="Arial" w:hAnsi="Arial" w:cs="Arial"/>
          <w:kern w:val="1"/>
          <w:sz w:val="24"/>
          <w:szCs w:val="24"/>
          <w:lang w:eastAsia="ar-SA"/>
        </w:rPr>
      </w:pPr>
      <w:r>
        <w:rPr>
          <w:rFonts w:ascii="Arial" w:hAnsi="Arial" w:cs="Arial"/>
          <w:kern w:val="1"/>
          <w:sz w:val="24"/>
          <w:szCs w:val="24"/>
          <w:lang w:eastAsia="ar-SA"/>
        </w:rPr>
        <w:t>- Giudice di Pace di Rovigo Sentenza N. 665/2023</w:t>
      </w:r>
    </w:p>
    <w:p w14:paraId="76BDA3E0" w14:textId="77777777" w:rsidR="00842FBA" w:rsidRPr="00842FBA" w:rsidRDefault="00842FBA" w:rsidP="00842FBA">
      <w:pPr>
        <w:shd w:val="clear" w:color="auto" w:fill="FFFFFF"/>
        <w:spacing w:line="360" w:lineRule="auto"/>
        <w:ind w:firstLine="709"/>
        <w:jc w:val="both"/>
        <w:rPr>
          <w:rFonts w:ascii="Arial" w:hAnsi="Arial" w:cs="Arial"/>
          <w:kern w:val="1"/>
          <w:sz w:val="24"/>
          <w:szCs w:val="24"/>
          <w:lang w:eastAsia="ar-SA"/>
        </w:rPr>
      </w:pPr>
      <w:r>
        <w:rPr>
          <w:rFonts w:ascii="Arial" w:hAnsi="Arial" w:cs="Arial"/>
          <w:kern w:val="1"/>
          <w:sz w:val="24"/>
          <w:szCs w:val="24"/>
          <w:lang w:eastAsia="ar-SA"/>
        </w:rPr>
        <w:t>- Giudice di Pace di Rovigo Sentenza N. 666/2023</w:t>
      </w:r>
    </w:p>
    <w:p w14:paraId="6444B4A5" w14:textId="77777777" w:rsidR="00842FBA" w:rsidRPr="00842FBA" w:rsidRDefault="00842FBA" w:rsidP="00842FBA">
      <w:pPr>
        <w:shd w:val="clear" w:color="auto" w:fill="FFFFFF"/>
        <w:spacing w:line="360" w:lineRule="auto"/>
        <w:ind w:firstLine="709"/>
        <w:jc w:val="both"/>
        <w:rPr>
          <w:rFonts w:ascii="Arial" w:hAnsi="Arial" w:cs="Arial"/>
          <w:kern w:val="1"/>
          <w:sz w:val="24"/>
          <w:szCs w:val="24"/>
          <w:lang w:eastAsia="ar-SA"/>
        </w:rPr>
      </w:pPr>
      <w:r>
        <w:rPr>
          <w:rFonts w:ascii="Arial" w:hAnsi="Arial" w:cs="Arial"/>
          <w:kern w:val="1"/>
          <w:sz w:val="24"/>
          <w:szCs w:val="24"/>
          <w:lang w:eastAsia="ar-SA"/>
        </w:rPr>
        <w:t>- Giudice di Pace di Rovigo RG 5588/2023</w:t>
      </w:r>
    </w:p>
    <w:p w14:paraId="3AD309EA" w14:textId="77777777" w:rsidR="00842FBA" w:rsidRPr="00842FBA" w:rsidRDefault="00842FBA" w:rsidP="00842FBA">
      <w:pPr>
        <w:shd w:val="clear" w:color="auto" w:fill="FFFFFF"/>
        <w:spacing w:line="360" w:lineRule="auto"/>
        <w:ind w:firstLine="709"/>
        <w:jc w:val="both"/>
        <w:rPr>
          <w:rFonts w:ascii="Arial" w:hAnsi="Arial" w:cs="Arial"/>
          <w:kern w:val="1"/>
          <w:sz w:val="24"/>
          <w:szCs w:val="24"/>
          <w:lang w:eastAsia="ar-SA"/>
        </w:rPr>
      </w:pPr>
      <w:r>
        <w:rPr>
          <w:rFonts w:ascii="Arial" w:hAnsi="Arial" w:cs="Arial"/>
          <w:kern w:val="1"/>
          <w:sz w:val="24"/>
          <w:szCs w:val="24"/>
          <w:lang w:eastAsia="ar-SA"/>
        </w:rPr>
        <w:t>- Giudice di Pace di Rovigo RG 5949/2023</w:t>
      </w:r>
    </w:p>
    <w:p w14:paraId="4D302608" w14:textId="77777777" w:rsidR="00842FBA" w:rsidRPr="00842FBA" w:rsidRDefault="00842FBA" w:rsidP="00842FBA">
      <w:pPr>
        <w:shd w:val="clear" w:color="auto" w:fill="FFFFFF"/>
        <w:spacing w:line="360" w:lineRule="auto"/>
        <w:ind w:firstLine="709"/>
        <w:jc w:val="both"/>
        <w:rPr>
          <w:rFonts w:ascii="Arial" w:hAnsi="Arial" w:cs="Arial"/>
          <w:kern w:val="1"/>
          <w:sz w:val="24"/>
          <w:szCs w:val="24"/>
          <w:lang w:eastAsia="ar-SA"/>
        </w:rPr>
      </w:pPr>
      <w:r>
        <w:rPr>
          <w:rFonts w:ascii="Arial" w:hAnsi="Arial" w:cs="Arial"/>
          <w:kern w:val="1"/>
          <w:sz w:val="24"/>
          <w:szCs w:val="24"/>
          <w:lang w:eastAsia="ar-SA"/>
        </w:rPr>
        <w:t>- Giudice di Pace di Rovigo Sentenza N. 219/2024</w:t>
      </w:r>
    </w:p>
    <w:p w14:paraId="4B2FDA72" w14:textId="77777777" w:rsidR="00842FBA" w:rsidRPr="00842FBA" w:rsidRDefault="00842FBA" w:rsidP="00842FBA">
      <w:pPr>
        <w:shd w:val="clear" w:color="auto" w:fill="FFFFFF"/>
        <w:spacing w:line="360" w:lineRule="auto"/>
        <w:ind w:firstLine="709"/>
        <w:jc w:val="both"/>
        <w:rPr>
          <w:rFonts w:ascii="Arial" w:hAnsi="Arial" w:cs="Arial"/>
          <w:kern w:val="1"/>
          <w:sz w:val="24"/>
          <w:szCs w:val="24"/>
          <w:lang w:eastAsia="ar-SA"/>
        </w:rPr>
      </w:pPr>
      <w:r>
        <w:rPr>
          <w:rFonts w:ascii="Arial" w:hAnsi="Arial" w:cs="Arial"/>
          <w:kern w:val="1"/>
          <w:sz w:val="24"/>
          <w:szCs w:val="24"/>
          <w:lang w:eastAsia="ar-SA"/>
        </w:rPr>
        <w:t>- Giudice di Pace di Viterbo RG 1716/2023</w:t>
      </w:r>
    </w:p>
    <w:p w14:paraId="05DC2394" w14:textId="77777777" w:rsidR="00842FBA" w:rsidRPr="00842FBA" w:rsidRDefault="00842FBA" w:rsidP="00842FBA">
      <w:pPr>
        <w:shd w:val="clear" w:color="auto" w:fill="FFFFFF"/>
        <w:spacing w:line="360" w:lineRule="auto"/>
        <w:ind w:firstLine="709"/>
        <w:jc w:val="both"/>
        <w:rPr>
          <w:rFonts w:ascii="Arial" w:hAnsi="Arial" w:cs="Arial"/>
          <w:kern w:val="1"/>
          <w:sz w:val="24"/>
          <w:szCs w:val="24"/>
          <w:lang w:eastAsia="ar-SA"/>
        </w:rPr>
      </w:pPr>
      <w:r>
        <w:rPr>
          <w:rFonts w:ascii="Arial" w:hAnsi="Arial" w:cs="Arial"/>
          <w:kern w:val="1"/>
          <w:sz w:val="24"/>
          <w:szCs w:val="24"/>
          <w:lang w:eastAsia="ar-SA"/>
        </w:rPr>
        <w:t>- Giudice di Pace di Ancona Sentenza N. 80/2024</w:t>
      </w:r>
    </w:p>
    <w:p w14:paraId="694DA846" w14:textId="77777777" w:rsidR="00842FBA" w:rsidRPr="00842FBA" w:rsidRDefault="00842FBA" w:rsidP="00842FBA">
      <w:pPr>
        <w:shd w:val="clear" w:color="auto" w:fill="FFFFFF"/>
        <w:spacing w:line="360" w:lineRule="auto"/>
        <w:ind w:firstLine="709"/>
        <w:jc w:val="both"/>
        <w:rPr>
          <w:rFonts w:ascii="Arial" w:hAnsi="Arial" w:cs="Arial"/>
          <w:kern w:val="1"/>
          <w:sz w:val="24"/>
          <w:szCs w:val="24"/>
          <w:lang w:eastAsia="ar-SA"/>
        </w:rPr>
      </w:pPr>
      <w:r>
        <w:rPr>
          <w:rFonts w:ascii="Arial" w:hAnsi="Arial" w:cs="Arial"/>
          <w:kern w:val="1"/>
          <w:sz w:val="24"/>
          <w:szCs w:val="24"/>
          <w:lang w:eastAsia="ar-SA"/>
        </w:rPr>
        <w:t>- Giudice di Pace di Monza RG 6910/2023</w:t>
      </w:r>
    </w:p>
    <w:p w14:paraId="633D7885" w14:textId="77777777" w:rsidR="00842FBA" w:rsidRPr="00842FBA" w:rsidRDefault="00842FBA" w:rsidP="00842FBA">
      <w:pPr>
        <w:shd w:val="clear" w:color="auto" w:fill="FFFFFF"/>
        <w:spacing w:line="360" w:lineRule="auto"/>
        <w:ind w:firstLine="709"/>
        <w:jc w:val="both"/>
        <w:rPr>
          <w:rFonts w:ascii="Arial" w:hAnsi="Arial" w:cs="Arial"/>
          <w:kern w:val="1"/>
          <w:sz w:val="24"/>
          <w:szCs w:val="24"/>
          <w:lang w:eastAsia="ar-SA"/>
        </w:rPr>
      </w:pPr>
      <w:r>
        <w:rPr>
          <w:rFonts w:ascii="Arial" w:hAnsi="Arial" w:cs="Arial"/>
          <w:kern w:val="1"/>
          <w:sz w:val="24"/>
          <w:szCs w:val="24"/>
          <w:lang w:eastAsia="ar-SA"/>
        </w:rPr>
        <w:t>- Giudice di Pace di Portoferraio Sentenza N. 17/2024</w:t>
      </w:r>
    </w:p>
    <w:p w14:paraId="48456028" w14:textId="77777777" w:rsidR="00842FBA" w:rsidRPr="00842FBA" w:rsidRDefault="00842FBA" w:rsidP="00842FBA">
      <w:pPr>
        <w:shd w:val="clear" w:color="auto" w:fill="FFFFFF"/>
        <w:spacing w:line="360" w:lineRule="auto"/>
        <w:ind w:firstLine="709"/>
        <w:jc w:val="both"/>
        <w:rPr>
          <w:rFonts w:ascii="Arial" w:eastAsia="Calibri" w:hAnsi="Arial" w:cs="Arial"/>
          <w:kern w:val="2"/>
          <w:sz w:val="24"/>
          <w:szCs w:val="24"/>
          <w:lang w:eastAsia="en-US"/>
        </w:rPr>
      </w:pPr>
      <w:r>
        <w:rPr>
          <w:rFonts w:ascii="Arial" w:eastAsia="Calibri" w:hAnsi="Arial" w:cs="Arial"/>
          <w:kern w:val="2"/>
          <w:sz w:val="24"/>
          <w:szCs w:val="24"/>
          <w:lang w:eastAsia="en-US"/>
        </w:rPr>
        <w:t>- Giudice di Pace di Parma RG 3192/2023</w:t>
      </w:r>
    </w:p>
    <w:p w14:paraId="2886B034" w14:textId="77777777" w:rsidR="00842FBA" w:rsidRPr="00842FBA" w:rsidRDefault="00842FBA" w:rsidP="00842FBA">
      <w:pPr>
        <w:shd w:val="clear" w:color="auto" w:fill="FFFFFF"/>
        <w:spacing w:line="360" w:lineRule="auto"/>
        <w:ind w:firstLine="709"/>
        <w:jc w:val="both"/>
        <w:rPr>
          <w:rFonts w:ascii="Arial" w:eastAsia="Calibri" w:hAnsi="Arial" w:cs="Arial"/>
          <w:kern w:val="2"/>
          <w:sz w:val="24"/>
          <w:szCs w:val="24"/>
          <w:lang w:eastAsia="en-US"/>
        </w:rPr>
      </w:pPr>
      <w:r>
        <w:rPr>
          <w:rFonts w:ascii="Arial" w:eastAsia="Calibri" w:hAnsi="Arial" w:cs="Arial"/>
          <w:kern w:val="2"/>
          <w:sz w:val="24"/>
          <w:szCs w:val="24"/>
          <w:lang w:eastAsia="en-US"/>
        </w:rPr>
        <w:t>- Giudice di Pace di Novara Sentenza N. 4824/2023</w:t>
      </w:r>
    </w:p>
    <w:p w14:paraId="52229447" w14:textId="77777777" w:rsidR="00842FBA" w:rsidRPr="00842FBA" w:rsidRDefault="00842FBA" w:rsidP="00842FBA">
      <w:pPr>
        <w:shd w:val="clear" w:color="auto" w:fill="FFFFFF"/>
        <w:spacing w:line="360" w:lineRule="auto"/>
        <w:ind w:firstLine="709"/>
        <w:jc w:val="both"/>
        <w:rPr>
          <w:rFonts w:ascii="Arial" w:eastAsia="Calibri" w:hAnsi="Arial" w:cs="Arial"/>
          <w:kern w:val="2"/>
          <w:sz w:val="24"/>
          <w:szCs w:val="24"/>
          <w:lang w:eastAsia="en-US"/>
        </w:rPr>
      </w:pPr>
      <w:r>
        <w:rPr>
          <w:rFonts w:ascii="Arial" w:eastAsia="Calibri" w:hAnsi="Arial" w:cs="Arial"/>
          <w:kern w:val="2"/>
          <w:sz w:val="24"/>
          <w:szCs w:val="24"/>
          <w:lang w:eastAsia="en-US"/>
        </w:rPr>
        <w:t>- Giudice di Pace di Lanciano RG 639/2023</w:t>
      </w:r>
    </w:p>
    <w:p w14:paraId="139F5C62" w14:textId="77777777" w:rsidR="00842FBA" w:rsidRPr="00842FBA" w:rsidRDefault="00842FBA" w:rsidP="00842FBA">
      <w:pPr>
        <w:shd w:val="clear" w:color="auto" w:fill="FFFFFF"/>
        <w:spacing w:line="360" w:lineRule="auto"/>
        <w:ind w:firstLine="709"/>
        <w:jc w:val="both"/>
        <w:rPr>
          <w:rFonts w:ascii="Arial" w:eastAsia="Calibri" w:hAnsi="Arial" w:cs="Arial"/>
          <w:kern w:val="2"/>
          <w:sz w:val="24"/>
          <w:szCs w:val="24"/>
          <w:lang w:eastAsia="en-US"/>
        </w:rPr>
      </w:pPr>
      <w:r>
        <w:rPr>
          <w:rFonts w:ascii="Arial" w:eastAsia="Calibri" w:hAnsi="Arial" w:cs="Arial"/>
          <w:kern w:val="2"/>
          <w:sz w:val="24"/>
          <w:szCs w:val="24"/>
          <w:lang w:eastAsia="en-US"/>
        </w:rPr>
        <w:t>- Giudice di Pace di Ivrea RG 2842/2023</w:t>
      </w:r>
    </w:p>
    <w:p w14:paraId="63A7E75A" w14:textId="77777777" w:rsidR="00842FBA" w:rsidRPr="00842FBA" w:rsidRDefault="00842FBA" w:rsidP="00842FBA">
      <w:pPr>
        <w:shd w:val="clear" w:color="auto" w:fill="FFFFFF"/>
        <w:spacing w:line="360" w:lineRule="auto"/>
        <w:ind w:firstLine="709"/>
        <w:jc w:val="both"/>
        <w:rPr>
          <w:rFonts w:ascii="Arial" w:eastAsia="Calibri" w:hAnsi="Arial" w:cs="Arial"/>
          <w:kern w:val="2"/>
          <w:sz w:val="24"/>
          <w:szCs w:val="24"/>
          <w:lang w:eastAsia="en-US"/>
        </w:rPr>
      </w:pPr>
      <w:r>
        <w:rPr>
          <w:rFonts w:ascii="Arial" w:eastAsia="Calibri" w:hAnsi="Arial" w:cs="Arial"/>
          <w:kern w:val="2"/>
          <w:sz w:val="24"/>
          <w:szCs w:val="24"/>
          <w:lang w:eastAsia="en-US"/>
        </w:rPr>
        <w:t>- Giudice di Pace di Sondrio Sentenza N. 117/2024</w:t>
      </w:r>
    </w:p>
    <w:p w14:paraId="3B635A09" w14:textId="77777777" w:rsidR="00842FBA" w:rsidRPr="00842FBA" w:rsidRDefault="00842FBA" w:rsidP="00842FBA">
      <w:pPr>
        <w:shd w:val="clear" w:color="auto" w:fill="FFFFFF"/>
        <w:spacing w:line="360" w:lineRule="auto"/>
        <w:ind w:firstLine="709"/>
        <w:jc w:val="both"/>
        <w:rPr>
          <w:rFonts w:ascii="Arial" w:eastAsia="Calibri" w:hAnsi="Arial" w:cs="Arial"/>
          <w:kern w:val="2"/>
          <w:sz w:val="24"/>
          <w:szCs w:val="24"/>
          <w:lang w:eastAsia="en-US"/>
        </w:rPr>
      </w:pPr>
      <w:r>
        <w:rPr>
          <w:rFonts w:ascii="Arial" w:eastAsia="Calibri" w:hAnsi="Arial" w:cs="Arial"/>
          <w:kern w:val="2"/>
          <w:sz w:val="24"/>
          <w:szCs w:val="24"/>
          <w:lang w:eastAsia="en-US"/>
        </w:rPr>
        <w:t>- Giudice di Pace di Belluno RG 1263/2023</w:t>
      </w:r>
    </w:p>
    <w:p w14:paraId="6D81EC26" w14:textId="77777777" w:rsidR="00260B61" w:rsidRDefault="00260B61" w:rsidP="00260B61">
      <w:pPr>
        <w:spacing w:line="360" w:lineRule="auto"/>
        <w:ind w:firstLine="708"/>
        <w:jc w:val="both"/>
        <w:rPr>
          <w:rFonts w:ascii="Arial" w:hAnsi="Arial" w:cs="Arial"/>
          <w:b/>
          <w:bCs/>
          <w:sz w:val="24"/>
          <w:szCs w:val="24"/>
          <w:u w:val="single"/>
        </w:rPr>
      </w:pPr>
      <w:r>
        <w:rPr>
          <w:rFonts w:ascii="Arial" w:hAnsi="Arial" w:cs="Arial"/>
          <w:b/>
          <w:bCs/>
          <w:sz w:val="24"/>
          <w:szCs w:val="24"/>
          <w:u w:val="single"/>
        </w:rPr>
        <w:t>Sulla pronuncia della Corte d’Appello di Venezia invocata dall’opponente.</w:t>
      </w:r>
    </w:p>
    <w:p w14:paraId="2C4D68B0" w14:textId="77777777" w:rsidR="00260B61" w:rsidRDefault="00260B61" w:rsidP="00260B61">
      <w:pPr>
        <w:spacing w:line="360" w:lineRule="auto"/>
        <w:ind w:firstLine="708"/>
        <w:jc w:val="both"/>
        <w:rPr>
          <w:rFonts w:ascii="Arial" w:hAnsi="Arial" w:cs="Arial"/>
          <w:sz w:val="24"/>
          <w:szCs w:val="24"/>
        </w:rPr>
      </w:pPr>
      <w:r>
        <w:rPr>
          <w:rFonts w:ascii="Arial" w:hAnsi="Arial" w:cs="Arial"/>
          <w:sz w:val="24"/>
          <w:szCs w:val="24"/>
        </w:rPr>
        <w:t>WIND TRE S.P.A. fonda parte della propria difesa sulla sentenza della Corte d’Appello di Venezia del 24 giugno 2025 (n. R.G. 1130/2024), invocandola come conferma della propria tesi sulla mancanza di occupazione mediata nel settore delle telecomunicazioni. Tale pronuncia deve però essere letta nel suo corretto contesto e, soprattutto, è oggi superata dalla pronuncia della Corte di Cassazione.</w:t>
      </w:r>
    </w:p>
    <w:p w14:paraId="30B5FD95" w14:textId="77777777" w:rsidR="00260B61" w:rsidRDefault="00260B61" w:rsidP="00260B61">
      <w:pPr>
        <w:spacing w:line="360" w:lineRule="auto"/>
        <w:ind w:firstLine="708"/>
        <w:jc w:val="both"/>
        <w:rPr>
          <w:rFonts w:ascii="Arial" w:hAnsi="Arial" w:cs="Arial"/>
          <w:sz w:val="24"/>
          <w:szCs w:val="24"/>
        </w:rPr>
      </w:pPr>
      <w:r>
        <w:rPr>
          <w:rFonts w:ascii="Arial" w:hAnsi="Arial" w:cs="Arial"/>
          <w:sz w:val="24"/>
          <w:szCs w:val="24"/>
        </w:rPr>
        <w:t xml:space="preserve">In primo luogo, va rilevato che la sentenza della Corte d’Appello di Venezia si inserisce in un orientamento minoritario della giurisprudenza di merito che, applicando una lettura restrittiva del concetto di “utilizzo materiale” di cui al comma 831, ha escluso la soggettività passiva mediata degli operatori TLC virtuali. Tale orientamento è tuttavia radicalmente smentito dalla giurisprudenza maggioritaria, come ampiamente illustrato, e — definitivamente — dalla </w:t>
      </w:r>
      <w:r>
        <w:rPr>
          <w:rFonts w:ascii="Arial" w:hAnsi="Arial" w:cs="Arial"/>
          <w:b/>
          <w:bCs/>
          <w:sz w:val="24"/>
          <w:szCs w:val="24"/>
        </w:rPr>
        <w:t xml:space="preserve">Corte di Cassazione, Sezione Terza Civile, con la sentenza n. 11479 del 28 aprile 2026 </w:t>
      </w:r>
      <w:r w:rsidRPr="00FE5430">
        <w:rPr>
          <w:rFonts w:ascii="Arial" w:hAnsi="Arial" w:cs="Arial"/>
          <w:sz w:val="24"/>
          <w:szCs w:val="24"/>
        </w:rPr>
        <w:t>(doc. 9),</w:t>
      </w:r>
      <w:r>
        <w:rPr>
          <w:rFonts w:ascii="Arial" w:hAnsi="Arial" w:cs="Arial"/>
          <w:sz w:val="24"/>
          <w:szCs w:val="24"/>
        </w:rPr>
        <w:t xml:space="preserve"> che ha chiarito in modo definitivo che l’accesso </w:t>
      </w:r>
      <w:r>
        <w:rPr>
          <w:rFonts w:ascii="Arial" w:hAnsi="Arial" w:cs="Arial"/>
          <w:sz w:val="24"/>
          <w:szCs w:val="24"/>
        </w:rPr>
        <w:lastRenderedPageBreak/>
        <w:t>virtuale alla rete — quale quello mediante tecnologie VULA, bitstream NGA, WS e WLR — costituisce pur sempre utilizzo materiale dell’infrastruttura del concessionario, con conseguente soggezione passiva al CUP ai sensi dell’art. 1, comma 831, L. 160/2019.</w:t>
      </w:r>
    </w:p>
    <w:p w14:paraId="290F7443" w14:textId="77777777" w:rsidR="00F253A4" w:rsidRDefault="00260B61" w:rsidP="00260B61">
      <w:pPr>
        <w:spacing w:line="360" w:lineRule="auto"/>
        <w:ind w:firstLine="708"/>
        <w:jc w:val="both"/>
        <w:rPr>
          <w:rFonts w:ascii="Arial" w:hAnsi="Arial" w:cs="Arial"/>
          <w:sz w:val="24"/>
          <w:szCs w:val="24"/>
        </w:rPr>
      </w:pPr>
      <w:r>
        <w:rPr>
          <w:rFonts w:ascii="Arial" w:hAnsi="Arial" w:cs="Arial"/>
          <w:sz w:val="24"/>
          <w:szCs w:val="24"/>
        </w:rPr>
        <w:t xml:space="preserve">In secondo luogo, è dirimente la distinzione strutturale tra il settore TLC e quello del gas/energia elettrica: nel settore TLC non esiste — né per legge né per natura tecnica — alcuna separazione tra titolare dell’infrastruttura e soggetto erogatore del servizio assimilabile a quella che giustifica l’esonero previsto dall’art. 5, comma 14-quinquies, D.L. 146/2021. </w:t>
      </w:r>
    </w:p>
    <w:p w14:paraId="50CE0835" w14:textId="63A416E6" w:rsidR="00260B61" w:rsidRDefault="00260B61" w:rsidP="00260B61">
      <w:pPr>
        <w:spacing w:line="360" w:lineRule="auto"/>
        <w:ind w:firstLine="708"/>
        <w:jc w:val="both"/>
        <w:rPr>
          <w:rFonts w:ascii="Arial" w:hAnsi="Arial" w:cs="Arial"/>
          <w:sz w:val="24"/>
          <w:szCs w:val="24"/>
        </w:rPr>
      </w:pPr>
      <w:r>
        <w:rPr>
          <w:rFonts w:ascii="Arial" w:hAnsi="Arial" w:cs="Arial"/>
          <w:sz w:val="24"/>
          <w:szCs w:val="24"/>
        </w:rPr>
        <w:t>La norma di interpretazione autentica, come chiarito dalla Cassazione e dalla giurisprudenza maggioritaria di merito, si riferisce esclusivamente ai settori del gas e dell’energia elettrica, ove esiste una separazione strutturale e normativa tra distributore e venditore. Il settore TLC è, per sua natura tecnica e per espressa volontà normativa comunitaria e nazionale, fondato sulla condivisione delle reti: questa è la ragione per cui il legislatore ha introdotto, per tale settore, proprio il concetto di soggettività passiva mediata.</w:t>
      </w:r>
    </w:p>
    <w:p w14:paraId="0B1DB33F" w14:textId="77777777" w:rsidR="00260B61" w:rsidRDefault="00260B61" w:rsidP="00260B61">
      <w:pPr>
        <w:spacing w:line="360" w:lineRule="auto"/>
        <w:ind w:firstLine="708"/>
        <w:jc w:val="both"/>
        <w:rPr>
          <w:rFonts w:ascii="Arial" w:hAnsi="Arial" w:cs="Arial"/>
          <w:sz w:val="24"/>
          <w:szCs w:val="24"/>
        </w:rPr>
      </w:pPr>
      <w:r>
        <w:rPr>
          <w:rFonts w:ascii="Arial" w:hAnsi="Arial" w:cs="Arial"/>
          <w:sz w:val="24"/>
          <w:szCs w:val="24"/>
        </w:rPr>
        <w:t>La pronuncia della Corte d’Appello di Venezia è pertanto priva di qualsivoglia rilievo persuasivo nel presente giudizio, essendo stata emessa prima della sentenza delle Sezioni Unite n. 12225/2026 (che ha definitivamente attribuito al CUP natura tributaria) e prima della sentenza n. 11479/2026 della Cassazione (che ha definitivamente risolto la questione della soggettività passiva mediata nel settore TLC), e collocandosi in un orientamento che è stato radicalmente smentito dalla Suprema Corte.</w:t>
      </w:r>
    </w:p>
    <w:p w14:paraId="0D723123" w14:textId="77777777" w:rsidR="00260B61" w:rsidRDefault="0044088E" w:rsidP="00260B61">
      <w:pPr>
        <w:spacing w:line="360" w:lineRule="auto"/>
        <w:ind w:firstLine="708"/>
        <w:jc w:val="both"/>
        <w:rPr>
          <w:rFonts w:ascii="Arial" w:hAnsi="Arial" w:cs="Arial"/>
          <w:sz w:val="24"/>
          <w:szCs w:val="24"/>
        </w:rPr>
      </w:pPr>
      <w:r>
        <w:rPr>
          <w:rFonts w:ascii="Arial" w:hAnsi="Arial" w:cs="Arial"/>
          <w:sz w:val="24"/>
          <w:szCs w:val="24"/>
        </w:rPr>
        <w:t>Si rileva, inoltre, che Wind Tre non ha mosso contestazione specifica in ordine alla propria qualificazione quale soggetto passivo per la sola q</w:t>
      </w:r>
      <w:r>
        <w:rPr>
          <w:rFonts w:ascii="Arial" w:hAnsi="Arial" w:cs="Arial"/>
          <w:sz w:val="24"/>
          <w:szCs w:val="24"/>
        </w:rPr>
        <w:t>uota fissa, desunta dai dati ufficiali dell’Osservatorio sulle Comunicazioni AGCOM, come esplicitato nel testo dell’avviso di accertamento. L’importo, peraltro, non è stato determinato mediante stima presuntiva delle utenze, bensì nella misura del minimo l</w:t>
      </w:r>
      <w:r>
        <w:rPr>
          <w:rFonts w:ascii="Arial" w:hAnsi="Arial" w:cs="Arial"/>
          <w:sz w:val="24"/>
          <w:szCs w:val="24"/>
        </w:rPr>
        <w:t>egale ex art. 1, comma 831, L. 160/2019, stante l’omessa autodichiarazione della Società.</w:t>
      </w:r>
    </w:p>
    <w:p w14:paraId="70D3B67F" w14:textId="77777777" w:rsidR="00260B61" w:rsidRDefault="0044088E" w:rsidP="00260B61">
      <w:pPr>
        <w:spacing w:line="360" w:lineRule="auto"/>
        <w:ind w:firstLine="708"/>
        <w:jc w:val="both"/>
        <w:rPr>
          <w:rFonts w:ascii="Arial" w:hAnsi="Arial" w:cs="Arial"/>
          <w:sz w:val="24"/>
          <w:szCs w:val="24"/>
        </w:rPr>
      </w:pPr>
      <w:r>
        <w:rPr>
          <w:rFonts w:ascii="Arial" w:hAnsi="Arial" w:cs="Arial"/>
          <w:sz w:val="24"/>
          <w:szCs w:val="24"/>
        </w:rPr>
        <w:t>Il ricorso all’importo minimo si è reso necessario esclusivamente a causa dell’omessa autodichiarazione da parte di Wind Tre, che non ha trasmesso al Comune la dichia</w:t>
      </w:r>
      <w:r>
        <w:rPr>
          <w:rFonts w:ascii="Arial" w:hAnsi="Arial" w:cs="Arial"/>
          <w:sz w:val="24"/>
          <w:szCs w:val="24"/>
        </w:rPr>
        <w:t xml:space="preserve">razione delle utenze attive per nessuna delle annualità in verifica, nonostante l’espressa richiesta formulata da Archivia Solution S.p.A. con nota del 7 gennaio 2026 (doc. 3). </w:t>
      </w:r>
    </w:p>
    <w:p w14:paraId="050D1B7A" w14:textId="77777777" w:rsidR="00297929" w:rsidRPr="00286E13" w:rsidRDefault="0044088E" w:rsidP="00260B61">
      <w:pPr>
        <w:spacing w:line="360" w:lineRule="auto"/>
        <w:ind w:firstLine="708"/>
        <w:jc w:val="both"/>
        <w:rPr>
          <w:rFonts w:ascii="Arial" w:hAnsi="Arial" w:cs="Arial"/>
          <w:sz w:val="24"/>
          <w:szCs w:val="24"/>
        </w:rPr>
      </w:pPr>
      <w:r>
        <w:rPr>
          <w:rFonts w:ascii="Arial" w:hAnsi="Arial" w:cs="Arial"/>
          <w:sz w:val="24"/>
          <w:szCs w:val="24"/>
        </w:rPr>
        <w:t>Spetta dunque a Wind Tre, che ha determinato con la propria inadempienza la ne</w:t>
      </w:r>
      <w:r>
        <w:rPr>
          <w:rFonts w:ascii="Arial" w:hAnsi="Arial" w:cs="Arial"/>
          <w:sz w:val="24"/>
          <w:szCs w:val="24"/>
        </w:rPr>
        <w:t>cessità di ricorrere all’importo minimo, fornire la prova contraria, dimostrando documentalmente il numero esatto delle utenze servite nel Comune di Montefalco per gli anni 2021, 2022, 2023, 2024 e 2025.</w:t>
      </w:r>
    </w:p>
    <w:p w14:paraId="62E3DC07" w14:textId="77777777" w:rsidR="00260B61" w:rsidRDefault="00260B61" w:rsidP="00260B61">
      <w:pPr>
        <w:spacing w:line="360" w:lineRule="auto"/>
        <w:ind w:firstLine="708"/>
        <w:jc w:val="both"/>
        <w:rPr>
          <w:rFonts w:ascii="Arial" w:hAnsi="Arial" w:cs="Arial"/>
          <w:sz w:val="24"/>
          <w:szCs w:val="24"/>
        </w:rPr>
      </w:pPr>
      <w:r>
        <w:rPr>
          <w:rFonts w:ascii="Arial" w:hAnsi="Arial" w:cs="Arial"/>
          <w:sz w:val="24"/>
          <w:szCs w:val="24"/>
        </w:rPr>
        <w:lastRenderedPageBreak/>
        <w:t>In via ulteriormente subordinata, WIND TRE S.P.A. sostiene che, anche qualora fosse ritenuto dovuto il CUP, il pagamento non potrebbe essere preteso nei suoi confronti in quanto l’art. 43 del Regolamento Comunale individuerebbe come unico soggetto passivo il “titolare dell’atto di concessione all’occupazione”. L’eccezione è infondata per le ragioni che seguono.</w:t>
      </w:r>
    </w:p>
    <w:p w14:paraId="5A7CE809" w14:textId="77777777" w:rsidR="00260B61" w:rsidRDefault="00260B61" w:rsidP="00260B61">
      <w:pPr>
        <w:spacing w:line="360" w:lineRule="auto"/>
        <w:ind w:firstLine="708"/>
        <w:jc w:val="both"/>
        <w:rPr>
          <w:rFonts w:ascii="Arial" w:hAnsi="Arial" w:cs="Arial"/>
          <w:sz w:val="24"/>
          <w:szCs w:val="24"/>
        </w:rPr>
      </w:pPr>
      <w:r>
        <w:rPr>
          <w:rFonts w:ascii="Arial" w:hAnsi="Arial" w:cs="Arial"/>
          <w:sz w:val="24"/>
          <w:szCs w:val="24"/>
        </w:rPr>
        <w:t xml:space="preserve">In primo luogo, il Regolamento Comunale non può derogare alla norma di legge primaria. L’art. 1, comma 831, L. 160/2019, come modificato dalla L. 178/2020, prevede espressamente che il canone sia dovuto “dal soggetto titolare dell’atto di concessione dell’occupazione del suolo pubblico </w:t>
      </w:r>
      <w:r>
        <w:rPr>
          <w:rFonts w:ascii="Arial" w:hAnsi="Arial" w:cs="Arial"/>
          <w:b/>
          <w:bCs/>
          <w:sz w:val="24"/>
          <w:szCs w:val="24"/>
        </w:rPr>
        <w:t>e dai soggetti che occupano il suolo pubblico, anche in via mediata</w:t>
      </w:r>
      <w:r>
        <w:rPr>
          <w:rFonts w:ascii="Arial" w:hAnsi="Arial" w:cs="Arial"/>
          <w:sz w:val="24"/>
          <w:szCs w:val="24"/>
        </w:rPr>
        <w:t>, attraverso l’utilizzo materiale delle infrastrutture del soggetto titolare della concessione”. Si tratta di norma di rango legislativo che si impone sul regolamento comunale ai sensi dell’art. 4 delle preleggi: il regolamento non può restringere la platea dei soggetti passivi individuata dalla legge né sottrarsi alla sua applicazione. Ove l’art. 43 del Regolamento fosse interpretato nel senso prospettato da Wind Tre, esso sarebbe illegittimo per contrasto con la norma primaria e disapplicabile in parte qua.</w:t>
      </w:r>
    </w:p>
    <w:p w14:paraId="04DE85E7" w14:textId="77777777" w:rsidR="00260B61" w:rsidRDefault="00260B61" w:rsidP="00260B61">
      <w:pPr>
        <w:spacing w:line="360" w:lineRule="auto"/>
        <w:ind w:firstLine="708"/>
        <w:jc w:val="both"/>
        <w:rPr>
          <w:rFonts w:ascii="Arial" w:hAnsi="Arial" w:cs="Arial"/>
          <w:sz w:val="24"/>
          <w:szCs w:val="24"/>
        </w:rPr>
      </w:pPr>
      <w:r>
        <w:rPr>
          <w:rFonts w:ascii="Arial" w:hAnsi="Arial" w:cs="Arial"/>
          <w:sz w:val="24"/>
          <w:szCs w:val="24"/>
        </w:rPr>
        <w:t>In secondo luogo, l’art. 43 del Regolamento va letto in combinato con la norma primaria e interpretato coerentemente con essa. Il riferimento “sulla base delle utenze complessive del soggetto stesso e di tutti gli altri soggetti che utilizzano le reti” contenuto nell’art. 43 del Regolamento dimostra che anche l’Ente aveva ben presente la pluralità di soggetti passivi prevista dalla legge: la disposizione regolamentare non esclude gli utilizzatori mediati della rete ma, al contrario, li richiama espressamente quale parametro di calcolo del canone dovuto dal concessionario, confermando la lettura unitaria della norma statale.</w:t>
      </w:r>
    </w:p>
    <w:p w14:paraId="67C3A038" w14:textId="77777777" w:rsidR="00260B61" w:rsidRDefault="00260B61" w:rsidP="00260B61">
      <w:pPr>
        <w:spacing w:line="360" w:lineRule="auto"/>
        <w:ind w:firstLine="708"/>
        <w:jc w:val="both"/>
        <w:rPr>
          <w:rFonts w:ascii="Arial" w:hAnsi="Arial" w:cs="Arial"/>
          <w:sz w:val="24"/>
          <w:szCs w:val="24"/>
        </w:rPr>
      </w:pPr>
      <w:r>
        <w:rPr>
          <w:rFonts w:ascii="Arial" w:hAnsi="Arial" w:cs="Arial"/>
          <w:sz w:val="24"/>
          <w:szCs w:val="24"/>
        </w:rPr>
        <w:t>L’eccezione fondata sull’art. 43 del Regolamento Comunale deve pertanto essere respinta.</w:t>
      </w:r>
    </w:p>
    <w:p w14:paraId="61B4A058" w14:textId="1E018C4F" w:rsidR="007672B0" w:rsidRPr="00F0621C" w:rsidRDefault="0044088E" w:rsidP="00286E13">
      <w:pPr>
        <w:spacing w:line="360" w:lineRule="auto"/>
        <w:ind w:firstLine="708"/>
        <w:jc w:val="both"/>
        <w:rPr>
          <w:rFonts w:ascii="Arial" w:hAnsi="Arial" w:cs="Arial"/>
          <w:b/>
          <w:bCs/>
          <w:sz w:val="24"/>
          <w:szCs w:val="24"/>
          <w:u w:val="single"/>
        </w:rPr>
      </w:pPr>
      <w:r>
        <w:rPr>
          <w:rFonts w:ascii="Arial" w:hAnsi="Arial" w:cs="Arial"/>
          <w:b/>
          <w:bCs/>
          <w:sz w:val="24"/>
          <w:szCs w:val="24"/>
          <w:u w:val="single"/>
        </w:rPr>
        <w:t xml:space="preserve"> </w:t>
      </w:r>
      <w:r w:rsidR="00F253A4">
        <w:rPr>
          <w:rFonts w:ascii="Arial" w:hAnsi="Arial" w:cs="Arial"/>
          <w:b/>
          <w:bCs/>
          <w:sz w:val="24"/>
          <w:szCs w:val="24"/>
          <w:u w:val="single"/>
        </w:rPr>
        <w:t>V</w:t>
      </w:r>
      <w:r w:rsidR="007672B0">
        <w:rPr>
          <w:rFonts w:ascii="Arial" w:hAnsi="Arial" w:cs="Arial"/>
          <w:b/>
          <w:bCs/>
          <w:sz w:val="24"/>
          <w:szCs w:val="24"/>
          <w:u w:val="single"/>
        </w:rPr>
        <w:t>) Sull’eccepita inesigibilità del CUP per il periodo d’imposta 2025.</w:t>
      </w:r>
    </w:p>
    <w:p w14:paraId="697839B1" w14:textId="77777777" w:rsidR="003D5190" w:rsidRDefault="0044088E" w:rsidP="00286E13">
      <w:pPr>
        <w:spacing w:line="360" w:lineRule="auto"/>
        <w:ind w:firstLine="708"/>
        <w:jc w:val="both"/>
        <w:rPr>
          <w:rFonts w:ascii="Arial" w:hAnsi="Arial" w:cs="Arial"/>
          <w:sz w:val="24"/>
          <w:szCs w:val="24"/>
        </w:rPr>
      </w:pPr>
      <w:r>
        <w:rPr>
          <w:rFonts w:ascii="Arial" w:hAnsi="Arial" w:cs="Arial"/>
          <w:sz w:val="24"/>
          <w:szCs w:val="24"/>
        </w:rPr>
        <w:t xml:space="preserve">Wind Tre sostiene che la pretesa impositiva relativa all’annualità 2025 </w:t>
      </w:r>
      <w:r>
        <w:rPr>
          <w:rFonts w:ascii="Arial" w:hAnsi="Arial" w:cs="Arial"/>
          <w:sz w:val="24"/>
          <w:szCs w:val="24"/>
        </w:rPr>
        <w:t>sarebbe prematura, in quanto il termine per il versamento del CUP (30 aprile 2026) non era ancora scaduto alla data di notifica dell’avviso (25 marzo 2026).</w:t>
      </w:r>
    </w:p>
    <w:p w14:paraId="73A81E3E" w14:textId="77777777" w:rsidR="00F253A4" w:rsidRDefault="003D5190" w:rsidP="003D5190">
      <w:pPr>
        <w:spacing w:line="360" w:lineRule="auto"/>
        <w:ind w:firstLine="708"/>
        <w:jc w:val="both"/>
        <w:rPr>
          <w:rFonts w:ascii="Arial" w:hAnsi="Arial" w:cs="Arial"/>
          <w:sz w:val="24"/>
          <w:szCs w:val="24"/>
        </w:rPr>
      </w:pPr>
      <w:r>
        <w:rPr>
          <w:rFonts w:ascii="Arial" w:hAnsi="Arial" w:cs="Arial"/>
          <w:sz w:val="24"/>
          <w:szCs w:val="24"/>
        </w:rPr>
        <w:t xml:space="preserve">L'eccezione è destituita di fondamento. L'art. 1, comma 831, L. 160/2019 stabilisce che il versamento del CUP è dovuto entro il 30 aprile </w:t>
      </w:r>
      <w:r>
        <w:rPr>
          <w:rFonts w:ascii="Arial" w:hAnsi="Arial" w:cs="Arial"/>
          <w:b/>
          <w:bCs/>
          <w:sz w:val="24"/>
          <w:szCs w:val="24"/>
        </w:rPr>
        <w:t>di ciascun anno</w:t>
      </w:r>
      <w:r>
        <w:rPr>
          <w:rFonts w:ascii="Arial" w:hAnsi="Arial" w:cs="Arial"/>
          <w:sz w:val="24"/>
          <w:szCs w:val="24"/>
        </w:rPr>
        <w:t xml:space="preserve"> — il che significa che il canone per l'anno 2025 andava versato entro il </w:t>
      </w:r>
      <w:r>
        <w:rPr>
          <w:rFonts w:ascii="Arial" w:hAnsi="Arial" w:cs="Arial"/>
          <w:b/>
          <w:bCs/>
          <w:sz w:val="24"/>
          <w:szCs w:val="24"/>
        </w:rPr>
        <w:t>30 aprile 2025</w:t>
      </w:r>
      <w:r>
        <w:rPr>
          <w:rFonts w:ascii="Arial" w:hAnsi="Arial" w:cs="Arial"/>
          <w:sz w:val="24"/>
          <w:szCs w:val="24"/>
        </w:rPr>
        <w:t xml:space="preserve">. </w:t>
      </w:r>
    </w:p>
    <w:p w14:paraId="444A2074" w14:textId="75A5C5F4" w:rsidR="00297929" w:rsidRPr="00286E13" w:rsidRDefault="003D5190" w:rsidP="003D5190">
      <w:pPr>
        <w:spacing w:line="360" w:lineRule="auto"/>
        <w:ind w:firstLine="708"/>
        <w:jc w:val="both"/>
        <w:rPr>
          <w:rFonts w:ascii="Arial" w:hAnsi="Arial" w:cs="Arial"/>
          <w:sz w:val="24"/>
          <w:szCs w:val="24"/>
        </w:rPr>
      </w:pPr>
      <w:r>
        <w:rPr>
          <w:rFonts w:ascii="Arial" w:hAnsi="Arial" w:cs="Arial"/>
          <w:sz w:val="24"/>
          <w:szCs w:val="24"/>
        </w:rPr>
        <w:t>Alla data di notifica dell'avviso di accertamento (25 marzo 2026), tale termine era già scaduto da quasi un anno. Il potere accertativo del Comune era dunque pienamente maturato. L'eccezione deve pertanto essere respinta.</w:t>
      </w:r>
    </w:p>
    <w:p w14:paraId="6ACBE438" w14:textId="17E8DF12" w:rsidR="00297929" w:rsidRPr="00286E13" w:rsidRDefault="00F253A4" w:rsidP="00286E13">
      <w:pPr>
        <w:spacing w:line="360" w:lineRule="auto"/>
        <w:ind w:firstLine="708"/>
        <w:jc w:val="both"/>
        <w:rPr>
          <w:rFonts w:ascii="Arial" w:hAnsi="Arial" w:cs="Arial"/>
          <w:sz w:val="24"/>
          <w:szCs w:val="24"/>
        </w:rPr>
      </w:pPr>
      <w:r>
        <w:rPr>
          <w:rFonts w:ascii="Arial" w:hAnsi="Arial" w:cs="Arial"/>
          <w:b/>
          <w:bCs/>
          <w:sz w:val="24"/>
          <w:szCs w:val="24"/>
          <w:u w:val="single"/>
        </w:rPr>
        <w:lastRenderedPageBreak/>
        <w:t>VI</w:t>
      </w:r>
      <w:r w:rsidR="007672B0">
        <w:rPr>
          <w:rFonts w:ascii="Arial" w:hAnsi="Arial" w:cs="Arial"/>
          <w:b/>
          <w:bCs/>
          <w:sz w:val="24"/>
          <w:szCs w:val="24"/>
          <w:u w:val="single"/>
        </w:rPr>
        <w:t>) Sulla pretesa illegittimità del metodo di determinazione del tributo.</w:t>
      </w:r>
    </w:p>
    <w:p w14:paraId="3DD7CE77" w14:textId="77777777" w:rsidR="00F253A4" w:rsidRPr="00F253A4" w:rsidRDefault="00F253A4" w:rsidP="00F253A4">
      <w:pPr>
        <w:spacing w:line="360" w:lineRule="auto"/>
        <w:ind w:firstLine="708"/>
        <w:jc w:val="both"/>
        <w:rPr>
          <w:rFonts w:ascii="Arial" w:eastAsia="Arial" w:hAnsi="Arial" w:cs="Arial"/>
          <w:sz w:val="24"/>
          <w:szCs w:val="24"/>
        </w:rPr>
      </w:pPr>
      <w:r w:rsidRPr="00F253A4">
        <w:rPr>
          <w:rFonts w:ascii="Arial" w:eastAsia="Arial" w:hAnsi="Arial" w:cs="Arial"/>
          <w:sz w:val="24"/>
          <w:szCs w:val="24"/>
        </w:rPr>
        <w:t xml:space="preserve">Wind Tre contesta altresì il metodo di calcolo adottato dal Comune, sostenendo che l’art. 1, comma 831, L. 160/2019 </w:t>
      </w:r>
      <w:proofErr w:type="spellStart"/>
      <w:r w:rsidRPr="00F253A4">
        <w:rPr>
          <w:rFonts w:ascii="Arial" w:eastAsia="Arial" w:hAnsi="Arial" w:cs="Arial"/>
          <w:sz w:val="24"/>
          <w:szCs w:val="24"/>
        </w:rPr>
        <w:t>prevederebbe</w:t>
      </w:r>
      <w:proofErr w:type="spellEnd"/>
      <w:r w:rsidRPr="00F253A4">
        <w:rPr>
          <w:rFonts w:ascii="Arial" w:eastAsia="Arial" w:hAnsi="Arial" w:cs="Arial"/>
          <w:sz w:val="24"/>
          <w:szCs w:val="24"/>
        </w:rPr>
        <w:t xml:space="preserve"> quale unico criterio di quantificazione l’autodichiarazione dell’operatore e che, di conseguenza, il ricorso al metodo induttivo fondato sui dati AGCOM sarebbe privo di base normativa. L’eccezione è infondata.</w:t>
      </w:r>
    </w:p>
    <w:p w14:paraId="1B18855F" w14:textId="77777777" w:rsidR="00F253A4" w:rsidRPr="00F253A4" w:rsidRDefault="00F253A4" w:rsidP="00F253A4">
      <w:pPr>
        <w:spacing w:line="360" w:lineRule="auto"/>
        <w:ind w:firstLine="708"/>
        <w:jc w:val="both"/>
        <w:rPr>
          <w:rFonts w:ascii="Arial" w:eastAsia="Arial" w:hAnsi="Arial" w:cs="Arial"/>
          <w:sz w:val="24"/>
          <w:szCs w:val="24"/>
        </w:rPr>
      </w:pPr>
      <w:r w:rsidRPr="00F253A4">
        <w:rPr>
          <w:rFonts w:ascii="Arial" w:eastAsia="Arial" w:hAnsi="Arial" w:cs="Arial"/>
          <w:b/>
          <w:bCs/>
          <w:sz w:val="24"/>
          <w:szCs w:val="24"/>
          <w:u w:val="single"/>
        </w:rPr>
        <w:t xml:space="preserve">Il metodo induttivo non costituisce un criterio alternativo ed arbitrario rispetto a quello legale, bensì lo strumento ricostruttivo di carattere residuale al quale l’Ente è legittimato a ricorrere ogniqualvolta l’operatore ometta la dichiarazione delle utenze ovvero renda una dichiarazione palesemente inattendibile. </w:t>
      </w:r>
    </w:p>
    <w:p w14:paraId="16C154B2" w14:textId="77777777" w:rsidR="00F253A4" w:rsidRPr="00F253A4" w:rsidRDefault="00F253A4" w:rsidP="00F253A4">
      <w:pPr>
        <w:spacing w:line="360" w:lineRule="auto"/>
        <w:ind w:firstLine="708"/>
        <w:jc w:val="both"/>
        <w:rPr>
          <w:rFonts w:ascii="Arial" w:eastAsia="Arial" w:hAnsi="Arial" w:cs="Arial"/>
          <w:sz w:val="24"/>
          <w:szCs w:val="24"/>
        </w:rPr>
      </w:pPr>
      <w:r w:rsidRPr="00F253A4">
        <w:rPr>
          <w:rFonts w:ascii="Arial" w:eastAsia="Arial" w:hAnsi="Arial" w:cs="Arial"/>
          <w:sz w:val="24"/>
          <w:szCs w:val="24"/>
        </w:rPr>
        <w:t xml:space="preserve">Nel caso di specie, come esposto, Wind Tre non ha presentato le dichiarazioni su richiesta dell’Ente, sicché il Comune, non potendo fare affidamento su di esse, ha correttamente proceduto alla ricostruzione del presupposto impositivo sulla base delle quote di mercato del settore rilevate dall’Osservatorio sulle Comunicazioni AGCOM, integrate dalle risultanze di </w:t>
      </w:r>
      <w:proofErr w:type="spellStart"/>
      <w:r w:rsidRPr="00F253A4">
        <w:rPr>
          <w:rFonts w:ascii="Arial" w:eastAsia="Arial" w:hAnsi="Arial" w:cs="Arial"/>
          <w:sz w:val="24"/>
          <w:szCs w:val="24"/>
        </w:rPr>
        <w:t>PuntoFisco</w:t>
      </w:r>
      <w:proofErr w:type="spellEnd"/>
      <w:r w:rsidRPr="00F253A4">
        <w:rPr>
          <w:rFonts w:ascii="Arial" w:eastAsia="Arial" w:hAnsi="Arial" w:cs="Arial"/>
          <w:sz w:val="24"/>
          <w:szCs w:val="24"/>
        </w:rPr>
        <w:t>.</w:t>
      </w:r>
    </w:p>
    <w:p w14:paraId="11DAF993" w14:textId="77777777" w:rsidR="00F253A4" w:rsidRPr="00F253A4" w:rsidRDefault="00F253A4" w:rsidP="00F253A4">
      <w:pPr>
        <w:spacing w:line="360" w:lineRule="auto"/>
        <w:ind w:firstLine="708"/>
        <w:jc w:val="both"/>
        <w:rPr>
          <w:rFonts w:ascii="Arial" w:eastAsia="Arial" w:hAnsi="Arial" w:cs="Arial"/>
          <w:sz w:val="24"/>
          <w:szCs w:val="24"/>
        </w:rPr>
      </w:pPr>
      <w:r w:rsidRPr="00F253A4">
        <w:rPr>
          <w:rFonts w:ascii="Arial" w:eastAsia="Arial" w:hAnsi="Arial" w:cs="Arial"/>
          <w:sz w:val="24"/>
          <w:szCs w:val="24"/>
        </w:rPr>
        <w:t xml:space="preserve">La piena legittimità di tale modalità ricostruttiva è stata di recente affermata dal Tribunale di Napoli con la sentenza n. 5948 del 13.04.2026, resa proprio nei confronti di Wind Tre, secondo cui </w:t>
      </w:r>
      <w:r w:rsidRPr="00F253A4">
        <w:rPr>
          <w:rFonts w:ascii="Arial" w:eastAsia="Arial" w:hAnsi="Arial" w:cs="Arial"/>
          <w:i/>
          <w:iCs/>
          <w:sz w:val="24"/>
          <w:szCs w:val="24"/>
        </w:rPr>
        <w:t>“il ricorso a criteri presuntivi fondati su dati AGCOM, rapportati alla popolazione residente e alle quote di mercato, costituisce una legittima modalità ricostruttiva del presupposto impositivo, conforme ai principi generali in materia di entrate patrimoniali e in ogni caso giustificata dalla mancata collaborazione del contribuente. Non può, pertanto, invocarsi a proprio vantaggio una situazione di incertezza determinata dalla stessa condotta dell’operatore”</w:t>
      </w:r>
      <w:r w:rsidRPr="00F253A4">
        <w:rPr>
          <w:rFonts w:ascii="Arial" w:eastAsia="Arial" w:hAnsi="Arial" w:cs="Arial"/>
          <w:sz w:val="24"/>
          <w:szCs w:val="24"/>
        </w:rPr>
        <w:t>.</w:t>
      </w:r>
    </w:p>
    <w:p w14:paraId="18A525C4" w14:textId="77777777" w:rsidR="00F253A4" w:rsidRPr="00F253A4" w:rsidRDefault="00F253A4" w:rsidP="00F253A4">
      <w:pPr>
        <w:spacing w:line="360" w:lineRule="auto"/>
        <w:ind w:firstLine="708"/>
        <w:jc w:val="both"/>
        <w:rPr>
          <w:rFonts w:ascii="Arial" w:eastAsia="Arial" w:hAnsi="Arial" w:cs="Arial"/>
          <w:sz w:val="24"/>
          <w:szCs w:val="24"/>
        </w:rPr>
      </w:pPr>
      <w:r w:rsidRPr="00F253A4">
        <w:rPr>
          <w:rFonts w:ascii="Arial" w:eastAsia="Arial" w:hAnsi="Arial" w:cs="Arial"/>
          <w:sz w:val="24"/>
          <w:szCs w:val="24"/>
        </w:rPr>
        <w:t xml:space="preserve">Il medesimo Tribunale ha altresì chiarito che </w:t>
      </w:r>
      <w:r w:rsidRPr="00F253A4">
        <w:rPr>
          <w:rFonts w:ascii="Arial" w:eastAsia="Arial" w:hAnsi="Arial" w:cs="Arial"/>
          <w:i/>
          <w:iCs/>
          <w:sz w:val="24"/>
          <w:szCs w:val="24"/>
        </w:rPr>
        <w:t>“il minimo di € 800,00 previsto dalla legge opera solo ove il prodotto tra utenze e tariffa risulti inferiore a tale soglia, ma presuppone comunque una corretta e veritiera dichiarazione delle utenze attive. In mancanza di tale presupposto, il versamento del minimo non è idoneo a estinguere l’obbligazione nella sua effettiva consistenza”</w:t>
      </w:r>
      <w:r w:rsidRPr="00F253A4">
        <w:rPr>
          <w:rFonts w:ascii="Arial" w:eastAsia="Arial" w:hAnsi="Arial" w:cs="Arial"/>
          <w:sz w:val="24"/>
          <w:szCs w:val="24"/>
        </w:rPr>
        <w:t>.</w:t>
      </w:r>
    </w:p>
    <w:p w14:paraId="12A68DDF" w14:textId="77777777" w:rsidR="00F253A4" w:rsidRPr="00F253A4" w:rsidRDefault="00F253A4" w:rsidP="00F253A4">
      <w:pPr>
        <w:spacing w:line="360" w:lineRule="auto"/>
        <w:ind w:firstLine="708"/>
        <w:jc w:val="both"/>
        <w:rPr>
          <w:rFonts w:ascii="Arial" w:eastAsia="Arial" w:hAnsi="Arial" w:cs="Arial"/>
          <w:sz w:val="24"/>
          <w:szCs w:val="24"/>
        </w:rPr>
      </w:pPr>
      <w:r w:rsidRPr="00F253A4">
        <w:rPr>
          <w:rFonts w:ascii="Arial" w:eastAsia="Arial" w:hAnsi="Arial" w:cs="Arial"/>
          <w:sz w:val="24"/>
          <w:szCs w:val="24"/>
        </w:rPr>
        <w:t xml:space="preserve">Ne consegue che, avendo Wind Tre ha omesso di presentare le dichiarazioni richieste reso in tal modo impossibile la quantificazione su base dichiarativa, il ricorso al metodo induttivo era non soltanto legittimo, ma doveroso, restando a carico della Società l’onere di fornire la prova contraria in ordine all’effettiva consistenza delle utenze servite. </w:t>
      </w:r>
    </w:p>
    <w:p w14:paraId="1A9D6A4C" w14:textId="77777777" w:rsidR="00F253A4" w:rsidRPr="00F253A4" w:rsidRDefault="00F253A4" w:rsidP="00F253A4">
      <w:pPr>
        <w:spacing w:line="360" w:lineRule="auto"/>
        <w:ind w:firstLine="709"/>
        <w:jc w:val="both"/>
        <w:rPr>
          <w:rFonts w:ascii="Arial" w:eastAsia="Arial" w:hAnsi="Arial" w:cs="Arial"/>
          <w:sz w:val="24"/>
          <w:szCs w:val="24"/>
        </w:rPr>
      </w:pPr>
      <w:r w:rsidRPr="00F253A4">
        <w:rPr>
          <w:rFonts w:ascii="Arial" w:eastAsia="Arial" w:hAnsi="Arial" w:cs="Arial"/>
          <w:sz w:val="24"/>
          <w:szCs w:val="24"/>
        </w:rPr>
        <w:t>L’eccezione deve pertanto essere respinta.</w:t>
      </w:r>
    </w:p>
    <w:p w14:paraId="2EB015CF" w14:textId="77777777" w:rsidR="00297929" w:rsidRPr="00286E13" w:rsidRDefault="0044088E" w:rsidP="00286E13">
      <w:pPr>
        <w:spacing w:line="360" w:lineRule="auto"/>
        <w:jc w:val="center"/>
        <w:rPr>
          <w:rFonts w:ascii="Arial" w:hAnsi="Arial" w:cs="Arial"/>
          <w:sz w:val="24"/>
          <w:szCs w:val="24"/>
        </w:rPr>
      </w:pPr>
      <w:r>
        <w:rPr>
          <w:rFonts w:ascii="Arial" w:hAnsi="Arial" w:cs="Arial"/>
          <w:sz w:val="24"/>
          <w:szCs w:val="24"/>
        </w:rPr>
        <w:t>*</w:t>
      </w:r>
      <w:r>
        <w:rPr>
          <w:rFonts w:ascii="Arial" w:hAnsi="Arial" w:cs="Arial"/>
          <w:sz w:val="24"/>
          <w:szCs w:val="24"/>
        </w:rPr>
        <w:t xml:space="preserve"> * *</w:t>
      </w:r>
    </w:p>
    <w:p w14:paraId="34416E35" w14:textId="77777777" w:rsidR="00DF57A0" w:rsidRPr="00DF57A0" w:rsidRDefault="00DF57A0" w:rsidP="00DF57A0">
      <w:pPr>
        <w:spacing w:before="120" w:after="120" w:line="360" w:lineRule="auto"/>
        <w:ind w:firstLine="708"/>
        <w:jc w:val="both"/>
        <w:rPr>
          <w:rFonts w:ascii="Arial" w:hAnsi="Arial" w:cs="Arial"/>
          <w:sz w:val="24"/>
          <w:szCs w:val="24"/>
        </w:rPr>
      </w:pPr>
      <w:r>
        <w:rPr>
          <w:rFonts w:ascii="Arial" w:hAnsi="Arial" w:cs="Arial"/>
          <w:sz w:val="24"/>
          <w:szCs w:val="24"/>
        </w:rPr>
        <w:lastRenderedPageBreak/>
        <w:t>Per tutto quanto sopra esposto, il Comune di Montefalco, in persona del Sindaco e legale rappresentante pro tempore, come in epigrafe rappresentato e domiciliato, con espressa riserva di ogni integrazione, anche istruttoria, che dovesse rendersi necessaria,</w:t>
      </w:r>
    </w:p>
    <w:p w14:paraId="4D2DB015" w14:textId="77777777" w:rsidR="00DF57A0" w:rsidRPr="00DF57A0" w:rsidRDefault="00DF57A0" w:rsidP="00DF57A0">
      <w:pPr>
        <w:spacing w:before="120" w:after="120" w:line="360" w:lineRule="auto"/>
        <w:jc w:val="center"/>
        <w:rPr>
          <w:rFonts w:ascii="Arial" w:hAnsi="Arial" w:cs="Arial"/>
          <w:sz w:val="24"/>
          <w:szCs w:val="24"/>
        </w:rPr>
      </w:pPr>
      <w:r>
        <w:rPr>
          <w:rFonts w:ascii="Arial" w:hAnsi="Arial" w:cs="Arial"/>
          <w:b/>
          <w:bCs/>
          <w:sz w:val="24"/>
          <w:szCs w:val="24"/>
        </w:rPr>
        <w:t>conclude</w:t>
      </w:r>
    </w:p>
    <w:p w14:paraId="6CC904BF" w14:textId="77777777" w:rsidR="00DF57A0" w:rsidRPr="00DF57A0" w:rsidRDefault="00DF57A0" w:rsidP="00DF57A0">
      <w:pPr>
        <w:spacing w:before="120" w:after="120" w:line="360" w:lineRule="auto"/>
        <w:ind w:firstLine="708"/>
        <w:jc w:val="both"/>
        <w:rPr>
          <w:rFonts w:ascii="Arial" w:hAnsi="Arial" w:cs="Arial"/>
          <w:sz w:val="24"/>
          <w:szCs w:val="24"/>
        </w:rPr>
      </w:pPr>
      <w:r>
        <w:rPr>
          <w:rFonts w:ascii="Arial" w:hAnsi="Arial" w:cs="Arial"/>
          <w:sz w:val="24"/>
          <w:szCs w:val="24"/>
        </w:rPr>
        <w:t>affinché l’On.le Corte di Giustizia Tributaria adita, disattesa ogni contraria istanza ed eccezione, voglia:</w:t>
      </w:r>
    </w:p>
    <w:p w14:paraId="76C7FB89" w14:textId="77777777" w:rsidR="00297929" w:rsidRPr="00286E13" w:rsidRDefault="00DF57A0" w:rsidP="00DF57A0">
      <w:pPr>
        <w:spacing w:line="360" w:lineRule="auto"/>
        <w:ind w:firstLine="708"/>
        <w:jc w:val="both"/>
        <w:rPr>
          <w:rFonts w:ascii="Arial" w:hAnsi="Arial" w:cs="Arial"/>
          <w:sz w:val="24"/>
          <w:szCs w:val="24"/>
        </w:rPr>
      </w:pPr>
      <w:r>
        <w:rPr>
          <w:rFonts w:ascii="Arial" w:hAnsi="Arial" w:cs="Arial"/>
          <w:b/>
          <w:bCs/>
          <w:sz w:val="24"/>
          <w:szCs w:val="24"/>
        </w:rPr>
        <w:t>rigettare integralmente il ricorso proposto da Wind Tre S.p.A. avverso l’Avviso di Accertamento Esecutivo n. 4 del 16.03.2026, confermandone la piena legittimità e fondatezza, con ogni conseguenziale statuizione di legge.</w:t>
      </w:r>
    </w:p>
    <w:p w14:paraId="7109A30A" w14:textId="77777777" w:rsidR="00297929" w:rsidRPr="00286E13" w:rsidRDefault="0044088E" w:rsidP="00286E13">
      <w:pPr>
        <w:spacing w:line="360" w:lineRule="auto"/>
        <w:ind w:firstLine="708"/>
        <w:jc w:val="both"/>
        <w:rPr>
          <w:rFonts w:ascii="Arial" w:hAnsi="Arial" w:cs="Arial"/>
          <w:sz w:val="24"/>
          <w:szCs w:val="24"/>
        </w:rPr>
      </w:pPr>
      <w:r>
        <w:rPr>
          <w:rFonts w:ascii="Arial" w:hAnsi="Arial" w:cs="Arial"/>
          <w:sz w:val="24"/>
          <w:szCs w:val="24"/>
        </w:rPr>
        <w:t>In via gradata, rideterminare il Canone e la sanzione nella misura che risulterà a seguito dell’eventuale fase istruttoria</w:t>
      </w:r>
      <w:r>
        <w:rPr>
          <w:rFonts w:ascii="Arial" w:hAnsi="Arial" w:cs="Arial"/>
          <w:sz w:val="24"/>
          <w:szCs w:val="24"/>
        </w:rPr>
        <w:t xml:space="preserve"> sulla base delle prove offerte da WIND TRE S.P.A.</w:t>
      </w:r>
    </w:p>
    <w:p w14:paraId="708A0219" w14:textId="77777777" w:rsidR="00F253A4" w:rsidRPr="00F253A4" w:rsidRDefault="00F253A4" w:rsidP="00F253A4">
      <w:pPr>
        <w:spacing w:line="360" w:lineRule="auto"/>
        <w:ind w:firstLine="708"/>
        <w:jc w:val="both"/>
        <w:rPr>
          <w:rFonts w:ascii="Arial" w:eastAsia="Arial" w:hAnsi="Arial" w:cs="Arial"/>
          <w:sz w:val="24"/>
          <w:szCs w:val="24"/>
        </w:rPr>
      </w:pPr>
      <w:r w:rsidRPr="00F253A4">
        <w:rPr>
          <w:rFonts w:ascii="Arial" w:eastAsia="Arial" w:hAnsi="Arial" w:cs="Arial"/>
          <w:sz w:val="24"/>
          <w:szCs w:val="24"/>
        </w:rPr>
        <w:t>Con vittoria di spese e competenze di giudizio.</w:t>
      </w:r>
    </w:p>
    <w:p w14:paraId="797F7F6D" w14:textId="20633720" w:rsidR="00F253A4" w:rsidRDefault="00F253A4" w:rsidP="00F253A4">
      <w:pPr>
        <w:spacing w:line="360" w:lineRule="auto"/>
        <w:ind w:firstLine="708"/>
        <w:jc w:val="both"/>
        <w:rPr>
          <w:rFonts w:ascii="Arial" w:eastAsia="Arial" w:hAnsi="Arial" w:cs="Arial"/>
          <w:b/>
          <w:bCs/>
          <w:sz w:val="24"/>
          <w:szCs w:val="24"/>
        </w:rPr>
      </w:pPr>
      <w:r w:rsidRPr="00F253A4">
        <w:rPr>
          <w:rFonts w:ascii="Arial" w:eastAsia="Arial" w:hAnsi="Arial" w:cs="Arial"/>
          <w:b/>
          <w:bCs/>
          <w:sz w:val="24"/>
          <w:szCs w:val="24"/>
        </w:rPr>
        <w:t>Si chiede di essere autorizzati alla trattazione della controversia con collegamento da remoto.</w:t>
      </w:r>
    </w:p>
    <w:p w14:paraId="19469A53" w14:textId="77777777" w:rsidR="00F253A4" w:rsidRPr="00F253A4" w:rsidRDefault="00F253A4" w:rsidP="00F253A4">
      <w:pPr>
        <w:spacing w:line="360" w:lineRule="auto"/>
        <w:ind w:firstLine="708"/>
        <w:jc w:val="both"/>
        <w:rPr>
          <w:rFonts w:ascii="Arial" w:eastAsia="Arial" w:hAnsi="Arial" w:cs="Arial"/>
          <w:b/>
          <w:bCs/>
          <w:sz w:val="24"/>
          <w:szCs w:val="24"/>
        </w:rPr>
      </w:pPr>
    </w:p>
    <w:p w14:paraId="2B486CAA" w14:textId="77777777" w:rsidR="00F253A4" w:rsidRPr="00F253A4" w:rsidRDefault="00F253A4" w:rsidP="00F253A4">
      <w:pPr>
        <w:spacing w:line="360" w:lineRule="auto"/>
        <w:jc w:val="center"/>
        <w:rPr>
          <w:rFonts w:ascii="Arial" w:eastAsia="Arial" w:hAnsi="Arial" w:cs="Arial"/>
          <w:sz w:val="24"/>
          <w:szCs w:val="24"/>
        </w:rPr>
      </w:pPr>
      <w:r w:rsidRPr="00F253A4">
        <w:rPr>
          <w:rFonts w:ascii="Arial" w:eastAsia="Arial" w:hAnsi="Arial" w:cs="Arial"/>
          <w:b/>
          <w:bCs/>
          <w:sz w:val="24"/>
          <w:szCs w:val="24"/>
        </w:rPr>
        <w:t>Attestazione conformità degli atti depositati</w:t>
      </w:r>
    </w:p>
    <w:p w14:paraId="147D772C" w14:textId="77777777" w:rsidR="00F253A4" w:rsidRPr="00F253A4" w:rsidRDefault="00F253A4" w:rsidP="00F253A4">
      <w:pPr>
        <w:spacing w:line="360" w:lineRule="auto"/>
        <w:jc w:val="both"/>
        <w:rPr>
          <w:rFonts w:ascii="Arial" w:eastAsia="Arial" w:hAnsi="Arial" w:cs="Arial"/>
          <w:sz w:val="24"/>
          <w:szCs w:val="24"/>
        </w:rPr>
      </w:pPr>
      <w:r w:rsidRPr="00F253A4">
        <w:rPr>
          <w:rFonts w:ascii="Arial" w:eastAsia="Arial" w:hAnsi="Arial" w:cs="Arial"/>
          <w:sz w:val="24"/>
          <w:szCs w:val="24"/>
        </w:rPr>
        <w:t>Io sottoscritto avv. Maria Voccia De Felice, in qualità di difensore nominato nel presente procedimento, attesto, ai sensi dell’art. 22, co. 2, d.lgs. 82/2005, la conformità con gli originali delle copie per immagine dei seguenti documenti depositati:</w:t>
      </w:r>
    </w:p>
    <w:p w14:paraId="13F3D0ED" w14:textId="77777777" w:rsidR="00347EA1" w:rsidRDefault="0044088E">
      <w:pPr>
        <w:spacing w:before="60" w:after="60" w:line="360" w:lineRule="auto"/>
        <w:ind w:left="426" w:hanging="426"/>
        <w:jc w:val="both"/>
        <w:rPr>
          <w:rFonts w:ascii="Arial" w:hAnsi="Arial" w:cs="Arial"/>
          <w:sz w:val="24"/>
          <w:szCs w:val="24"/>
        </w:rPr>
      </w:pPr>
      <w:r>
        <w:rPr>
          <w:rFonts w:ascii="Arial" w:hAnsi="Arial" w:cs="Arial"/>
          <w:sz w:val="24"/>
          <w:szCs w:val="24"/>
        </w:rPr>
        <w:t>A</w:t>
      </w:r>
      <w:r>
        <w:rPr>
          <w:rFonts w:ascii="Arial" w:hAnsi="Arial" w:cs="Arial"/>
          <w:sz w:val="24"/>
          <w:szCs w:val="24"/>
        </w:rPr>
        <w:t>) Ricorso di WIND TRE S.P.A. (depositato il 22.05.2026)</w:t>
      </w:r>
    </w:p>
    <w:p w14:paraId="0BA2D7FC" w14:textId="77777777" w:rsidR="00347EA1" w:rsidRDefault="0044088E">
      <w:pPr>
        <w:spacing w:before="60" w:after="60" w:line="360" w:lineRule="auto"/>
        <w:ind w:left="426" w:hanging="426"/>
        <w:jc w:val="both"/>
        <w:rPr>
          <w:rFonts w:ascii="Arial" w:hAnsi="Arial" w:cs="Arial"/>
          <w:sz w:val="24"/>
          <w:szCs w:val="24"/>
        </w:rPr>
      </w:pPr>
      <w:r>
        <w:rPr>
          <w:rFonts w:ascii="Arial" w:hAnsi="Arial" w:cs="Arial"/>
          <w:sz w:val="24"/>
          <w:szCs w:val="24"/>
        </w:rPr>
        <w:t>B)</w:t>
      </w:r>
      <w:r>
        <w:rPr>
          <w:rFonts w:ascii="Arial" w:hAnsi="Arial" w:cs="Arial"/>
          <w:sz w:val="24"/>
          <w:szCs w:val="24"/>
        </w:rPr>
        <w:t xml:space="preserve"> Delibera di costituzione in giudizio del Comune di Montefalco</w:t>
      </w:r>
    </w:p>
    <w:p w14:paraId="0144A7C2" w14:textId="77777777" w:rsidR="00347EA1" w:rsidRDefault="0044088E">
      <w:pPr>
        <w:spacing w:before="60" w:after="60" w:line="360" w:lineRule="auto"/>
        <w:ind w:left="426" w:hanging="426"/>
        <w:jc w:val="both"/>
        <w:rPr>
          <w:rFonts w:ascii="Arial" w:hAnsi="Arial" w:cs="Arial"/>
          <w:sz w:val="24"/>
          <w:szCs w:val="24"/>
        </w:rPr>
      </w:pPr>
      <w:r>
        <w:rPr>
          <w:rFonts w:ascii="Arial" w:hAnsi="Arial" w:cs="Arial"/>
          <w:sz w:val="24"/>
          <w:szCs w:val="24"/>
        </w:rPr>
        <w:t>1) Regolamento Canone Unico Patrimoniale del Comune di Montefalco (Delibera C.C. n. 5 del 30.03.2021, modificato con delibera n. 5 del 12.02.2025)</w:t>
      </w:r>
    </w:p>
    <w:p w14:paraId="41E45C59" w14:textId="639E2B8B" w:rsidR="00347EA1" w:rsidRDefault="0044088E">
      <w:pPr>
        <w:spacing w:before="60" w:after="60" w:line="360" w:lineRule="auto"/>
        <w:ind w:left="426" w:hanging="426"/>
        <w:jc w:val="both"/>
        <w:rPr>
          <w:rFonts w:ascii="Arial" w:hAnsi="Arial" w:cs="Arial"/>
          <w:sz w:val="24"/>
          <w:szCs w:val="24"/>
        </w:rPr>
      </w:pPr>
      <w:r>
        <w:rPr>
          <w:rFonts w:ascii="Arial" w:hAnsi="Arial" w:cs="Arial"/>
          <w:sz w:val="24"/>
          <w:szCs w:val="24"/>
        </w:rPr>
        <w:t xml:space="preserve">2) Determinazione di affidamento del servizio </w:t>
      </w:r>
      <w:r w:rsidR="00C56CA5">
        <w:rPr>
          <w:rFonts w:ascii="Arial" w:hAnsi="Arial" w:cs="Arial"/>
          <w:sz w:val="24"/>
          <w:szCs w:val="24"/>
        </w:rPr>
        <w:t xml:space="preserve">di supporto </w:t>
      </w:r>
      <w:r>
        <w:rPr>
          <w:rFonts w:ascii="Arial" w:hAnsi="Arial" w:cs="Arial"/>
          <w:sz w:val="24"/>
          <w:szCs w:val="24"/>
        </w:rPr>
        <w:t>ad Archivia Solution S.p.A. n. 370 del 27.10.2025</w:t>
      </w:r>
    </w:p>
    <w:p w14:paraId="70B795E0" w14:textId="77777777" w:rsidR="00347EA1" w:rsidRDefault="0044088E">
      <w:pPr>
        <w:spacing w:before="60" w:after="60" w:line="360" w:lineRule="auto"/>
        <w:ind w:left="426" w:hanging="426"/>
        <w:jc w:val="both"/>
        <w:rPr>
          <w:rFonts w:ascii="Arial" w:hAnsi="Arial" w:cs="Arial"/>
          <w:sz w:val="24"/>
          <w:szCs w:val="24"/>
        </w:rPr>
      </w:pPr>
      <w:r>
        <w:rPr>
          <w:rFonts w:ascii="Arial" w:hAnsi="Arial" w:cs="Arial"/>
          <w:sz w:val="24"/>
          <w:szCs w:val="24"/>
        </w:rPr>
        <w:t>3) Richiesta di dichiarazione utenze del 07.01.2026 (Archivia Solution S.p.A.) e ricevute di accettazione e di consegna</w:t>
      </w:r>
    </w:p>
    <w:p w14:paraId="4DFDABFC" w14:textId="77777777" w:rsidR="00347EA1" w:rsidRDefault="0044088E">
      <w:pPr>
        <w:spacing w:before="60" w:after="60" w:line="360" w:lineRule="auto"/>
        <w:ind w:left="426" w:hanging="426"/>
        <w:jc w:val="both"/>
        <w:rPr>
          <w:rFonts w:ascii="Arial" w:hAnsi="Arial" w:cs="Arial"/>
          <w:sz w:val="24"/>
          <w:szCs w:val="24"/>
        </w:rPr>
      </w:pPr>
      <w:r>
        <w:rPr>
          <w:rFonts w:ascii="Arial" w:hAnsi="Arial" w:cs="Arial"/>
          <w:sz w:val="24"/>
          <w:szCs w:val="24"/>
        </w:rPr>
        <w:t>4) Avviso di Accertamento Esecutivo n. 4 del 16.03.2026 e ricevuta di cons</w:t>
      </w:r>
      <w:r>
        <w:rPr>
          <w:rFonts w:ascii="Arial" w:hAnsi="Arial" w:cs="Arial"/>
          <w:sz w:val="24"/>
          <w:szCs w:val="24"/>
        </w:rPr>
        <w:t>egna PEC del 25.03.2026</w:t>
      </w:r>
    </w:p>
    <w:p w14:paraId="17BBB4E5" w14:textId="77777777" w:rsidR="00347EA1" w:rsidRDefault="0044088E">
      <w:pPr>
        <w:spacing w:before="60" w:after="60" w:line="360" w:lineRule="auto"/>
        <w:ind w:left="426" w:hanging="426"/>
        <w:jc w:val="both"/>
        <w:rPr>
          <w:rFonts w:ascii="Arial" w:hAnsi="Arial" w:cs="Arial"/>
          <w:sz w:val="24"/>
          <w:szCs w:val="24"/>
        </w:rPr>
      </w:pPr>
      <w:r>
        <w:rPr>
          <w:rFonts w:ascii="Arial" w:hAnsi="Arial" w:cs="Arial"/>
          <w:sz w:val="24"/>
          <w:szCs w:val="24"/>
        </w:rPr>
        <w:t>5) Istanza di annullamento in autotutela di Wind Tre S.p.A. (PEC del 25.03.2026)</w:t>
      </w:r>
    </w:p>
    <w:p w14:paraId="17178092" w14:textId="77777777" w:rsidR="00347EA1" w:rsidRDefault="0044088E">
      <w:pPr>
        <w:spacing w:before="60" w:after="60" w:line="360" w:lineRule="auto"/>
        <w:ind w:left="426" w:hanging="426"/>
        <w:jc w:val="both"/>
        <w:rPr>
          <w:rFonts w:ascii="Arial" w:hAnsi="Arial" w:cs="Arial"/>
          <w:sz w:val="24"/>
          <w:szCs w:val="24"/>
        </w:rPr>
      </w:pPr>
      <w:r>
        <w:rPr>
          <w:rFonts w:ascii="Arial" w:hAnsi="Arial" w:cs="Arial"/>
          <w:sz w:val="24"/>
          <w:szCs w:val="24"/>
        </w:rPr>
        <w:t>6) Provvedimento di rigetto dell’istanza di autotutela del Comune di Montefalco, notificato a mezzo PEC il 29.04.2026, con ricevute di accettazione e d</w:t>
      </w:r>
      <w:r>
        <w:rPr>
          <w:rFonts w:ascii="Arial" w:hAnsi="Arial" w:cs="Arial"/>
          <w:sz w:val="24"/>
          <w:szCs w:val="24"/>
        </w:rPr>
        <w:t>i consegna</w:t>
      </w:r>
    </w:p>
    <w:p w14:paraId="7BAC3089" w14:textId="77777777" w:rsidR="00347EA1" w:rsidRDefault="0044088E">
      <w:pPr>
        <w:spacing w:before="60" w:after="60" w:line="360" w:lineRule="auto"/>
        <w:ind w:left="426" w:hanging="426"/>
        <w:jc w:val="both"/>
        <w:rPr>
          <w:rFonts w:ascii="Arial" w:hAnsi="Arial" w:cs="Arial"/>
          <w:sz w:val="24"/>
          <w:szCs w:val="24"/>
        </w:rPr>
      </w:pPr>
      <w:r>
        <w:rPr>
          <w:rFonts w:ascii="Arial" w:hAnsi="Arial" w:cs="Arial"/>
          <w:sz w:val="24"/>
          <w:szCs w:val="24"/>
        </w:rPr>
        <w:t>7) Corte di Cassazione, SS.UU., sentenza n. 12225 del 1° maggio 2026</w:t>
      </w:r>
    </w:p>
    <w:p w14:paraId="17CEED43" w14:textId="77777777" w:rsidR="00347EA1" w:rsidRDefault="0044088E">
      <w:pPr>
        <w:spacing w:before="60" w:after="60" w:line="360" w:lineRule="auto"/>
        <w:ind w:left="426" w:hanging="426"/>
        <w:jc w:val="both"/>
        <w:rPr>
          <w:rFonts w:ascii="Arial" w:hAnsi="Arial" w:cs="Arial"/>
          <w:sz w:val="24"/>
          <w:szCs w:val="24"/>
        </w:rPr>
      </w:pPr>
      <w:r>
        <w:rPr>
          <w:rFonts w:ascii="Arial" w:hAnsi="Arial" w:cs="Arial"/>
          <w:sz w:val="24"/>
          <w:szCs w:val="24"/>
        </w:rPr>
        <w:t>8) Circolare MEF n. 1/DF del 22.05.2026</w:t>
      </w:r>
    </w:p>
    <w:p w14:paraId="7870CF9F" w14:textId="77777777" w:rsidR="00347EA1" w:rsidRDefault="0044088E">
      <w:pPr>
        <w:spacing w:before="60" w:after="60" w:line="360" w:lineRule="auto"/>
        <w:ind w:left="426" w:hanging="426"/>
        <w:jc w:val="both"/>
        <w:rPr>
          <w:rFonts w:ascii="Arial" w:hAnsi="Arial" w:cs="Arial"/>
          <w:sz w:val="24"/>
          <w:szCs w:val="24"/>
        </w:rPr>
      </w:pPr>
      <w:r>
        <w:rPr>
          <w:rFonts w:ascii="Arial" w:hAnsi="Arial" w:cs="Arial"/>
          <w:sz w:val="24"/>
          <w:szCs w:val="24"/>
        </w:rPr>
        <w:lastRenderedPageBreak/>
        <w:t>9) Corte di Cassazione, Sez. III Civile, sentenza n. 11479 del 28.04.2026</w:t>
      </w:r>
    </w:p>
    <w:p w14:paraId="1AD9EE04" w14:textId="77777777" w:rsidR="00347EA1" w:rsidRDefault="0044088E">
      <w:pPr>
        <w:spacing w:before="60" w:after="60" w:line="360" w:lineRule="auto"/>
        <w:ind w:left="426" w:hanging="426"/>
        <w:jc w:val="both"/>
        <w:rPr>
          <w:rFonts w:ascii="Arial" w:hAnsi="Arial" w:cs="Arial"/>
          <w:sz w:val="24"/>
          <w:szCs w:val="24"/>
        </w:rPr>
      </w:pPr>
      <w:r>
        <w:rPr>
          <w:rFonts w:ascii="Arial" w:hAnsi="Arial" w:cs="Arial"/>
          <w:sz w:val="24"/>
          <w:szCs w:val="24"/>
        </w:rPr>
        <w:t>10) Circolare MEF n. 1/DF del 20.01.2009</w:t>
      </w:r>
    </w:p>
    <w:p w14:paraId="358CCE78" w14:textId="77777777" w:rsidR="00347EA1" w:rsidRDefault="0044088E">
      <w:pPr>
        <w:spacing w:before="60" w:after="60" w:line="360" w:lineRule="auto"/>
        <w:ind w:left="426" w:hanging="426"/>
        <w:jc w:val="both"/>
        <w:rPr>
          <w:rFonts w:ascii="Arial" w:hAnsi="Arial" w:cs="Arial"/>
          <w:sz w:val="24"/>
          <w:szCs w:val="24"/>
        </w:rPr>
      </w:pPr>
      <w:r>
        <w:rPr>
          <w:rFonts w:ascii="Arial" w:hAnsi="Arial" w:cs="Arial"/>
          <w:sz w:val="24"/>
          <w:szCs w:val="24"/>
        </w:rPr>
        <w:t>11) Dati Osservatorio</w:t>
      </w:r>
      <w:r>
        <w:rPr>
          <w:rFonts w:ascii="Arial" w:hAnsi="Arial" w:cs="Arial"/>
          <w:sz w:val="24"/>
          <w:szCs w:val="24"/>
        </w:rPr>
        <w:t xml:space="preserve"> sulle Comunicazioni AGCOM</w:t>
      </w:r>
    </w:p>
    <w:p w14:paraId="75D9A237" w14:textId="77777777" w:rsidR="00347EA1" w:rsidRDefault="0044088E">
      <w:pPr>
        <w:spacing w:before="60" w:after="60" w:line="360" w:lineRule="auto"/>
        <w:ind w:left="426" w:hanging="426"/>
        <w:jc w:val="both"/>
        <w:rPr>
          <w:rFonts w:ascii="Arial" w:hAnsi="Arial" w:cs="Arial"/>
          <w:sz w:val="24"/>
          <w:szCs w:val="24"/>
        </w:rPr>
      </w:pPr>
      <w:r>
        <w:rPr>
          <w:rFonts w:ascii="Arial" w:hAnsi="Arial" w:cs="Arial"/>
          <w:sz w:val="24"/>
          <w:szCs w:val="24"/>
        </w:rPr>
        <w:t>12) Sentenza Tribunale di Bergamo n. 1523/2025 del 25.11.2025</w:t>
      </w:r>
    </w:p>
    <w:p w14:paraId="393102E7" w14:textId="77777777" w:rsidR="00347EA1" w:rsidRDefault="0044088E">
      <w:pPr>
        <w:spacing w:before="60" w:after="60" w:line="360" w:lineRule="auto"/>
        <w:ind w:left="426" w:hanging="426"/>
        <w:jc w:val="both"/>
        <w:rPr>
          <w:rFonts w:ascii="Arial" w:hAnsi="Arial" w:cs="Arial"/>
          <w:sz w:val="24"/>
          <w:szCs w:val="24"/>
        </w:rPr>
      </w:pPr>
      <w:r>
        <w:rPr>
          <w:rFonts w:ascii="Arial" w:hAnsi="Arial" w:cs="Arial"/>
          <w:sz w:val="24"/>
          <w:szCs w:val="24"/>
        </w:rPr>
        <w:t>13) Sentenza Tribunale di Bergamo n. 289/2026 del 21.03.2026</w:t>
      </w:r>
    </w:p>
    <w:p w14:paraId="2849398D" w14:textId="77777777" w:rsidR="00347EA1" w:rsidRDefault="0044088E">
      <w:pPr>
        <w:spacing w:before="60" w:after="60" w:line="360" w:lineRule="auto"/>
        <w:ind w:left="426" w:hanging="426"/>
        <w:jc w:val="both"/>
        <w:rPr>
          <w:rFonts w:ascii="Arial" w:hAnsi="Arial" w:cs="Arial"/>
          <w:sz w:val="24"/>
          <w:szCs w:val="24"/>
        </w:rPr>
      </w:pPr>
      <w:r>
        <w:rPr>
          <w:rFonts w:ascii="Arial" w:hAnsi="Arial" w:cs="Arial"/>
          <w:sz w:val="24"/>
          <w:szCs w:val="24"/>
        </w:rPr>
        <w:t>14) Sentenza Tribunale di Napoli n. 5948/2026 del 13.04.2026 (R.G. 16629/2025)</w:t>
      </w:r>
    </w:p>
    <w:p w14:paraId="1C31A3B3" w14:textId="77777777" w:rsidR="00347EA1" w:rsidRDefault="0044088E">
      <w:pPr>
        <w:spacing w:before="60" w:after="60" w:line="360" w:lineRule="auto"/>
        <w:ind w:left="426" w:hanging="426"/>
        <w:jc w:val="both"/>
        <w:rPr>
          <w:rFonts w:ascii="Arial" w:hAnsi="Arial" w:cs="Arial"/>
          <w:sz w:val="24"/>
          <w:szCs w:val="24"/>
        </w:rPr>
      </w:pPr>
      <w:r>
        <w:rPr>
          <w:rFonts w:ascii="Arial" w:hAnsi="Arial" w:cs="Arial"/>
          <w:sz w:val="24"/>
          <w:szCs w:val="24"/>
        </w:rPr>
        <w:t>15) Sentenza Tribunale di T</w:t>
      </w:r>
      <w:r>
        <w:rPr>
          <w:rFonts w:ascii="Arial" w:hAnsi="Arial" w:cs="Arial"/>
          <w:sz w:val="24"/>
          <w:szCs w:val="24"/>
        </w:rPr>
        <w:t>reviso n. 240/2025 del 20.02.2025 (appello)</w:t>
      </w:r>
    </w:p>
    <w:p w14:paraId="3761DCD3" w14:textId="77777777" w:rsidR="00347EA1" w:rsidRDefault="0044088E">
      <w:pPr>
        <w:spacing w:before="60" w:after="60" w:line="360" w:lineRule="auto"/>
        <w:ind w:left="426" w:hanging="426"/>
        <w:jc w:val="both"/>
        <w:rPr>
          <w:rFonts w:ascii="Arial" w:hAnsi="Arial" w:cs="Arial"/>
          <w:sz w:val="24"/>
          <w:szCs w:val="24"/>
        </w:rPr>
      </w:pPr>
      <w:r>
        <w:rPr>
          <w:rFonts w:ascii="Arial" w:hAnsi="Arial" w:cs="Arial"/>
          <w:sz w:val="24"/>
          <w:szCs w:val="24"/>
        </w:rPr>
        <w:t>16) Sentenza Tribunale di Piacenza n. 207 del 06.05.2025</w:t>
      </w:r>
    </w:p>
    <w:p w14:paraId="4061597A" w14:textId="77777777" w:rsidR="00347EA1" w:rsidRDefault="0044088E">
      <w:pPr>
        <w:spacing w:before="60" w:after="60" w:line="360" w:lineRule="auto"/>
        <w:ind w:left="426" w:hanging="426"/>
        <w:jc w:val="both"/>
        <w:rPr>
          <w:rFonts w:ascii="Arial" w:hAnsi="Arial" w:cs="Arial"/>
          <w:sz w:val="24"/>
          <w:szCs w:val="24"/>
        </w:rPr>
      </w:pPr>
      <w:r>
        <w:rPr>
          <w:rFonts w:ascii="Arial" w:hAnsi="Arial" w:cs="Arial"/>
          <w:sz w:val="24"/>
          <w:szCs w:val="24"/>
        </w:rPr>
        <w:t>17) Sentenza Tribunale di Piacenza n. 350 del 16.07.2025 (II grado, R.G. 1562/2024)</w:t>
      </w:r>
    </w:p>
    <w:p w14:paraId="71B27A74" w14:textId="77777777" w:rsidR="00347EA1" w:rsidRDefault="0044088E">
      <w:pPr>
        <w:spacing w:before="60" w:after="60" w:line="360" w:lineRule="auto"/>
        <w:ind w:left="426" w:hanging="426"/>
        <w:jc w:val="both"/>
        <w:rPr>
          <w:rFonts w:ascii="Arial" w:hAnsi="Arial" w:cs="Arial"/>
          <w:sz w:val="24"/>
          <w:szCs w:val="24"/>
        </w:rPr>
      </w:pPr>
      <w:r>
        <w:rPr>
          <w:rFonts w:ascii="Arial" w:hAnsi="Arial" w:cs="Arial"/>
          <w:sz w:val="24"/>
          <w:szCs w:val="24"/>
        </w:rPr>
        <w:t>18) Sentenza Tribunale di Ivrea n. 1255 del 29.09.2025 (II grado)</w:t>
      </w:r>
    </w:p>
    <w:p w14:paraId="6710ABE0" w14:textId="77777777" w:rsidR="00347EA1" w:rsidRDefault="0044088E">
      <w:pPr>
        <w:spacing w:before="60" w:after="60" w:line="360" w:lineRule="auto"/>
        <w:ind w:left="426" w:hanging="426"/>
        <w:jc w:val="both"/>
        <w:rPr>
          <w:rFonts w:ascii="Arial" w:hAnsi="Arial" w:cs="Arial"/>
          <w:sz w:val="24"/>
          <w:szCs w:val="24"/>
        </w:rPr>
      </w:pPr>
      <w:r>
        <w:rPr>
          <w:rFonts w:ascii="Arial" w:hAnsi="Arial" w:cs="Arial"/>
          <w:sz w:val="24"/>
          <w:szCs w:val="24"/>
        </w:rPr>
        <w:t>19) S</w:t>
      </w:r>
      <w:r>
        <w:rPr>
          <w:rFonts w:ascii="Arial" w:hAnsi="Arial" w:cs="Arial"/>
          <w:sz w:val="24"/>
          <w:szCs w:val="24"/>
        </w:rPr>
        <w:t>entenza Tribunale di Bolzano n. 431/2024 del 08.04.2024</w:t>
      </w:r>
    </w:p>
    <w:p w14:paraId="059E9442" w14:textId="77777777" w:rsidR="00347EA1" w:rsidRDefault="0044088E">
      <w:pPr>
        <w:spacing w:before="60" w:after="60" w:line="360" w:lineRule="auto"/>
        <w:ind w:left="426" w:hanging="426"/>
        <w:jc w:val="both"/>
        <w:rPr>
          <w:rFonts w:ascii="Arial" w:hAnsi="Arial" w:cs="Arial"/>
          <w:sz w:val="24"/>
          <w:szCs w:val="24"/>
        </w:rPr>
      </w:pPr>
      <w:r>
        <w:rPr>
          <w:rFonts w:ascii="Arial" w:hAnsi="Arial" w:cs="Arial"/>
          <w:sz w:val="24"/>
          <w:szCs w:val="24"/>
        </w:rPr>
        <w:t>20) Sentenza Tribunale di Bolzano n. 908/2025 del 15.10.2025</w:t>
      </w:r>
    </w:p>
    <w:p w14:paraId="0787E1D9" w14:textId="73C3994F" w:rsidR="00DF57A0" w:rsidRPr="00DF57A0" w:rsidRDefault="00C576B3" w:rsidP="00DF57A0">
      <w:pPr>
        <w:spacing w:line="360" w:lineRule="auto"/>
        <w:jc w:val="both"/>
        <w:rPr>
          <w:rFonts w:ascii="Arial" w:hAnsi="Arial" w:cs="Arial"/>
          <w:sz w:val="24"/>
          <w:szCs w:val="24"/>
        </w:rPr>
      </w:pPr>
      <w:r>
        <w:rPr>
          <w:rFonts w:ascii="Arial" w:hAnsi="Arial" w:cs="Arial"/>
          <w:sz w:val="24"/>
          <w:szCs w:val="24"/>
        </w:rPr>
        <w:t xml:space="preserve"> </w:t>
      </w:r>
      <w:r w:rsidR="00DF57A0">
        <w:rPr>
          <w:rFonts w:ascii="Arial" w:hAnsi="Arial" w:cs="Arial"/>
          <w:sz w:val="24"/>
          <w:szCs w:val="24"/>
        </w:rPr>
        <w:t xml:space="preserve">Salerno - Montefalco, lì </w:t>
      </w:r>
      <w:r w:rsidR="00F253A4">
        <w:rPr>
          <w:rFonts w:ascii="Arial" w:hAnsi="Arial" w:cs="Arial"/>
          <w:sz w:val="24"/>
          <w:szCs w:val="24"/>
        </w:rPr>
        <w:t>16.07.2026</w:t>
      </w:r>
    </w:p>
    <w:p w14:paraId="4C8B5363" w14:textId="77777777" w:rsidR="00297929" w:rsidRPr="00286E13" w:rsidRDefault="00297929" w:rsidP="00286E13">
      <w:pPr>
        <w:spacing w:line="360" w:lineRule="auto"/>
        <w:rPr>
          <w:rFonts w:ascii="Arial" w:hAnsi="Arial" w:cs="Arial"/>
          <w:sz w:val="24"/>
          <w:szCs w:val="24"/>
        </w:rPr>
      </w:pPr>
    </w:p>
    <w:p w14:paraId="180ACC52" w14:textId="77777777" w:rsidR="00297929" w:rsidRPr="00286E13" w:rsidRDefault="0044088E" w:rsidP="00286E13">
      <w:pPr>
        <w:spacing w:line="360" w:lineRule="auto"/>
        <w:jc w:val="right"/>
        <w:rPr>
          <w:rFonts w:ascii="Arial" w:hAnsi="Arial" w:cs="Arial"/>
          <w:sz w:val="24"/>
          <w:szCs w:val="24"/>
        </w:rPr>
      </w:pPr>
      <w:r>
        <w:rPr>
          <w:rFonts w:ascii="Arial" w:hAnsi="Arial" w:cs="Arial"/>
          <w:b/>
          <w:bCs/>
          <w:sz w:val="24"/>
          <w:szCs w:val="24"/>
        </w:rPr>
        <w:t>Avv. Maria Voccia De Felice</w:t>
      </w:r>
    </w:p>
    <w:sectPr w:rsidR="00297929" w:rsidRPr="00286E13" w:rsidSect="00467533">
      <w:footerReference w:type="default" r:id="rId10"/>
      <w:pgSz w:w="11906" w:h="16838"/>
      <w:pgMar w:top="567" w:right="1134" w:bottom="993"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9A945F" w14:textId="77777777" w:rsidR="00B10BAE" w:rsidRDefault="00B10BAE" w:rsidP="00807516">
      <w:r>
        <w:separator/>
      </w:r>
    </w:p>
  </w:endnote>
  <w:endnote w:type="continuationSeparator" w:id="0">
    <w:p w14:paraId="3B0E74EE" w14:textId="77777777" w:rsidR="00B10BAE" w:rsidRDefault="00B10BAE" w:rsidP="008075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6071417"/>
      <w:docPartObj>
        <w:docPartGallery w:val="Page Numbers (Bottom of Page)"/>
        <w:docPartUnique/>
      </w:docPartObj>
    </w:sdtPr>
    <w:sdtEndPr/>
    <w:sdtContent>
      <w:p w14:paraId="5450A6AB" w14:textId="5CF31A21" w:rsidR="00807516" w:rsidRDefault="00807516">
        <w:pPr>
          <w:pStyle w:val="Pidipagina"/>
          <w:jc w:val="center"/>
        </w:pPr>
        <w:r>
          <w:fldChar w:fldCharType="begin"/>
        </w:r>
        <w:r>
          <w:instrText>PAGE   \* MERGEFORMAT</w:instrText>
        </w:r>
        <w:r>
          <w:fldChar w:fldCharType="separate"/>
        </w:r>
        <w:r w:rsidR="00F8330A">
          <w:rPr>
            <w:noProof/>
          </w:rPr>
          <w:t>20</w:t>
        </w:r>
        <w:r>
          <w:fldChar w:fldCharType="end"/>
        </w:r>
      </w:p>
    </w:sdtContent>
  </w:sdt>
  <w:p w14:paraId="3516D3E0" w14:textId="77777777" w:rsidR="00807516" w:rsidRDefault="00807516">
    <w:pPr>
      <w:pStyle w:val="Pidipa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8FED0B" w14:textId="77777777" w:rsidR="00B10BAE" w:rsidRDefault="00B10BAE" w:rsidP="00807516">
      <w:r>
        <w:separator/>
      </w:r>
    </w:p>
  </w:footnote>
  <w:footnote w:type="continuationSeparator" w:id="0">
    <w:p w14:paraId="6FDA692D" w14:textId="77777777" w:rsidR="00B10BAE" w:rsidRDefault="00B10BAE" w:rsidP="0080751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B78A2"/>
    <w:multiLevelType w:val="hybridMultilevel"/>
    <w:tmpl w:val="C55CD7EE"/>
    <w:lvl w:ilvl="0" w:tplc="669E4674">
      <w:start w:val="1"/>
      <w:numFmt w:val="decimal"/>
      <w:lvlText w:val="%1."/>
      <w:lvlJc w:val="left"/>
      <w:pPr>
        <w:ind w:left="720" w:hanging="360"/>
      </w:pPr>
      <w:rPr>
        <w:rFonts w:ascii="Times New Roman" w:eastAsia="Calibri" w:hAnsi="Times New Roman" w:cs="Times New Roman"/>
      </w:r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1" w15:restartNumberingAfterBreak="0">
    <w:nsid w:val="0AD378A7"/>
    <w:multiLevelType w:val="hybridMultilevel"/>
    <w:tmpl w:val="27F4FF0C"/>
    <w:lvl w:ilvl="0" w:tplc="FFFFFFFF">
      <w:start w:val="1"/>
      <w:numFmt w:val="decimal"/>
      <w:lvlText w:val="%1."/>
      <w:lvlJc w:val="left"/>
      <w:pPr>
        <w:ind w:left="720" w:hanging="360"/>
      </w:pPr>
      <w:rPr>
        <w:rFonts w:ascii="Arial" w:eastAsia="Times New Roman"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EA54DF8"/>
    <w:multiLevelType w:val="hybridMultilevel"/>
    <w:tmpl w:val="CB1C707E"/>
    <w:lvl w:ilvl="0" w:tplc="166EDB9A">
      <w:start w:val="1"/>
      <w:numFmt w:val="bullet"/>
      <w:lvlText w:val="●"/>
      <w:lvlJc w:val="left"/>
      <w:pPr>
        <w:ind w:left="720" w:hanging="360"/>
      </w:pPr>
    </w:lvl>
    <w:lvl w:ilvl="1" w:tplc="2F6454AA">
      <w:start w:val="1"/>
      <w:numFmt w:val="bullet"/>
      <w:lvlText w:val="○"/>
      <w:lvlJc w:val="left"/>
      <w:pPr>
        <w:ind w:left="1440" w:hanging="360"/>
      </w:pPr>
    </w:lvl>
    <w:lvl w:ilvl="2" w:tplc="692AF0FC">
      <w:start w:val="1"/>
      <w:numFmt w:val="bullet"/>
      <w:lvlText w:val="■"/>
      <w:lvlJc w:val="left"/>
      <w:pPr>
        <w:ind w:left="2160" w:hanging="360"/>
      </w:pPr>
    </w:lvl>
    <w:lvl w:ilvl="3" w:tplc="90AEC668">
      <w:start w:val="1"/>
      <w:numFmt w:val="bullet"/>
      <w:lvlText w:val="●"/>
      <w:lvlJc w:val="left"/>
      <w:pPr>
        <w:ind w:left="2880" w:hanging="360"/>
      </w:pPr>
    </w:lvl>
    <w:lvl w:ilvl="4" w:tplc="F7089A52">
      <w:start w:val="1"/>
      <w:numFmt w:val="bullet"/>
      <w:lvlText w:val="○"/>
      <w:lvlJc w:val="left"/>
      <w:pPr>
        <w:ind w:left="3600" w:hanging="360"/>
      </w:pPr>
    </w:lvl>
    <w:lvl w:ilvl="5" w:tplc="BB9CD114">
      <w:start w:val="1"/>
      <w:numFmt w:val="bullet"/>
      <w:lvlText w:val="■"/>
      <w:lvlJc w:val="left"/>
      <w:pPr>
        <w:ind w:left="4320" w:hanging="360"/>
      </w:pPr>
    </w:lvl>
    <w:lvl w:ilvl="6" w:tplc="8FD68060">
      <w:start w:val="1"/>
      <w:numFmt w:val="bullet"/>
      <w:lvlText w:val="●"/>
      <w:lvlJc w:val="left"/>
      <w:pPr>
        <w:ind w:left="5040" w:hanging="360"/>
      </w:pPr>
    </w:lvl>
    <w:lvl w:ilvl="7" w:tplc="7160D724">
      <w:start w:val="1"/>
      <w:numFmt w:val="bullet"/>
      <w:lvlText w:val="●"/>
      <w:lvlJc w:val="left"/>
      <w:pPr>
        <w:ind w:left="5760" w:hanging="360"/>
      </w:pPr>
    </w:lvl>
    <w:lvl w:ilvl="8" w:tplc="1F44DE60">
      <w:start w:val="1"/>
      <w:numFmt w:val="bullet"/>
      <w:lvlText w:val="●"/>
      <w:lvlJc w:val="left"/>
      <w:pPr>
        <w:ind w:left="6480" w:hanging="360"/>
      </w:pPr>
    </w:lvl>
  </w:abstractNum>
  <w:abstractNum w:abstractNumId="3" w15:restartNumberingAfterBreak="0">
    <w:nsid w:val="2D4157B1"/>
    <w:multiLevelType w:val="hybridMultilevel"/>
    <w:tmpl w:val="0D94266E"/>
    <w:lvl w:ilvl="0" w:tplc="0410000F">
      <w:start w:val="1"/>
      <w:numFmt w:val="decimal"/>
      <w:lvlText w:val="%1."/>
      <w:lvlJc w:val="left"/>
      <w:pPr>
        <w:ind w:left="644"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4" w15:restartNumberingAfterBreak="0">
    <w:nsid w:val="5681658A"/>
    <w:multiLevelType w:val="hybridMultilevel"/>
    <w:tmpl w:val="85DA6C18"/>
    <w:lvl w:ilvl="0" w:tplc="9C68B768">
      <w:numFmt w:val="bullet"/>
      <w:lvlText w:val="-"/>
      <w:lvlJc w:val="left"/>
      <w:pPr>
        <w:ind w:left="1068" w:hanging="360"/>
      </w:pPr>
      <w:rPr>
        <w:rFonts w:ascii="Arial" w:eastAsia="Arial" w:hAnsi="Arial" w:cs="Arial" w:hint="default"/>
        <w:b/>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5" w15:restartNumberingAfterBreak="0">
    <w:nsid w:val="5D610CD5"/>
    <w:multiLevelType w:val="hybridMultilevel"/>
    <w:tmpl w:val="14A44000"/>
    <w:lvl w:ilvl="0" w:tplc="20AA60E2">
      <w:start w:val="1"/>
      <w:numFmt w:val="decimal"/>
      <w:lvlText w:val="%1."/>
      <w:lvlJc w:val="left"/>
      <w:pPr>
        <w:ind w:left="720" w:hanging="360"/>
      </w:pPr>
      <w:rPr>
        <w:rFonts w:ascii="Arial" w:eastAsia="Times New Roman" w:hAnsi="Arial" w:cs="Arial"/>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60002588"/>
    <w:multiLevelType w:val="hybridMultilevel"/>
    <w:tmpl w:val="E58CCC8E"/>
    <w:lvl w:ilvl="0" w:tplc="20AA60E2">
      <w:start w:val="1"/>
      <w:numFmt w:val="decimal"/>
      <w:lvlText w:val="%1."/>
      <w:lvlJc w:val="left"/>
      <w:pPr>
        <w:ind w:left="720" w:hanging="360"/>
      </w:pPr>
      <w:rPr>
        <w:rFonts w:ascii="Arial" w:eastAsia="Times New Roman"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A317219"/>
    <w:multiLevelType w:val="hybridMultilevel"/>
    <w:tmpl w:val="214E280A"/>
    <w:lvl w:ilvl="0" w:tplc="DC9ABE82">
      <w:start w:val="1"/>
      <w:numFmt w:val="upperLetter"/>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num w:numId="1">
    <w:abstractNumId w:val="2"/>
    <w:lvlOverride w:ilvl="0">
      <w:startOverride w:val="1"/>
    </w:lvlOverride>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
  </w:num>
  <w:num w:numId="5">
    <w:abstractNumId w:val="6"/>
  </w:num>
  <w:num w:numId="6">
    <w:abstractNumId w:val="3"/>
  </w:num>
  <w:num w:numId="7">
    <w:abstractNumId w:val="5"/>
  </w:num>
  <w:num w:numId="8">
    <w:abstractNumId w:val="1"/>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7929"/>
    <w:rsid w:val="00012A8F"/>
    <w:rsid w:val="00066F11"/>
    <w:rsid w:val="000C1B24"/>
    <w:rsid w:val="00114825"/>
    <w:rsid w:val="00125FD7"/>
    <w:rsid w:val="00160928"/>
    <w:rsid w:val="001A33CB"/>
    <w:rsid w:val="001D30F0"/>
    <w:rsid w:val="001E59AB"/>
    <w:rsid w:val="00260B61"/>
    <w:rsid w:val="00286E13"/>
    <w:rsid w:val="002926A8"/>
    <w:rsid w:val="00297929"/>
    <w:rsid w:val="002B18C4"/>
    <w:rsid w:val="00305BE2"/>
    <w:rsid w:val="0031369B"/>
    <w:rsid w:val="00321C28"/>
    <w:rsid w:val="00340B8F"/>
    <w:rsid w:val="00347EA1"/>
    <w:rsid w:val="00372560"/>
    <w:rsid w:val="003D5190"/>
    <w:rsid w:val="003E0CBE"/>
    <w:rsid w:val="004043F8"/>
    <w:rsid w:val="00421E8B"/>
    <w:rsid w:val="0044088E"/>
    <w:rsid w:val="0046386F"/>
    <w:rsid w:val="00467533"/>
    <w:rsid w:val="004D33F6"/>
    <w:rsid w:val="0059509D"/>
    <w:rsid w:val="005957D2"/>
    <w:rsid w:val="005C39E1"/>
    <w:rsid w:val="00607CBF"/>
    <w:rsid w:val="006239D7"/>
    <w:rsid w:val="007672B0"/>
    <w:rsid w:val="0078687C"/>
    <w:rsid w:val="007A0D8D"/>
    <w:rsid w:val="007E67B9"/>
    <w:rsid w:val="00800F43"/>
    <w:rsid w:val="00807516"/>
    <w:rsid w:val="00811178"/>
    <w:rsid w:val="008220F4"/>
    <w:rsid w:val="00842FBA"/>
    <w:rsid w:val="009918F4"/>
    <w:rsid w:val="009F5FA6"/>
    <w:rsid w:val="00A32850"/>
    <w:rsid w:val="00A376FA"/>
    <w:rsid w:val="00B07151"/>
    <w:rsid w:val="00B10BAE"/>
    <w:rsid w:val="00B60A97"/>
    <w:rsid w:val="00B65A0F"/>
    <w:rsid w:val="00C23EF1"/>
    <w:rsid w:val="00C255A2"/>
    <w:rsid w:val="00C56CA5"/>
    <w:rsid w:val="00C576B3"/>
    <w:rsid w:val="00C94530"/>
    <w:rsid w:val="00CA72C7"/>
    <w:rsid w:val="00D914DF"/>
    <w:rsid w:val="00DD5970"/>
    <w:rsid w:val="00DE2BB2"/>
    <w:rsid w:val="00DF57A0"/>
    <w:rsid w:val="00E07425"/>
    <w:rsid w:val="00E8252D"/>
    <w:rsid w:val="00E90C96"/>
    <w:rsid w:val="00E96A5C"/>
    <w:rsid w:val="00F0621C"/>
    <w:rsid w:val="00F253A4"/>
    <w:rsid w:val="00F8330A"/>
    <w:rsid w:val="00FA6F01"/>
    <w:rsid w:val="00FC7F26"/>
    <w:rsid w:val="00FE543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74C34"/>
  <w15:docId w15:val="{A7B216D0-3787-7F49-AD3C-7BF6CA594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paragraph" w:styleId="Titolo1">
    <w:name w:val="heading 1"/>
    <w:uiPriority w:val="9"/>
    <w:qFormat/>
    <w:pPr>
      <w:outlineLvl w:val="0"/>
    </w:pPr>
    <w:rPr>
      <w:color w:val="2E74B5"/>
      <w:sz w:val="32"/>
      <w:szCs w:val="32"/>
    </w:rPr>
  </w:style>
  <w:style w:type="paragraph" w:styleId="Titolo2">
    <w:name w:val="heading 2"/>
    <w:uiPriority w:val="9"/>
    <w:semiHidden/>
    <w:unhideWhenUsed/>
    <w:qFormat/>
    <w:pPr>
      <w:outlineLvl w:val="1"/>
    </w:pPr>
    <w:rPr>
      <w:color w:val="2E74B5"/>
      <w:sz w:val="26"/>
      <w:szCs w:val="26"/>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style>
  <w:style w:type="character" w:customStyle="1" w:styleId="TestonotadichiusuraCarattere">
    <w:name w:val="Testo nota di chiusura Carattere"/>
    <w:link w:val="Testonotadichiusura"/>
    <w:uiPriority w:val="99"/>
    <w:semiHidden/>
    <w:unhideWhenUsed/>
    <w:rPr>
      <w:sz w:val="20"/>
      <w:szCs w:val="20"/>
    </w:rPr>
  </w:style>
  <w:style w:type="paragraph" w:styleId="Intestazione">
    <w:name w:val="header"/>
    <w:basedOn w:val="Normale"/>
    <w:link w:val="IntestazioneCarattere"/>
    <w:uiPriority w:val="99"/>
    <w:unhideWhenUsed/>
    <w:rsid w:val="00807516"/>
    <w:pPr>
      <w:tabs>
        <w:tab w:val="center" w:pos="4819"/>
        <w:tab w:val="right" w:pos="9638"/>
      </w:tabs>
    </w:pPr>
  </w:style>
  <w:style w:type="character" w:customStyle="1" w:styleId="IntestazioneCarattere">
    <w:name w:val="Intestazione Carattere"/>
    <w:basedOn w:val="Carpredefinitoparagrafo"/>
    <w:link w:val="Intestazione"/>
    <w:uiPriority w:val="99"/>
    <w:rsid w:val="00807516"/>
  </w:style>
  <w:style w:type="paragraph" w:styleId="Pidipagina">
    <w:name w:val="footer"/>
    <w:basedOn w:val="Normale"/>
    <w:link w:val="PidipaginaCarattere"/>
    <w:uiPriority w:val="99"/>
    <w:unhideWhenUsed/>
    <w:rsid w:val="00807516"/>
    <w:pPr>
      <w:tabs>
        <w:tab w:val="center" w:pos="4819"/>
        <w:tab w:val="right" w:pos="9638"/>
      </w:tabs>
    </w:pPr>
  </w:style>
  <w:style w:type="character" w:customStyle="1" w:styleId="PidipaginaCarattere">
    <w:name w:val="Piè di pagina Carattere"/>
    <w:basedOn w:val="Carpredefinitoparagrafo"/>
    <w:link w:val="Pidipagina"/>
    <w:uiPriority w:val="99"/>
    <w:rsid w:val="00807516"/>
  </w:style>
  <w:style w:type="character" w:customStyle="1" w:styleId="UnresolvedMention">
    <w:name w:val="Unresolved Mention"/>
    <w:basedOn w:val="Carpredefinitoparagrafo"/>
    <w:uiPriority w:val="99"/>
    <w:semiHidden/>
    <w:unhideWhenUsed/>
    <w:rsid w:val="00C576B3"/>
    <w:rPr>
      <w:color w:val="605E5C"/>
      <w:shd w:val="clear" w:color="auto" w:fill="E1DFDD"/>
    </w:rPr>
  </w:style>
  <w:style w:type="paragraph" w:customStyle="1" w:styleId="p1">
    <w:name w:val="p1"/>
    <w:basedOn w:val="Normale"/>
    <w:rsid w:val="009F5FA6"/>
    <w:rPr>
      <w:rFonts w:ascii="Helvetica" w:hAnsi="Helvetica"/>
      <w:color w:val="000000"/>
      <w:sz w:val="15"/>
      <w:szCs w:val="15"/>
    </w:rPr>
  </w:style>
  <w:style w:type="character" w:styleId="Enfasigrassetto">
    <w:name w:val="Strong"/>
    <w:basedOn w:val="Carpredefinitoparagrafo"/>
    <w:uiPriority w:val="22"/>
    <w:qFormat/>
    <w:rsid w:val="003D5190"/>
    <w:rPr>
      <w:b/>
      <w:bCs/>
    </w:rPr>
  </w:style>
  <w:style w:type="paragraph" w:styleId="Testofumetto">
    <w:name w:val="Balloon Text"/>
    <w:basedOn w:val="Normale"/>
    <w:link w:val="TestofumettoCarattere"/>
    <w:uiPriority w:val="99"/>
    <w:semiHidden/>
    <w:unhideWhenUsed/>
    <w:rsid w:val="00F8330A"/>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F8330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mailto:mvocciaordsa@pec.giuffre.i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mvocciaordsa@pec.giuffre.it"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4BFA28-762B-40AE-888A-D632F474A3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22</Pages>
  <Words>8425</Words>
  <Characters>48026</Characters>
  <Application>Microsoft Office Word</Application>
  <DocSecurity>0</DocSecurity>
  <Lines>400</Lines>
  <Paragraphs>112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56339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 Voccia</cp:lastModifiedBy>
  <cp:revision>10</cp:revision>
  <cp:lastPrinted>2026-07-16T15:10:00Z</cp:lastPrinted>
  <dcterms:created xsi:type="dcterms:W3CDTF">2026-06-22T12:09:00Z</dcterms:created>
  <dcterms:modified xsi:type="dcterms:W3CDTF">2026-07-16T15:26:00Z</dcterms:modified>
</cp:coreProperties>
</file>