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0B89" w14:textId="77777777" w:rsidR="001863D0" w:rsidRPr="000C5422" w:rsidRDefault="001863D0" w:rsidP="008A453F">
      <w:pPr>
        <w:tabs>
          <w:tab w:val="center" w:pos="4819"/>
          <w:tab w:val="right" w:pos="9638"/>
        </w:tabs>
        <w:spacing w:line="276" w:lineRule="auto"/>
        <w:jc w:val="center"/>
        <w:rPr>
          <w:rFonts w:eastAsia="Calibri"/>
          <w:b/>
          <w:sz w:val="22"/>
          <w:szCs w:val="22"/>
        </w:rPr>
      </w:pPr>
      <w:r>
        <w:rPr>
          <w:rFonts w:eastAsia="Calibri"/>
          <w:b/>
          <w:sz w:val="22"/>
          <w:szCs w:val="22"/>
        </w:rPr>
        <w:t>Maria Voccia De Felice</w:t>
      </w:r>
    </w:p>
    <w:p w14:paraId="246E809B" w14:textId="77777777" w:rsidR="001863D0" w:rsidRPr="000C5422" w:rsidRDefault="001863D0" w:rsidP="008A453F">
      <w:pPr>
        <w:tabs>
          <w:tab w:val="center" w:pos="4819"/>
          <w:tab w:val="left" w:pos="5325"/>
        </w:tabs>
        <w:spacing w:line="276" w:lineRule="auto"/>
        <w:rPr>
          <w:rFonts w:eastAsia="Calibri"/>
          <w:b/>
          <w:sz w:val="22"/>
          <w:szCs w:val="22"/>
        </w:rPr>
      </w:pPr>
      <w:r>
        <w:rPr>
          <w:rFonts w:eastAsia="Calibri"/>
          <w:b/>
          <w:sz w:val="22"/>
          <w:szCs w:val="22"/>
        </w:rPr>
        <w:t xml:space="preserve">                                                                Avvocato</w:t>
      </w:r>
      <w:r>
        <w:rPr>
          <w:rFonts w:eastAsia="Calibri"/>
          <w:b/>
          <w:sz w:val="22"/>
          <w:szCs w:val="22"/>
        </w:rPr>
        <w:tab/>
      </w:r>
    </w:p>
    <w:p w14:paraId="3E487B46" w14:textId="77777777" w:rsidR="001863D0" w:rsidRPr="000C5422" w:rsidRDefault="001863D0" w:rsidP="008A453F">
      <w:pPr>
        <w:tabs>
          <w:tab w:val="center" w:pos="4819"/>
          <w:tab w:val="right" w:pos="9638"/>
        </w:tabs>
        <w:spacing w:line="276" w:lineRule="auto"/>
        <w:rPr>
          <w:rFonts w:eastAsia="Calibri"/>
          <w:b/>
          <w:sz w:val="22"/>
          <w:szCs w:val="22"/>
        </w:rPr>
      </w:pPr>
      <w:r>
        <w:rPr>
          <w:rFonts w:eastAsia="Calibri"/>
          <w:b/>
          <w:sz w:val="22"/>
          <w:szCs w:val="22"/>
        </w:rPr>
        <w:t xml:space="preserve">                                                 Patrocinante in Cassazione</w:t>
      </w:r>
    </w:p>
    <w:p w14:paraId="7DADF269" w14:textId="77777777" w:rsidR="001863D0" w:rsidRPr="000C5422" w:rsidRDefault="001863D0" w:rsidP="008A453F">
      <w:pPr>
        <w:tabs>
          <w:tab w:val="center" w:pos="4819"/>
          <w:tab w:val="right" w:pos="9638"/>
        </w:tabs>
        <w:spacing w:line="276" w:lineRule="auto"/>
        <w:jc w:val="center"/>
        <w:rPr>
          <w:rFonts w:eastAsia="Calibri"/>
          <w:b/>
          <w:sz w:val="22"/>
          <w:szCs w:val="22"/>
        </w:rPr>
      </w:pPr>
      <w:r>
        <w:rPr>
          <w:rFonts w:eastAsia="Calibri"/>
          <w:b/>
          <w:sz w:val="22"/>
          <w:szCs w:val="22"/>
        </w:rPr>
        <w:t xml:space="preserve">    Salerno - Via G. Vicinanza n. 42 – 84123</w:t>
      </w:r>
    </w:p>
    <w:p w14:paraId="15399903" w14:textId="77777777" w:rsidR="001863D0" w:rsidRPr="000C5422" w:rsidRDefault="001863D0" w:rsidP="008A453F">
      <w:pPr>
        <w:tabs>
          <w:tab w:val="center" w:pos="4819"/>
          <w:tab w:val="right" w:pos="9638"/>
        </w:tabs>
        <w:spacing w:line="276" w:lineRule="auto"/>
        <w:rPr>
          <w:rFonts w:eastAsia="Calibri"/>
          <w:b/>
          <w:sz w:val="22"/>
          <w:szCs w:val="22"/>
        </w:rPr>
      </w:pPr>
      <w:r>
        <w:rPr>
          <w:rFonts w:eastAsia="Calibri"/>
          <w:b/>
          <w:sz w:val="22"/>
          <w:szCs w:val="22"/>
        </w:rPr>
        <w:t xml:space="preserve">                                             tel. 089237255 mobile 335 6329269</w:t>
      </w:r>
    </w:p>
    <w:p w14:paraId="5DAFCD19" w14:textId="77777777" w:rsidR="001863D0" w:rsidRPr="000C5422" w:rsidRDefault="001863D0" w:rsidP="008A453F">
      <w:pPr>
        <w:spacing w:after="200" w:line="276" w:lineRule="auto"/>
        <w:ind w:left="900" w:right="998"/>
        <w:jc w:val="center"/>
        <w:rPr>
          <w:rFonts w:ascii="Calibri" w:eastAsia="Arial Unicode MS" w:hAnsi="Calibri" w:cs="Tahoma"/>
          <w:b/>
          <w:szCs w:val="28"/>
        </w:rPr>
      </w:pPr>
      <w:r>
        <w:rPr>
          <w:rFonts w:eastAsia="Calibri"/>
          <w:b/>
          <w:sz w:val="22"/>
          <w:szCs w:val="22"/>
        </w:rPr>
        <w:t xml:space="preserve">   mail: </w:t>
      </w:r>
      <w:hyperlink r:id="rId8" w:history="1">
        <w:r>
          <w:rPr>
            <w:rFonts w:eastAsia="Calibri"/>
            <w:b/>
            <w:color w:val="0000FF"/>
            <w:sz w:val="22"/>
            <w:szCs w:val="22"/>
            <w:u w:val="single"/>
          </w:rPr>
          <w:t>mvoccia@vocciaspa.com</w:t>
        </w:r>
      </w:hyperlink>
      <w:r>
        <w:rPr>
          <w:rFonts w:eastAsia="Calibri"/>
          <w:b/>
          <w:sz w:val="22"/>
          <w:szCs w:val="22"/>
        </w:rPr>
        <w:t xml:space="preserve"> pec: </w:t>
      </w:r>
      <w:hyperlink r:id="rId9" w:history="1">
        <w:r>
          <w:rPr>
            <w:rFonts w:eastAsia="Calibri"/>
            <w:b/>
            <w:color w:val="0000FF"/>
            <w:sz w:val="22"/>
            <w:szCs w:val="22"/>
            <w:u w:val="single"/>
          </w:rPr>
          <w:t>mvocciaordsa@pec.giuffre.it</w:t>
        </w:r>
      </w:hyperlink>
    </w:p>
    <w:p w14:paraId="1142A6F2" w14:textId="77777777" w:rsidR="00876D35" w:rsidRDefault="00876D35">
      <w:pPr>
        <w:contextualSpacing/>
      </w:pPr>
    </w:p>
    <w:p w14:paraId="1A200001" w14:textId="77777777" w:rsidR="00876D35" w:rsidRDefault="00A5569B">
      <w:pPr>
        <w:contextualSpacing/>
        <w:jc w:val="center"/>
        <w:rPr>
          <w:b/>
          <w:bCs/>
        </w:rPr>
      </w:pPr>
      <w:r>
        <w:rPr>
          <w:b/>
          <w:bCs/>
        </w:rPr>
        <w:t>ON.LE CORTE DI GIUSTIZIA TRIBUTARIA DI PRIMO GRADO DI POTENZA</w:t>
      </w:r>
    </w:p>
    <w:p w14:paraId="62722131" w14:textId="77777777" w:rsidR="00DB0D26" w:rsidRDefault="00DB0D26">
      <w:pPr>
        <w:contextualSpacing/>
        <w:jc w:val="center"/>
        <w:rPr>
          <w:b/>
          <w:bCs/>
        </w:rPr>
      </w:pPr>
    </w:p>
    <w:p w14:paraId="1A200002" w14:textId="77777777" w:rsidR="00876D35" w:rsidRDefault="00A5569B">
      <w:pPr>
        <w:contextualSpacing/>
        <w:jc w:val="center"/>
        <w:rPr>
          <w:b/>
          <w:bCs/>
        </w:rPr>
      </w:pPr>
      <w:r>
        <w:rPr>
          <w:b/>
          <w:bCs/>
        </w:rPr>
        <w:t>Memoria di costituzione e controdeduzioni</w:t>
      </w:r>
    </w:p>
    <w:p w14:paraId="210FD4D8" w14:textId="77777777" w:rsidR="00DB0D26" w:rsidRDefault="00DB0D26">
      <w:pPr>
        <w:contextualSpacing/>
        <w:jc w:val="center"/>
      </w:pPr>
    </w:p>
    <w:p w14:paraId="380DC6D0" w14:textId="77777777" w:rsidR="00DB0D26" w:rsidRPr="00DB0D26" w:rsidRDefault="00DB0D26" w:rsidP="00DB0D26">
      <w:pPr>
        <w:snapToGrid w:val="0"/>
        <w:ind w:firstLine="708"/>
        <w:jc w:val="both"/>
        <w:rPr>
          <w:b/>
        </w:rPr>
      </w:pPr>
      <w:r w:rsidRPr="00DB0D26">
        <w:t xml:space="preserve">Per il </w:t>
      </w:r>
      <w:r w:rsidRPr="00DB0D26">
        <w:rPr>
          <w:b/>
          <w:bCs/>
        </w:rPr>
        <w:t>COMUNE DI CASTELSARACENO (PZ)</w:t>
      </w:r>
      <w:r w:rsidRPr="00DB0D26">
        <w:t>, C.F. 83000190765, con sede in Piazza Piano della Corte n. 1 – 85031 Castelsaraceno (PZ), in persona del Sindaco pro tempore, rappresentato e difeso, in esecuzione della Delibera di G.C. n. 47 del 14/07/2026, ed in virtù di mandato in calce al presente atto e su foglio separato, dall’</w:t>
      </w:r>
      <w:r w:rsidRPr="00DB0D26">
        <w:rPr>
          <w:b/>
          <w:bCs/>
        </w:rPr>
        <w:t>Avv. Maria Voccia De Felice</w:t>
      </w:r>
      <w:r w:rsidRPr="00DB0D26">
        <w:t xml:space="preserve">,  presso il cui studio elettivamente domicilia in Salerno alla Via G. Vicinanza n. 42, </w:t>
      </w:r>
      <w:r w:rsidRPr="00DB0D26">
        <w:rPr>
          <w:u w:val="single"/>
        </w:rPr>
        <w:t xml:space="preserve">il suddetto procuratore dichiara di voler ricevere le notifiche di legge a mezzo pec all’indirizzo: </w:t>
      </w:r>
      <w:r w:rsidRPr="00DB0D26">
        <w:rPr>
          <w:b/>
        </w:rPr>
        <w:t>mvocciaordsa@pec.giuffre.it;</w:t>
      </w:r>
    </w:p>
    <w:p w14:paraId="0390ED7C" w14:textId="77777777" w:rsidR="00DB0D26" w:rsidRPr="00DB0D26" w:rsidRDefault="00DB0D26" w:rsidP="00DB0D26">
      <w:pPr>
        <w:jc w:val="right"/>
      </w:pPr>
      <w:r w:rsidRPr="00DB0D26">
        <w:rPr>
          <w:b/>
          <w:bCs/>
        </w:rPr>
        <w:t>– RESISTENTE –</w:t>
      </w:r>
    </w:p>
    <w:p w14:paraId="69F3724E" w14:textId="77777777" w:rsidR="00DB0D26" w:rsidRPr="00DB0D26" w:rsidRDefault="00DB0D26" w:rsidP="00DB0D26">
      <w:pPr>
        <w:spacing w:after="60"/>
        <w:rPr>
          <w:b/>
          <w:bCs/>
        </w:rPr>
      </w:pPr>
      <w:r w:rsidRPr="00DB0D26">
        <w:rPr>
          <w:b/>
          <w:bCs/>
        </w:rPr>
        <w:t>contro</w:t>
      </w:r>
    </w:p>
    <w:p w14:paraId="6EE3F3AF" w14:textId="77777777" w:rsidR="00876D35" w:rsidRDefault="00876D35">
      <w:pPr>
        <w:contextualSpacing/>
      </w:pPr>
    </w:p>
    <w:p w14:paraId="1A200005" w14:textId="18AF06A9" w:rsidR="00876D35" w:rsidRDefault="00A5569B" w:rsidP="00997F95">
      <w:pPr>
        <w:contextualSpacing/>
        <w:jc w:val="both"/>
      </w:pPr>
      <w:r>
        <w:rPr>
          <w:b/>
          <w:bCs/>
        </w:rPr>
        <w:t>WIND TRE S.P.A.</w:t>
      </w:r>
      <w:r>
        <w:t xml:space="preserve"> </w:t>
      </w:r>
      <w:r w:rsidRPr="005B4226">
        <w:rPr>
          <w:b/>
          <w:bCs/>
        </w:rPr>
        <w:t>(C.F. 02517580920 – P.IVA 13378520152), con Socio Unico – Direzione e Coordinamento di CK Hutchison Group Telecom Italy Investments S.à r.l., con sede legale in Milano, Via Monte Rosa n. 91 (20149</w:t>
      </w:r>
      <w:r>
        <w:t xml:space="preserve">), in persona dei procuratori pro tempore, </w:t>
      </w:r>
      <w:r w:rsidR="00997F95">
        <w:t xml:space="preserve">Marco Sergio Fella (C.F.: FLLMCS69S29F205P) e Gianfranco Manenti (C.F.: MNNGFR69C05E648P), </w:t>
      </w:r>
      <w:r>
        <w:t>rappresentata e difesa, anche disgiuntamente tra loro, dagli avvocati Marco Di Siena (C.F. DSNMRC71L01D969K – pec: marco.disiena@legal.chiomenti.net), Prof. Silvio Martuccelli (C.F. MRTSLV68D19H501I – pec: silvio.martuccelli@legal.chiomenti.net), Prof. Massimo Proto (C.F. PRTMSM73B22H501N – pec: massimo.proto@legal.chiomenti.net) e Carlo Maria Martino (C.F. MRTCLM94S21H501W – pec: carlo.martino@legal.chiomenti.net), con domicilio eletto presso gli indirizzi PEC dei suddetti difensori.</w:t>
      </w:r>
    </w:p>
    <w:p w14:paraId="1A200006" w14:textId="77777777" w:rsidR="00876D35" w:rsidRDefault="00A5569B">
      <w:pPr>
        <w:contextualSpacing/>
        <w:jc w:val="right"/>
        <w:rPr>
          <w:b/>
          <w:bCs/>
        </w:rPr>
      </w:pPr>
      <w:r>
        <w:rPr>
          <w:b/>
          <w:bCs/>
        </w:rPr>
        <w:t>– RICORRENTE –</w:t>
      </w:r>
    </w:p>
    <w:p w14:paraId="419ECECD" w14:textId="236454E5" w:rsidR="00876D35" w:rsidRDefault="00A5569B" w:rsidP="008A453F">
      <w:pPr>
        <w:contextualSpacing/>
        <w:jc w:val="center"/>
      </w:pPr>
      <w:r>
        <w:t>* * *</w:t>
      </w:r>
    </w:p>
    <w:p w14:paraId="0470538F" w14:textId="194AF51E" w:rsidR="00876D35" w:rsidRDefault="00DB0D26">
      <w:pPr>
        <w:ind w:firstLine="708"/>
        <w:contextualSpacing/>
        <w:jc w:val="both"/>
      </w:pPr>
      <w:r>
        <w:rPr>
          <w:b/>
          <w:bCs/>
        </w:rPr>
        <w:t>FATTO</w:t>
      </w:r>
    </w:p>
    <w:p w14:paraId="1A200007" w14:textId="77777777" w:rsidR="00876D35" w:rsidRDefault="00A5569B">
      <w:pPr>
        <w:ind w:firstLine="708"/>
        <w:contextualSpacing/>
        <w:jc w:val="both"/>
      </w:pPr>
      <w:r>
        <w:t xml:space="preserve">Il Comune di Castelsaraceno (di seguito anche solo Comune o Ente), con Delibera di Consiglio Comunale n. 14 del 30/04/2021, ha approvato il Regolamento per l’istituzione e la disciplina del </w:t>
      </w:r>
      <w:r>
        <w:rPr>
          <w:b/>
          <w:bCs/>
        </w:rPr>
        <w:t xml:space="preserve">Canone Unico Patrimoniale di concessione, autorizzazione o </w:t>
      </w:r>
      <w:r>
        <w:rPr>
          <w:b/>
          <w:bCs/>
        </w:rPr>
        <w:lastRenderedPageBreak/>
        <w:t>esposizione pubblicitaria</w:t>
      </w:r>
      <w:r>
        <w:t xml:space="preserve"> (di seguito anche solo CUP), ai sensi dell’art. 1, commi da 816 a 836, della Legge n. 160/2019 (</w:t>
      </w:r>
      <w:r>
        <w:rPr>
          <w:b/>
          <w:bCs/>
        </w:rPr>
        <w:t>doc. 1</w:t>
      </w:r>
      <w:r>
        <w:t>).</w:t>
      </w:r>
    </w:p>
    <w:p w14:paraId="1A200008" w14:textId="67453DFB" w:rsidR="00876D35" w:rsidRDefault="00A5569B">
      <w:pPr>
        <w:ind w:firstLine="708"/>
        <w:contextualSpacing/>
        <w:jc w:val="both"/>
      </w:pPr>
      <w:r>
        <w:t xml:space="preserve">Su incarico del Comune di Castelsaraceno — giusto affidamento </w:t>
      </w:r>
      <w:r w:rsidR="005B4226">
        <w:t xml:space="preserve">del servizio di supporto </w:t>
      </w:r>
      <w:r>
        <w:t>di cui alla Determinazione R.G. n. 413 del 24/11/2025 dell’Area Amministrativa (</w:t>
      </w:r>
      <w:r>
        <w:rPr>
          <w:b/>
          <w:bCs/>
        </w:rPr>
        <w:t>doc. 2</w:t>
      </w:r>
      <w:r>
        <w:t>) — la società Archivia Solution S.p.A. ha avviato la verifica della congruità dei versamenti del Canone Unico Patrimoniale dovuto, ai sensi del comma 831, art. 1, L. 160/2019, dalle aziende che gestiscono i c.d. servizi di rete nel territorio comunale.</w:t>
      </w:r>
    </w:p>
    <w:p w14:paraId="1A200009" w14:textId="77777777" w:rsidR="00876D35" w:rsidRDefault="00A5569B">
      <w:pPr>
        <w:ind w:firstLine="708"/>
        <w:contextualSpacing/>
        <w:jc w:val="both"/>
      </w:pPr>
      <w:r>
        <w:t xml:space="preserve">Con nota trasmessa a mezzo PEC in data </w:t>
      </w:r>
      <w:r w:rsidRPr="005B4226">
        <w:rPr>
          <w:b/>
          <w:bCs/>
        </w:rPr>
        <w:t>8 gennaio 2026</w:t>
      </w:r>
      <w:r>
        <w:t xml:space="preserve"> (</w:t>
      </w:r>
      <w:r>
        <w:rPr>
          <w:b/>
          <w:bCs/>
        </w:rPr>
        <w:t>doc. 3</w:t>
      </w:r>
      <w:r>
        <w:t>), la società Archivia Solution S.p.A. ha richiesto a WIND TRE S.p.A. copia della dichiarazione delle utenze attive nel Comune di Castelsaraceno e dei versamenti effettuati a titolo di CUP per gli anni dal 2021 al 2024, evidenziando che, dai primi controlli eseguiti sulla piattaforma PagoPA e sugli altri canali di pagamento attivi, la società non risultava aver eseguito alcun versamento del Canone per alcuna delle annualità in verifica, e invitandola a trasmettere la dichiarazione entro quindici giorni, onde scongiurare il ricorso alla procedura di stima presuntiva prevista dalla legge.</w:t>
      </w:r>
    </w:p>
    <w:p w14:paraId="1A20000A" w14:textId="77777777" w:rsidR="00876D35" w:rsidRDefault="00A5569B">
      <w:pPr>
        <w:ind w:firstLine="708"/>
        <w:contextualSpacing/>
        <w:jc w:val="both"/>
      </w:pPr>
      <w:r w:rsidRPr="005B4226">
        <w:rPr>
          <w:b/>
          <w:bCs/>
        </w:rPr>
        <w:t>Wind Tre non ha fornito alcun riscontro a tale invito,</w:t>
      </w:r>
      <w:r>
        <w:t xml:space="preserve"> non trasmettendo dichiarazione alcuna né effettuando versamento di sorta.</w:t>
      </w:r>
    </w:p>
    <w:p w14:paraId="19595E11" w14:textId="77777777" w:rsidR="00DB0D26" w:rsidRDefault="00A5569B">
      <w:pPr>
        <w:ind w:firstLine="708"/>
        <w:contextualSpacing/>
        <w:jc w:val="both"/>
      </w:pPr>
      <w:r>
        <w:t xml:space="preserve">A fronte della perdurante inerzia della società, il Comune di Castelsaraceno ha emesso </w:t>
      </w:r>
      <w:r w:rsidRPr="005B4226">
        <w:rPr>
          <w:b/>
          <w:bCs/>
        </w:rPr>
        <w:t>l’Avviso di Accertamento Esecutivo n. 6 del 24/03/2026</w:t>
      </w:r>
      <w:r>
        <w:t xml:space="preserve"> (</w:t>
      </w:r>
      <w:r>
        <w:rPr>
          <w:b/>
          <w:bCs/>
        </w:rPr>
        <w:t>doc. 4</w:t>
      </w:r>
      <w:r>
        <w:t xml:space="preserve">), notificato a mezzo PEC in data 30/03/2026, avente ad oggetto l’omesso versamento del CUP — ai sensi dell’art. 1, comma 831, L. 160/2019 — per le annualità 2021, 2022, 2023 e 2024. </w:t>
      </w:r>
    </w:p>
    <w:p w14:paraId="573E7E82" w14:textId="77777777" w:rsidR="00ED4D85" w:rsidRDefault="00DB0D26">
      <w:pPr>
        <w:ind w:firstLine="708"/>
        <w:contextualSpacing/>
        <w:jc w:val="both"/>
      </w:pPr>
      <w:r w:rsidRPr="00DB0D26">
        <w:t xml:space="preserve">Il Canone è stato determinato in via induttiva stante l’omessa dichiarazione delle utenze attive, </w:t>
      </w:r>
      <w:r w:rsidRPr="00DB0D26">
        <w:rPr>
          <w:b/>
          <w:bCs/>
          <w:u w:val="single"/>
        </w:rPr>
        <w:t>ma è risultato dovuto solo nella misura minima di legge (quota fissa) aggiornata secondo l’indice ISTAT</w:t>
      </w:r>
      <w:r w:rsidRPr="00DB0D26">
        <w:t>, sulla base della popolazione residente nel Comune e dei dati nazionali forniti dall’Osservatorio sulle Comunicazioni pubblicato trimestralmente da AGCOM, avendo riscontrato la presenza di utenze attive della società nel territorio comunale</w:t>
      </w:r>
      <w:r w:rsidR="00ED4D85">
        <w:t>.</w:t>
      </w:r>
    </w:p>
    <w:p w14:paraId="1A20000B" w14:textId="138838AA" w:rsidR="00876D35" w:rsidRDefault="00A5569B">
      <w:pPr>
        <w:ind w:firstLine="708"/>
        <w:contextualSpacing/>
        <w:jc w:val="both"/>
      </w:pPr>
      <w:r>
        <w:t>L’importo complessivo accertato è pari ad Euro 4.828,00.</w:t>
      </w:r>
    </w:p>
    <w:p w14:paraId="1A20000C" w14:textId="77777777" w:rsidR="00876D35" w:rsidRDefault="00A5569B">
      <w:pPr>
        <w:ind w:firstLine="708"/>
        <w:contextualSpacing/>
        <w:jc w:val="both"/>
      </w:pPr>
      <w:r>
        <w:t>Avverso il predetto avviso, in data 30/03/2026 Wind Tre ha presentato istanza di annullamento in autotutela (</w:t>
      </w:r>
      <w:r>
        <w:rPr>
          <w:b/>
          <w:bCs/>
        </w:rPr>
        <w:t>doc. 5</w:t>
      </w:r>
      <w:r>
        <w:t xml:space="preserve">), che il Comune ha rigettato con provvedimento del </w:t>
      </w:r>
      <w:r w:rsidRPr="005B4226">
        <w:rPr>
          <w:b/>
          <w:bCs/>
        </w:rPr>
        <w:t xml:space="preserve">28/04/2026 </w:t>
      </w:r>
      <w:r>
        <w:t>(</w:t>
      </w:r>
      <w:r>
        <w:rPr>
          <w:b/>
          <w:bCs/>
        </w:rPr>
        <w:t>doc. 6</w:t>
      </w:r>
      <w:r>
        <w:t>), ribadendo la soggettività passiva della società quale utilizzatrice in via mediata della rete del soggetto titolare della concessione.</w:t>
      </w:r>
    </w:p>
    <w:p w14:paraId="1A20000D" w14:textId="014A784E" w:rsidR="00876D35" w:rsidRDefault="00ED4D85">
      <w:pPr>
        <w:ind w:firstLine="708"/>
        <w:contextualSpacing/>
        <w:jc w:val="both"/>
      </w:pPr>
      <w:r>
        <w:t>Senonchè, c</w:t>
      </w:r>
      <w:r w:rsidR="00A5569B">
        <w:t>on ricorso notificato a mezzo PEC in data 29/05/2026 (</w:t>
      </w:r>
      <w:r w:rsidR="00A5569B">
        <w:rPr>
          <w:b/>
          <w:bCs/>
        </w:rPr>
        <w:t>Doc. A</w:t>
      </w:r>
      <w:r w:rsidR="00A5569B">
        <w:t xml:space="preserve">), WIND TRE S.p.A. ha impugnato l’avviso dinanzi all’intestata Corte di Giustizia Tributaria di Primo Grado di Potenza, deducendo: 1) in via preliminare, una ricostruzione del quadro normativo di riferimento; 2) l’inefficacia del Regolamento Comunale per asserita omessa </w:t>
      </w:r>
      <w:r w:rsidR="00A5569B">
        <w:lastRenderedPageBreak/>
        <w:t>pubblicazione sul sito del MEF ai sensi dell’art. 13, comma 15-ter, D.L. 201/2011; 3) la carenza di elementi essenziali dell’Avviso; 4) l’illegittimità dell’Avviso per incoerenza del presupposto del CUP con i caratteri di effettività ed attualità della capacità contributiva ex art. 53 Cost.; 5) la violazione dell’art. 1, comma 831, L. n. 160/2019 per carenza dei presupposti di applicazione del CUP Cavi e Condutture, in assenza di occupazione di suolo pubblico, diretta o mediata, da parte della società; 6) in via subordinata, la violazione dell’art. 1, comma 831, L. n. 160/2019 con riguardo alla determinazione del tributo; 7) istanza di sospensione dell’esecutività dell’atto ex art. 47 D.lgs. n. 546/1992.</w:t>
      </w:r>
    </w:p>
    <w:p w14:paraId="665A6AF7" w14:textId="038BC92F" w:rsidR="00876D35" w:rsidRDefault="00A5569B" w:rsidP="008A453F">
      <w:pPr>
        <w:contextualSpacing/>
        <w:jc w:val="center"/>
      </w:pPr>
      <w:r>
        <w:t>* * *</w:t>
      </w:r>
    </w:p>
    <w:p w14:paraId="1A20000E" w14:textId="77777777" w:rsidR="00876D35" w:rsidRDefault="00A5569B">
      <w:pPr>
        <w:ind w:firstLine="708"/>
        <w:contextualSpacing/>
        <w:jc w:val="both"/>
      </w:pPr>
      <w:r>
        <w:t>Con il presente atto il Comune di Castelsaraceno, come sopra rappresentato e difeso, si costituisce in giudizio, contestando le domande, le eccezioni e le deduzioni avversarie, delle quali chiede il rigetto per i seguenti</w:t>
      </w:r>
    </w:p>
    <w:p w14:paraId="69E0B442" w14:textId="116AE454" w:rsidR="00876D35" w:rsidRDefault="00A5569B">
      <w:pPr>
        <w:contextualSpacing/>
        <w:jc w:val="center"/>
        <w:rPr>
          <w:b/>
          <w:bCs/>
        </w:rPr>
      </w:pPr>
      <w:r>
        <w:rPr>
          <w:b/>
          <w:bCs/>
        </w:rPr>
        <w:t>MOTIVI</w:t>
      </w:r>
    </w:p>
    <w:p w14:paraId="3C737CC2" w14:textId="77777777" w:rsidR="00ED4D85" w:rsidRPr="00ED4D85" w:rsidRDefault="00ED4D85" w:rsidP="00ED4D85">
      <w:pPr>
        <w:ind w:firstLine="708"/>
        <w:jc w:val="both"/>
      </w:pPr>
      <w:r w:rsidRPr="00ED4D85">
        <w:t>Prima di controdedurre ai singoli motivi di ricorso, si ritiene opportuno evidenziare che,</w:t>
      </w:r>
      <w:r w:rsidRPr="00ED4D85">
        <w:rPr>
          <w:b/>
          <w:bCs/>
        </w:rPr>
        <w:t xml:space="preserve"> </w:t>
      </w:r>
      <w:r w:rsidRPr="00ED4D85">
        <w:t xml:space="preserve"> </w:t>
      </w:r>
      <w:r w:rsidRPr="00ED4D85">
        <w:rPr>
          <w:b/>
          <w:bCs/>
          <w:u w:val="single"/>
        </w:rPr>
        <w:t>PROPRIO CONTRO WIND,</w:t>
      </w:r>
      <w:r w:rsidRPr="00ED4D85">
        <w:t xml:space="preserve">  la </w:t>
      </w:r>
      <w:r w:rsidRPr="00ED4D85">
        <w:rPr>
          <w:b/>
          <w:bCs/>
          <w:u w:val="single"/>
        </w:rPr>
        <w:t>CORTE SUPREMA DI CASSAZIONE, Sezione Terza Civile, sentenza n. 11479 del 28 aprile 2026</w:t>
      </w:r>
      <w:r w:rsidRPr="00ED4D85">
        <w:rPr>
          <w:b/>
          <w:bCs/>
        </w:rPr>
        <w:t xml:space="preserve"> </w:t>
      </w:r>
      <w:r w:rsidRPr="00ED4D85">
        <w:t>(</w:t>
      </w:r>
      <w:r w:rsidRPr="00ED4D85">
        <w:rPr>
          <w:b/>
          <w:bCs/>
        </w:rPr>
        <w:t>doc. 9</w:t>
      </w:r>
      <w:r w:rsidRPr="00ED4D85">
        <w:t xml:space="preserve">) ha chiarito - per la prima volta a livello di legittimità - le questioni giuridiche che costituiscono il nucleo del presente contenzioso, enunciando il seguente principio di diritto: </w:t>
      </w:r>
      <w:r w:rsidRPr="00ED4D85">
        <w:rPr>
          <w:b/>
          <w:bCs/>
          <w:i/>
          <w:iCs/>
          <w:u w:val="single"/>
        </w:rPr>
        <w:t>“il gestore di servizi telefonici il quale si avvalga dell'accesso "virtuale" ad una rete di proprietà altrui (ad es., mediante tecnologia VULA) è obbligato al pagamento del CUP”</w:t>
      </w:r>
      <w:r w:rsidRPr="00ED4D85">
        <w:rPr>
          <w:b/>
          <w:bCs/>
        </w:rPr>
        <w:t xml:space="preserve"> (Cass. Civ., Sez. III, n. 11479/2026).</w:t>
      </w:r>
    </w:p>
    <w:p w14:paraId="3585EDD4" w14:textId="77777777" w:rsidR="00ED4D85" w:rsidRPr="00ED4D85" w:rsidRDefault="00ED4D85" w:rsidP="00ED4D85">
      <w:pPr>
        <w:ind w:firstLine="708"/>
        <w:jc w:val="both"/>
      </w:pPr>
      <w:r w:rsidRPr="00ED4D85">
        <w:t>Ed infatti, la Corte ha statuito che la</w:t>
      </w:r>
      <w:r w:rsidRPr="00ED4D85">
        <w:rPr>
          <w:b/>
          <w:bCs/>
        </w:rPr>
        <w:t> distinzione tra uso materiale e uso virtuale </w:t>
      </w:r>
      <w:r w:rsidRPr="00ED4D85">
        <w:t>dell'infrastruttura di rete, su cui si fonda la tesi dell'opponente,</w:t>
      </w:r>
      <w:r w:rsidRPr="00ED4D85">
        <w:rPr>
          <w:b/>
          <w:bCs/>
        </w:rPr>
        <w:t xml:space="preserve"> è erronea in diritto: i segnali delle linee telefoniche si propagano per legge fisica sempre attraverso un supporto materiale, sicché l'accesso VULA è virtuale unicamente nella modalità tecnica di accesso, non nell'utilizzo della rete, che </w:t>
      </w:r>
      <w:r w:rsidRPr="00ED4D85">
        <w:rPr>
          <w:b/>
          <w:bCs/>
          <w:u w:val="single"/>
        </w:rPr>
        <w:t>rimane in ogni caso materiale</w:t>
      </w:r>
      <w:r w:rsidRPr="00ED4D85">
        <w:rPr>
          <w:b/>
          <w:bCs/>
        </w:rPr>
        <w:t xml:space="preserve"> e costituisce pertanto </w:t>
      </w:r>
      <w:r w:rsidRPr="00ED4D85">
        <w:rPr>
          <w:b/>
          <w:bCs/>
          <w:u w:val="single"/>
        </w:rPr>
        <w:t>occupazione mediata</w:t>
      </w:r>
      <w:r w:rsidRPr="00ED4D85">
        <w:rPr>
          <w:b/>
          <w:bCs/>
        </w:rPr>
        <w:t xml:space="preserve"> ai sensi dell'art. 1, comma 831, L. 160/2019.</w:t>
      </w:r>
    </w:p>
    <w:p w14:paraId="6E019F33" w14:textId="77777777" w:rsidR="00ED4D85" w:rsidRPr="00ED4D85" w:rsidRDefault="00ED4D85" w:rsidP="00ED4D85">
      <w:pPr>
        <w:ind w:firstLine="708"/>
        <w:jc w:val="both"/>
      </w:pPr>
      <w:r w:rsidRPr="00ED4D85">
        <w:t>La Suprema Corte</w:t>
      </w:r>
      <w:r w:rsidRPr="00ED4D85">
        <w:rPr>
          <w:b/>
          <w:bCs/>
        </w:rPr>
        <w:t> </w:t>
      </w:r>
      <w:r w:rsidRPr="00ED4D85">
        <w:t>ha altresì definitivamente chiarito che</w:t>
      </w:r>
      <w:r w:rsidRPr="00ED4D85">
        <w:rPr>
          <w:b/>
          <w:bCs/>
        </w:rPr>
        <w:t> l'art. 5, comma 14-quinquies, D.L. 146/2021 non è applicabile al settore delle telecomunicazioni: l'esenzione </w:t>
      </w:r>
      <w:r w:rsidRPr="00ED4D85">
        <w:t>ivi prevista opera esclusivamente a favore di chi vende beni ai sensi dell'art. 1470 c.c. e</w:t>
      </w:r>
      <w:r w:rsidRPr="00ED4D85">
        <w:rPr>
          <w:b/>
          <w:bCs/>
        </w:rPr>
        <w:t> non a favore di chi, come l'operatore telefonico, eroga un servizio. Trattandosi di norma eccezionale, essa è di stretta interpretazione e non è suscettibile di applicazione estensiva al settore TLC.</w:t>
      </w:r>
    </w:p>
    <w:p w14:paraId="4F4568C7" w14:textId="77777777" w:rsidR="00ED4D85" w:rsidRPr="00ED4D85" w:rsidRDefault="00ED4D85" w:rsidP="00ED4D85">
      <w:pPr>
        <w:ind w:firstLine="708"/>
        <w:jc w:val="both"/>
      </w:pPr>
      <w:r w:rsidRPr="00ED4D85">
        <w:t xml:space="preserve">La pronuncia della Corte di legittimità si spera abbia messo un punto definitivo sulla </w:t>
      </w:r>
      <w:r w:rsidRPr="00ED4D85">
        <w:rPr>
          <w:i/>
          <w:iCs/>
        </w:rPr>
        <w:t>querelle</w:t>
      </w:r>
      <w:r w:rsidRPr="00ED4D85">
        <w:t xml:space="preserve"> portata avanti dalle società telefoniche che muove da premesse errate.</w:t>
      </w:r>
    </w:p>
    <w:p w14:paraId="1A500001" w14:textId="77777777" w:rsidR="00876D35" w:rsidRDefault="00A5569B" w:rsidP="00ED4D85">
      <w:pPr>
        <w:ind w:firstLine="708"/>
        <w:contextualSpacing/>
        <w:jc w:val="both"/>
        <w:rPr>
          <w:b/>
          <w:bCs/>
        </w:rPr>
      </w:pPr>
      <w:r>
        <w:rPr>
          <w:b/>
          <w:bCs/>
        </w:rPr>
        <w:lastRenderedPageBreak/>
        <w:t>1) Sul quadro normativo di riferimento e sulla natura tributaria del CUP.</w:t>
      </w:r>
    </w:p>
    <w:p w14:paraId="1A500003" w14:textId="57B9C099" w:rsidR="00876D35" w:rsidRDefault="00A5569B">
      <w:pPr>
        <w:ind w:firstLine="708"/>
        <w:contextualSpacing/>
        <w:jc w:val="both"/>
      </w:pPr>
      <w:r>
        <w:t>Il Comune di Castelsaraceno</w:t>
      </w:r>
      <w:r w:rsidR="00ED4D85">
        <w:t>, poi,</w:t>
      </w:r>
      <w:r>
        <w:t xml:space="preserve"> prende atto che Wind Tre S.p.A. ha correttamente incardinato il presente giudizio dinanzi alla On.le Corte di Giustizia Tributaria di Primo Grado di Potenza, in conformità alla sentenza delle Sezioni Unite della Corte di Cassazione n. 12225 del 1° maggio 2026, che ha definitivamente affermato la natura tributaria del Canone Unico Patrimoniale collocando l’obbligazione nel regime proprio dei tributi, nel quale </w:t>
      </w:r>
      <w:r w:rsidRPr="00ED4D85">
        <w:rPr>
          <w:u w:val="single"/>
        </w:rPr>
        <w:t>grava sul contribuente l’onere di una dichiarazione completa e veritiera delle utenze e nel quale la condotta reticente o inattendibile dell’operatore non può essere invocata a proprio vantaggio</w:t>
      </w:r>
      <w:r>
        <w:t>.</w:t>
      </w:r>
    </w:p>
    <w:p w14:paraId="1A500004" w14:textId="502DAF22" w:rsidR="00876D35" w:rsidRDefault="00362B5F">
      <w:pPr>
        <w:ind w:firstLine="708"/>
        <w:contextualSpacing/>
        <w:jc w:val="both"/>
      </w:pPr>
      <w:r>
        <w:t xml:space="preserve">Sulla replica alla </w:t>
      </w:r>
      <w:r w:rsidR="00A5569B">
        <w:t>ricostruzione del quadro normativo operata dalla Ricorrente</w:t>
      </w:r>
      <w:r>
        <w:t xml:space="preserve"> si rinvia ai motivi successivi</w:t>
      </w:r>
      <w:r w:rsidR="00A5569B">
        <w:t>.</w:t>
      </w:r>
    </w:p>
    <w:p w14:paraId="1A500007" w14:textId="1BEFB1EE" w:rsidR="00876D35" w:rsidRDefault="00A5569B">
      <w:pPr>
        <w:ind w:firstLine="708"/>
        <w:contextualSpacing/>
        <w:jc w:val="both"/>
      </w:pPr>
      <w:r>
        <w:t xml:space="preserve">In </w:t>
      </w:r>
      <w:r w:rsidR="00362B5F">
        <w:t xml:space="preserve">ogni caso, fin da subito si rileva che </w:t>
      </w:r>
      <w:r>
        <w:t>la natura tributaria del CUP, affermata dalle Sezioni Unite soltanto il 1° maggio 2026, non è idonea a inficiare né il Regolamento Comunale adottato nel 2021 né l’Avviso emesso anteriormente a quella data, come si dirà ai successivi punti 2) e 3).</w:t>
      </w:r>
    </w:p>
    <w:p w14:paraId="1A200010" w14:textId="77777777" w:rsidR="00876D35" w:rsidRDefault="00A5569B" w:rsidP="00362B5F">
      <w:pPr>
        <w:ind w:firstLine="708"/>
        <w:contextualSpacing/>
        <w:jc w:val="both"/>
        <w:rPr>
          <w:b/>
          <w:bCs/>
        </w:rPr>
      </w:pPr>
      <w:r>
        <w:rPr>
          <w:b/>
          <w:bCs/>
        </w:rPr>
        <w:t>2) Sull’eccepita inefficacia del Regolamento Comunale per asserita omessa pubblicazione sul portale del MEF.</w:t>
      </w:r>
    </w:p>
    <w:p w14:paraId="0BBBFD88" w14:textId="77777777" w:rsidR="00362B5F" w:rsidRPr="00362B5F" w:rsidRDefault="00362B5F" w:rsidP="00362B5F">
      <w:pPr>
        <w:ind w:firstLine="709"/>
        <w:jc w:val="both"/>
        <w:rPr>
          <w:rFonts w:eastAsia="Times New Roman"/>
        </w:rPr>
      </w:pPr>
      <w:r w:rsidRPr="00362B5F">
        <w:rPr>
          <w:rFonts w:eastAsia="Times New Roman"/>
        </w:rPr>
        <w:t>L’eccezione circa la pretesa inefficacia del Regolamento Comunale per omessa pubblicazione sul portale MEF è destituita di fondamento alla luce del quadro normativo e delle indicazioni operative più recenti.</w:t>
      </w:r>
    </w:p>
    <w:p w14:paraId="45FA1303" w14:textId="77777777" w:rsidR="00362B5F" w:rsidRPr="00362B5F" w:rsidRDefault="00362B5F" w:rsidP="00362B5F">
      <w:pPr>
        <w:ind w:firstLine="709"/>
        <w:jc w:val="both"/>
        <w:rPr>
          <w:rFonts w:eastAsia="Times New Roman"/>
        </w:rPr>
      </w:pPr>
      <w:r w:rsidRPr="00362B5F">
        <w:rPr>
          <w:rFonts w:eastAsia="Times New Roman"/>
        </w:rPr>
        <w:t xml:space="preserve">Va premesso che l’obbligo di pubblicazione sul Portale del Federalismo Fiscale, come condizione di efficacia dei regolamenti CUP, è una diretta conseguenza della qualificazione tributaria del canone, affermata dalle Sezioni Unite soltanto con sentenza n. 12225, pubblicata il 1° maggio 2026. </w:t>
      </w:r>
    </w:p>
    <w:p w14:paraId="25B8344E" w14:textId="77777777" w:rsidR="00362B5F" w:rsidRPr="00362B5F" w:rsidRDefault="00362B5F" w:rsidP="00362B5F">
      <w:pPr>
        <w:ind w:firstLine="709"/>
        <w:jc w:val="both"/>
        <w:rPr>
          <w:rFonts w:eastAsia="Times New Roman"/>
        </w:rPr>
      </w:pPr>
      <w:r w:rsidRPr="00362B5F">
        <w:rPr>
          <w:rFonts w:eastAsia="Times New Roman"/>
        </w:rPr>
        <w:t>Prima di tale data, il CUP era pacificamente qualificato come entrata patrimoniale, e nessuna norma imponeva ai Comuni la trasmissione al MEF dei regolamenti CUP ai fini della loro efficacia. I</w:t>
      </w:r>
    </w:p>
    <w:p w14:paraId="26BB627D" w14:textId="77777777" w:rsidR="00362B5F" w:rsidRPr="00362B5F" w:rsidRDefault="00362B5F" w:rsidP="00362B5F">
      <w:pPr>
        <w:ind w:firstLine="709"/>
        <w:jc w:val="both"/>
        <w:rPr>
          <w:rFonts w:eastAsia="Times New Roman"/>
        </w:rPr>
      </w:pPr>
      <w:r w:rsidRPr="00362B5F">
        <w:rPr>
          <w:rFonts w:eastAsia="Times New Roman"/>
        </w:rPr>
        <w:t>l Regolamento approvato con delibera n. 5 del 30.03.2021 (modificato con delibera n. 5 del 12.02.2025), adottato in quel contesto normativo, era dunque pienamente valido ed efficace secondo la disciplina allora vigente, e le pretese per le annualità 2021–2025 vi trovano legittimo fondamento.</w:t>
      </w:r>
    </w:p>
    <w:p w14:paraId="7DBE1A31" w14:textId="19170946" w:rsidR="00362B5F" w:rsidRPr="00362B5F" w:rsidRDefault="00362B5F" w:rsidP="00362B5F">
      <w:pPr>
        <w:ind w:firstLine="709"/>
        <w:jc w:val="both"/>
        <w:rPr>
          <w:rFonts w:eastAsia="Times New Roman"/>
        </w:rPr>
      </w:pPr>
      <w:r w:rsidRPr="00362B5F">
        <w:rPr>
          <w:rFonts w:eastAsia="Times New Roman"/>
          <w:b/>
          <w:bCs/>
        </w:rPr>
        <w:t xml:space="preserve">Tale interpretazione trova conferma nelle stesse istruzioni operative emanate dal Ministero dell’Economia e delle Finanze. Con Circolare n. 1/DF del 22 maggio 2026 (doc. </w:t>
      </w:r>
      <w:r>
        <w:rPr>
          <w:rFonts w:eastAsia="Times New Roman"/>
          <w:b/>
          <w:bCs/>
        </w:rPr>
        <w:t>7</w:t>
      </w:r>
      <w:r w:rsidRPr="00362B5F">
        <w:rPr>
          <w:rFonts w:eastAsia="Times New Roman"/>
          <w:b/>
          <w:bCs/>
        </w:rPr>
        <w:t xml:space="preserve">), il MEF ha disciplinato gli adempimenti conseguenti alla pronuncia delle Sezioni Unite, stabilendo che i Comuni devono trasmettere al portale del Federalismo Fiscale, entro il termine perentorio del 14 ottobre 2026, </w:t>
      </w:r>
      <w:r w:rsidRPr="00362B5F">
        <w:rPr>
          <w:rFonts w:eastAsia="Times New Roman"/>
          <w:b/>
          <w:bCs/>
        </w:rPr>
        <w:lastRenderedPageBreak/>
        <w:t>l’ultima deliberazione vigente in materia di CUP alla data del 1° maggio 2026, in applicazione del principio di ultrattività e conservazione degli atti. Ciò conferma, a contrario, che i regolamenti adottati anteriormente alla sentenza delle SS.UU. erano e rimangono validi: il MEF non ne ha disposto la riapprovazione, ma soltanto la trasmissione telematica per la pubblicazione sul portale.</w:t>
      </w:r>
      <w:r w:rsidRPr="00362B5F">
        <w:rPr>
          <w:rFonts w:eastAsia="Times New Roman"/>
        </w:rPr>
        <w:t xml:space="preserve"> </w:t>
      </w:r>
    </w:p>
    <w:p w14:paraId="00FFC044" w14:textId="77777777" w:rsidR="00362B5F" w:rsidRPr="00362B5F" w:rsidRDefault="00362B5F" w:rsidP="00362B5F">
      <w:pPr>
        <w:ind w:firstLine="709"/>
        <w:jc w:val="both"/>
        <w:rPr>
          <w:rFonts w:eastAsia="Times New Roman"/>
        </w:rPr>
      </w:pPr>
      <w:r w:rsidRPr="00362B5F">
        <w:rPr>
          <w:rFonts w:eastAsia="Times New Roman"/>
        </w:rPr>
        <w:t>L’eccezione sollevata da Wind Tre muove dunque da un presupposto errato, pretendendo di applicare retroattivamente a un regolamento del 2021 un onere formale che non esisteva all’epoca della sua adozione, in palese contrasto con i principi di irretroattività e legittimo affidamento che presiedono all’ordinamento tributario.</w:t>
      </w:r>
    </w:p>
    <w:p w14:paraId="1A200019" w14:textId="77777777" w:rsidR="00876D35" w:rsidRDefault="00A5569B" w:rsidP="00362B5F">
      <w:pPr>
        <w:ind w:firstLine="708"/>
        <w:contextualSpacing/>
        <w:jc w:val="both"/>
        <w:rPr>
          <w:b/>
          <w:bCs/>
        </w:rPr>
      </w:pPr>
      <w:r>
        <w:rPr>
          <w:b/>
          <w:bCs/>
        </w:rPr>
        <w:t>3) Sulla pretesa carenza di elementi essenziali dell’Avviso.</w:t>
      </w:r>
    </w:p>
    <w:p w14:paraId="1A20001A" w14:textId="77777777" w:rsidR="00876D35" w:rsidRDefault="00A5569B">
      <w:pPr>
        <w:ind w:firstLine="708"/>
        <w:contextualSpacing/>
        <w:jc w:val="both"/>
      </w:pPr>
      <w:r>
        <w:t>Anche tale censura — formulata, peraltro, in termini del tutto generici, senza l’indicazione di quali elementi sarebbero in concreto mancanti — è priva di fondamento.</w:t>
      </w:r>
    </w:p>
    <w:p w14:paraId="1A20001B" w14:textId="77777777" w:rsidR="00876D35" w:rsidRDefault="00A5569B">
      <w:pPr>
        <w:ind w:firstLine="708"/>
        <w:contextualSpacing/>
        <w:jc w:val="both"/>
      </w:pPr>
      <w:r>
        <w:t>L’avviso di accertamento impugnato risulta pienamente motivato: esso indica espressamente il presupposto impositivo (l’occupazione, anche in via mediata, del suolo pubblico per l’erogazione dei servizi di telefonia fissa e internet nelle annualità 2021-2024), la norma applicata (art. 1, comma 831, L. 160/2019), il criterio di determinazione adottato (misura minima di legge pari ad Euro 800,00 annui, con aggiornamento ISTAT, essendo emersa dai dati dell’Osservatorio sulle Comunicazioni AGCOM la soggettività passiva della società per la sola quota fissa), le singole annualità e i relativi importi, la sanzione applicata ai sensi dell’art. 44 del Regolamento Comunale, nonché gli interessi calcolati ai sensi dell’art. 1, comma 802, L. 160/2019.</w:t>
      </w:r>
    </w:p>
    <w:p w14:paraId="1A20001C" w14:textId="77777777" w:rsidR="00876D35" w:rsidRDefault="00A5569B">
      <w:pPr>
        <w:ind w:firstLine="708"/>
        <w:contextualSpacing/>
        <w:jc w:val="both"/>
      </w:pPr>
      <w:r>
        <w:t>L’atto soddisfa pienamente i requisiti di certezza, liquidità ed esigibilità richiesti dalla norma, consentendo al destinatario di comprendere appieno le ragioni della pretesa e di articolare adeguatamente la propria difesa — come del resto ha fatto Wind Tre, prima con l’istanza di annullamento in autotutela e poi con il presente ricorso, nel quale ha contestato analiticamente, nel merito, ogni profilo della pretesa: circostanza che esclude in radice qualsivoglia lesione del diritto di difesa.</w:t>
      </w:r>
    </w:p>
    <w:p w14:paraId="1A20001D" w14:textId="77777777" w:rsidR="00876D35" w:rsidRDefault="00A5569B">
      <w:pPr>
        <w:ind w:firstLine="708"/>
        <w:contextualSpacing/>
        <w:jc w:val="both"/>
      </w:pPr>
      <w:r>
        <w:t>La censura va pertanto disattesa.</w:t>
      </w:r>
    </w:p>
    <w:p w14:paraId="1A20001F" w14:textId="539EA71A" w:rsidR="00876D35" w:rsidRDefault="00362B5F">
      <w:pPr>
        <w:contextualSpacing/>
        <w:jc w:val="both"/>
        <w:rPr>
          <w:b/>
          <w:bCs/>
        </w:rPr>
      </w:pPr>
      <w:r>
        <w:tab/>
      </w:r>
      <w:r w:rsidR="00A5569B">
        <w:rPr>
          <w:b/>
          <w:bCs/>
        </w:rPr>
        <w:t>4) Sull’asserita incoerenza del presupposto del CUP con i caratteri di effettività ed attualità della capacità contributiva</w:t>
      </w:r>
      <w:r w:rsidR="00997F95">
        <w:rPr>
          <w:b/>
          <w:bCs/>
        </w:rPr>
        <w:t>.</w:t>
      </w:r>
    </w:p>
    <w:p w14:paraId="1A200020" w14:textId="77777777" w:rsidR="00876D35" w:rsidRDefault="00A5569B">
      <w:pPr>
        <w:ind w:firstLine="708"/>
        <w:contextualSpacing/>
        <w:jc w:val="both"/>
      </w:pPr>
      <w:r>
        <w:t>La censura è manifestamente infondata.</w:t>
      </w:r>
    </w:p>
    <w:p w14:paraId="1A200021" w14:textId="05ECD3A9" w:rsidR="00876D35" w:rsidRDefault="00A5569B">
      <w:pPr>
        <w:ind w:firstLine="708"/>
        <w:contextualSpacing/>
        <w:jc w:val="both"/>
      </w:pPr>
      <w:r>
        <w:t>La Ricorrente muove dalla premessa</w:t>
      </w:r>
      <w:r w:rsidR="00997F95">
        <w:t>,</w:t>
      </w:r>
      <w:r>
        <w:t xml:space="preserve"> erronea in fatto prima ancora che in diritto</w:t>
      </w:r>
      <w:r w:rsidR="00997F95">
        <w:t xml:space="preserve">, </w:t>
      </w:r>
      <w:r>
        <w:t>secondo cui Wind Tre non trarrebbe alcun godimento dal suolo pubblico comunale, sicché il presupposto del tributo sarebbe "totalmente virtuale" e privo di collegamento con una manifestazione di forza economica effettiva ed attuale.</w:t>
      </w:r>
    </w:p>
    <w:p w14:paraId="1A200022" w14:textId="02D70CA4" w:rsidR="00876D35" w:rsidRDefault="00A5569B">
      <w:pPr>
        <w:ind w:firstLine="708"/>
        <w:contextualSpacing/>
        <w:jc w:val="both"/>
      </w:pPr>
      <w:r>
        <w:lastRenderedPageBreak/>
        <w:t xml:space="preserve">La premessa è smentita dalla realtà tecnica ed economica del servizio: come chiarito dalla </w:t>
      </w:r>
      <w:r w:rsidRPr="00122D6A">
        <w:rPr>
          <w:b/>
          <w:bCs/>
          <w:u w:val="single"/>
        </w:rPr>
        <w:t xml:space="preserve">Corte di Cassazione, Sezione Terza Civile, con la sentenza n. 11479 del 28 aprile 2026 (doc. 8) — </w:t>
      </w:r>
      <w:r w:rsidR="00362B5F" w:rsidRPr="00122D6A">
        <w:rPr>
          <w:b/>
          <w:bCs/>
          <w:u w:val="single"/>
        </w:rPr>
        <w:t xml:space="preserve">come detto </w:t>
      </w:r>
      <w:r w:rsidRPr="00122D6A">
        <w:rPr>
          <w:b/>
          <w:bCs/>
          <w:u w:val="single"/>
        </w:rPr>
        <w:t>resa proprio nei confronti di Wind Tre — i segnali delle linee telefoniche si propagano per legge fisica sempre attraverso un supporto materiale, sicché l’operatore che eroga servizi ai propri clienti avvalendosi della rete posata nel suolo e nel sottosuolo pubblico ne fa un utilizzo concreto e ne ritrae un vantaggio economico immediato e diretto: la possibilità di vendere e fatturare i propri servizi alle utenze attive nel territorio comunale</w:t>
      </w:r>
      <w:r>
        <w:t>.</w:t>
      </w:r>
    </w:p>
    <w:p w14:paraId="1A200023" w14:textId="77777777" w:rsidR="00876D35" w:rsidRPr="00122D6A" w:rsidRDefault="00A5569B">
      <w:pPr>
        <w:ind w:firstLine="708"/>
        <w:contextualSpacing/>
        <w:jc w:val="both"/>
        <w:rPr>
          <w:b/>
          <w:bCs/>
          <w:u w:val="single"/>
        </w:rPr>
      </w:pPr>
      <w:r w:rsidRPr="00122D6A">
        <w:rPr>
          <w:b/>
          <w:bCs/>
          <w:u w:val="single"/>
        </w:rPr>
        <w:t>Il presupposto del canone, dunque, non è affatto virtuale: è rappresentato dal godimento — sia pure in via mediata — di infrastrutture che insistono stabilmente sul suolo e nel sottosuolo comunale, godimento che costituisce indice concreto ed attuale di capacità contributiva, in quanto immediatamente correlato all’attività economica svolta dall’operatore in quel territorio e commisurato, quanto alla base di calcolo, al numero delle utenze ivi servite, con la sola garanzia del minimo di legge.</w:t>
      </w:r>
    </w:p>
    <w:p w14:paraId="1A200024" w14:textId="77777777" w:rsidR="00876D35" w:rsidRDefault="00A5569B">
      <w:pPr>
        <w:ind w:firstLine="708"/>
        <w:contextualSpacing/>
        <w:jc w:val="both"/>
      </w:pPr>
      <w:r>
        <w:t>Né coglie nel segno l’argomento della pretesa "spiralizzazione" del prelievo: come si dirà più diffusamente al successivo punto 5), la liberalizzazione del mercato ha ridotto le utenze riconducibili all’ex monopolista, che versa oggi soltanto la quota di propria spettanza; il coinvolgimento degli operatori che utilizzano la rete in via mediata non duplica il prelievo, ma ne ripartisce il carico fra tutti i soggetti che effettivamente traggono utilità dall’occupazione.</w:t>
      </w:r>
    </w:p>
    <w:p w14:paraId="651460D9" w14:textId="77777777" w:rsidR="00122D6A" w:rsidRDefault="00A5569B">
      <w:pPr>
        <w:ind w:firstLine="708"/>
        <w:contextualSpacing/>
        <w:jc w:val="both"/>
      </w:pPr>
      <w:r>
        <w:t xml:space="preserve">Va da ultimo rilevato che la Corte di Cassazione, con la citata sentenza n. 11479/2026, ha applicato il comma 831 nell’interpretazione che ricomprende nella soggettività passiva anche l’utilizzatore in via mediata della rete altrui, senza ravvisare alcun profilo di contrasto con l’art. 53 Cost.; e che le Sezioni Unite, nell’affermare con la sentenza n. 12225 del 1° maggio 2026 la natura tributaria del CUP, non hanno adombrato alcun dubbio di compatibilità costituzionale della fattispecie. </w:t>
      </w:r>
    </w:p>
    <w:p w14:paraId="1A200025" w14:textId="080C909C" w:rsidR="00876D35" w:rsidRDefault="00A5569B">
      <w:pPr>
        <w:ind w:firstLine="708"/>
        <w:contextualSpacing/>
        <w:jc w:val="both"/>
      </w:pPr>
      <w:r>
        <w:t>La questione di legittimità costituzionale evocata dalla Ricorrente si risolve, in realtà, nella mera riproposizione, sotto veste costituzionale, della tesi — già disattesa dal giudice di legittimità — dell’irrilevanza dell’utilizzo c.d. virtuale della rete, ed è pertanto manifestamente infondata.</w:t>
      </w:r>
    </w:p>
    <w:p w14:paraId="1A200027" w14:textId="77777777" w:rsidR="00876D35" w:rsidRDefault="00A5569B" w:rsidP="00122D6A">
      <w:pPr>
        <w:ind w:firstLine="708"/>
        <w:contextualSpacing/>
        <w:jc w:val="both"/>
        <w:rPr>
          <w:b/>
          <w:bCs/>
        </w:rPr>
      </w:pPr>
      <w:r>
        <w:rPr>
          <w:b/>
          <w:bCs/>
        </w:rPr>
        <w:t>5) Sulla pretesa carenza dei presupposti per l’applicazione del CUP Cavi e Condutture e sul preteso difetto di occupazione, anche in via mediata, del suolo pubblico.</w:t>
      </w:r>
    </w:p>
    <w:p w14:paraId="1A200028" w14:textId="77777777" w:rsidR="00876D35" w:rsidRDefault="00876D35">
      <w:pPr>
        <w:contextualSpacing/>
        <w:jc w:val="both"/>
      </w:pPr>
    </w:p>
    <w:p w14:paraId="1CF4BA9F" w14:textId="54E7804B" w:rsidR="00122D6A" w:rsidRPr="00122D6A" w:rsidRDefault="00122D6A" w:rsidP="00122D6A">
      <w:pPr>
        <w:ind w:firstLine="708"/>
        <w:jc w:val="both"/>
        <w:rPr>
          <w:rFonts w:ascii="Times New Roman" w:eastAsia="Times New Roman" w:hAnsi="Times New Roman" w:cs="Times New Roman"/>
          <w:sz w:val="20"/>
          <w:szCs w:val="20"/>
        </w:rPr>
      </w:pPr>
      <w:r w:rsidRPr="00122D6A">
        <w:lastRenderedPageBreak/>
        <w:t>Con riferimento all</w:t>
      </w:r>
      <w:r>
        <w:t>a</w:t>
      </w:r>
      <w:r w:rsidRPr="00122D6A">
        <w:t xml:space="preserve"> doglianz</w:t>
      </w:r>
      <w:r>
        <w:t>a</w:t>
      </w:r>
      <w:r w:rsidRPr="00122D6A">
        <w:t xml:space="preserve"> in epigrafe riportat</w:t>
      </w:r>
      <w:r>
        <w:t>a</w:t>
      </w:r>
      <w:r w:rsidRPr="00122D6A">
        <w:t xml:space="preserve"> </w:t>
      </w:r>
      <w:r>
        <w:t xml:space="preserve">è derimente la </w:t>
      </w:r>
      <w:r w:rsidRPr="00122D6A">
        <w:t xml:space="preserve">richiamata sentenza resa, </w:t>
      </w:r>
      <w:r w:rsidRPr="00122D6A">
        <w:rPr>
          <w:b/>
          <w:bCs/>
          <w:u w:val="single"/>
        </w:rPr>
        <w:t>PROPRIO CONTRO WIND,</w:t>
      </w:r>
      <w:r w:rsidRPr="00122D6A">
        <w:t xml:space="preserve">  della </w:t>
      </w:r>
      <w:r w:rsidRPr="00122D6A">
        <w:rPr>
          <w:b/>
          <w:bCs/>
          <w:u w:val="single"/>
        </w:rPr>
        <w:t>CORTE SUPREMA DI CASSAZIONE, Sezione Terza Civile, sentenza n. 11479 del 28 aprile 2026</w:t>
      </w:r>
      <w:r>
        <w:rPr>
          <w:b/>
          <w:bCs/>
        </w:rPr>
        <w:t>.</w:t>
      </w:r>
    </w:p>
    <w:p w14:paraId="73A82E5D" w14:textId="77777777" w:rsidR="00122D6A" w:rsidRPr="00122D6A" w:rsidRDefault="00122D6A" w:rsidP="00122D6A">
      <w:pPr>
        <w:ind w:firstLine="708"/>
        <w:jc w:val="both"/>
        <w:rPr>
          <w:rFonts w:eastAsia="Times New Roman"/>
        </w:rPr>
      </w:pPr>
      <w:r w:rsidRPr="00122D6A">
        <w:rPr>
          <w:rFonts w:eastAsia="Times New Roman"/>
          <w:b/>
          <w:bCs/>
          <w:u w:val="single"/>
        </w:rPr>
        <w:t>Sui fatti e sulla normativa di riferimento.</w:t>
      </w:r>
    </w:p>
    <w:p w14:paraId="4EB698BF" w14:textId="77777777" w:rsidR="00655836" w:rsidRPr="00655836" w:rsidRDefault="00655836" w:rsidP="00655836">
      <w:pPr>
        <w:ind w:firstLine="708"/>
        <w:contextualSpacing/>
        <w:jc w:val="both"/>
      </w:pPr>
      <w:r>
        <w:t>Nella narrativa avversaria, sostanzialmente, WIND TRE S.P.A. richiama una normativa oltre che non più attuale, anche recisamente disattesa dallo stesso Legislatore oltre che afferente a diverse fattispecie normativamente regolamentate.</w:t>
      </w:r>
    </w:p>
    <w:p w14:paraId="4E0EAA8E" w14:textId="77777777" w:rsidR="00655836" w:rsidRPr="00655836" w:rsidRDefault="00655836" w:rsidP="00655836">
      <w:pPr>
        <w:contextualSpacing/>
        <w:jc w:val="both"/>
      </w:pPr>
      <w:r>
        <w:t xml:space="preserve">Pertanto, per meglio inquadrare la fattispecie portata all’attenzione del Giudice, si impone un breve </w:t>
      </w:r>
      <w:r>
        <w:rPr>
          <w:i/>
          <w:iCs/>
        </w:rPr>
        <w:t>excursus</w:t>
      </w:r>
      <w:r>
        <w:t xml:space="preserve"> normativo in tema di legittimazione passiva, al fine di individuare il/i soggetto/i passivamente tenuti al pagamento del canone patrimoniale unico e </w:t>
      </w:r>
      <w:r>
        <w:rPr>
          <w:u w:val="single"/>
        </w:rPr>
        <w:t>ciò anche nell’ipotesi di uso in via mediata in condivisione delle infrastrutture concessionate ad un unico Operatore.</w:t>
      </w:r>
    </w:p>
    <w:p w14:paraId="23B1FB41" w14:textId="77777777" w:rsidR="00655836" w:rsidRPr="00655836" w:rsidRDefault="00655836" w:rsidP="00655836">
      <w:pPr>
        <w:ind w:firstLine="708"/>
        <w:contextualSpacing/>
        <w:jc w:val="both"/>
      </w:pPr>
      <w:r>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7E00B524" w14:textId="77777777" w:rsidR="00655836" w:rsidRPr="00655836" w:rsidRDefault="00655836" w:rsidP="00655836">
      <w:pPr>
        <w:contextualSpacing/>
        <w:jc w:val="both"/>
      </w:pPr>
      <w: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7C321FAF" w14:textId="77777777" w:rsidR="00655836" w:rsidRPr="00655836" w:rsidRDefault="00655836" w:rsidP="00655836">
      <w:pPr>
        <w:ind w:firstLine="708"/>
        <w:contextualSpacing/>
        <w:jc w:val="both"/>
      </w:pPr>
      <w:r>
        <w:t>E ciò ha fatto fornendo un’interpretazione che ora possiamo definire definitiva dell’art. 1 comma 831 della predetta Legge.</w:t>
      </w:r>
    </w:p>
    <w:p w14:paraId="29F67549" w14:textId="77777777" w:rsidR="00655836" w:rsidRPr="00655836" w:rsidRDefault="00655836" w:rsidP="00655836">
      <w:pPr>
        <w:ind w:firstLine="708"/>
        <w:contextualSpacing/>
        <w:jc w:val="both"/>
      </w:pPr>
      <w: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6EFE3CF8" w14:textId="77777777" w:rsidR="00655836" w:rsidRPr="00655836" w:rsidRDefault="00655836" w:rsidP="00655836">
      <w:pPr>
        <w:ind w:firstLine="708"/>
        <w:contextualSpacing/>
        <w:jc w:val="both"/>
      </w:pPr>
      <w:r>
        <w:t>Il titolare della concessione comunale avrebbe, poi, esercitato rivalsa sulle aziende che utilizzavano la stessa rete, per quanto complessivamente ed obbligatoriamente da esso anticipato al locale Comune anche in loro vece e favore.</w:t>
      </w:r>
    </w:p>
    <w:p w14:paraId="2A75F2ED" w14:textId="77777777" w:rsidR="00655836" w:rsidRPr="00655836" w:rsidRDefault="00655836" w:rsidP="00655836">
      <w:pPr>
        <w:ind w:firstLine="708"/>
        <w:contextualSpacing/>
        <w:jc w:val="both"/>
      </w:pPr>
      <w:r>
        <w:t>Nella vigenza di tale normativa o, meglio, prassi applicativa (</w:t>
      </w:r>
      <w:r>
        <w:rPr>
          <w:b/>
          <w:bCs/>
        </w:rPr>
        <w:t>poiché tale indirizzo normativo mai è entrato in vigore</w:t>
      </w:r>
      <w:r>
        <w:t xml:space="preserve">) il soggetto chiamato a corrispondere il canone sarebbe stato esclusivamente Tim/Telecom S.p.A., quale unico soggetto concessionato all’uso del sottosuolo pubblico salvo, come anticipato, il suo diritto alla rivalsa/regresso </w:t>
      </w:r>
      <w:r>
        <w:lastRenderedPageBreak/>
        <w:t xml:space="preserve">nei confronti degli altri utilizzatori tra cui, evidentemente, anche WIND TRE S.P.A., che pacificamente utilizza le reti altrui mediante collegamenti </w:t>
      </w:r>
      <w:r>
        <w:rPr>
          <w:b/>
          <w:bCs/>
        </w:rPr>
        <w:t>VLAN (Virtual Local Area Network), NGA (Next Generation Access), VULA (Virtual Unbundled Local Access) e SLU (Sub Loop Unbundling)</w:t>
      </w:r>
      <w:r>
        <w:t>; per chiarezza espositiva si evidenzia che con tali acronimi si indicano le modalità che gli operatori di rete hanno a disposizione per accedere alla rete dell’operatore concessionato Tim/Telecom S.p.A./FiberCop, ex monopolista delle infrastrutture nazionali.</w:t>
      </w:r>
    </w:p>
    <w:p w14:paraId="09F53941" w14:textId="77777777" w:rsidR="00655836" w:rsidRPr="00655836" w:rsidRDefault="00655836" w:rsidP="00655836">
      <w:pPr>
        <w:ind w:firstLine="708"/>
        <w:contextualSpacing/>
        <w:jc w:val="both"/>
      </w:pPr>
      <w:r>
        <w:t xml:space="preserve">Ricordiamo, poi, che il Legislatore con il </w:t>
      </w:r>
      <w:r>
        <w:rPr>
          <w:u w:val="single"/>
        </w:rPr>
        <w:t>comma 848 della Legge 178/2020</w:t>
      </w:r>
      <w:r>
        <w:t xml:space="preserve"> del 30.12.2020 ha apportato radicali modifiche, stravolgendola, alla disciplina riscrivendo il comma 831 ed introducendo il concetto della c.d. </w:t>
      </w:r>
      <w:r>
        <w:rPr>
          <w:b/>
          <w:bCs/>
          <w:u w:val="single"/>
        </w:rPr>
        <w:t>soggettività passiva in via mediata</w:t>
      </w:r>
      <w:r>
        <w:t xml:space="preserve"> quale presupposto per l’applicazione della norma di cui, di seguito, riportiamo la sintesi.</w:t>
      </w:r>
    </w:p>
    <w:p w14:paraId="1FA22D36" w14:textId="77777777" w:rsidR="00655836" w:rsidRPr="00655836" w:rsidRDefault="00655836" w:rsidP="00655836">
      <w:pPr>
        <w:contextualSpacing/>
        <w:jc w:val="both"/>
      </w:pPr>
      <w:r>
        <w:t>Ad oggi, quindi, il criterio informatore per la fattispecie in esame risulta il seguente: “</w:t>
      </w:r>
      <w:r>
        <w:rPr>
          <w:i/>
          <w:iCs/>
        </w:rPr>
        <w:t xml:space="preserve">il canone è dovuto dal soggetto titolare dell’atto di concessione dell’occupazione del suolo pubblico e dai soggetti che occupano il suolo pubblico </w:t>
      </w:r>
      <w:r>
        <w:rPr>
          <w:i/>
          <w:iCs/>
          <w:u w:val="single"/>
        </w:rPr>
        <w:t>anche in via mediata</w:t>
      </w:r>
      <w:r>
        <w:rPr>
          <w:i/>
          <w:iCs/>
        </w:rPr>
        <w:t xml:space="preserve"> attraverso l’utilizzo materiale delle infrastrutture del soggetto titolare della concessione </w:t>
      </w:r>
      <w:r>
        <w:rPr>
          <w:i/>
          <w:iCs/>
          <w:u w:val="single"/>
        </w:rPr>
        <w:t>sulla base del numero delle rispettive utenze</w:t>
      </w:r>
      <w:r>
        <w:rPr>
          <w:i/>
          <w:iCs/>
        </w:rPr>
        <w:t xml:space="preserve"> moltiplicate per la seguente tariffa forfettaria ...omissis...”.</w:t>
      </w:r>
    </w:p>
    <w:p w14:paraId="2BAD25BE" w14:textId="77777777" w:rsidR="00655836" w:rsidRPr="00655836" w:rsidRDefault="00655836" w:rsidP="00655836">
      <w:pPr>
        <w:ind w:firstLine="708"/>
        <w:contextualSpacing/>
        <w:jc w:val="both"/>
      </w:pPr>
      <w:r>
        <w:t>Evidenti le conseguenze: oltre al formale concessionario Tim/Telecom S.p.A./FiberCop saranno tenuti al pagamento del canone anche tutti gli altri operatori telefonici i quali, sebbene non intestatari di concessione amministrativa alcuna, di fatto, utilizzano le reti in virtù di accordi privati con la stessa Tim/Telecom S.p.A./FiberCop al fine di erogare il servizio al proprio Cliente finale, rappresentato dalle singole abitazioni private e/o aziende del territorio nazionale.</w:t>
      </w:r>
    </w:p>
    <w:p w14:paraId="2C8DBB8C" w14:textId="77777777" w:rsidR="00655836" w:rsidRPr="00655836" w:rsidRDefault="00655836" w:rsidP="00655836">
      <w:pPr>
        <w:ind w:firstLine="708"/>
        <w:contextualSpacing/>
        <w:jc w:val="both"/>
      </w:pPr>
      <w:r>
        <w:t xml:space="preserve">Si noti che il principio cristallizzato nella nuova formulazione ed interpretazione dell’art. 1 comma 831 è stato mutuato da una risalente Circolare interpretativa del MEF pubblicata nell’anno 2009 (Circolare n. 1/DF del 20.01.2009 – </w:t>
      </w:r>
      <w:r>
        <w:rPr>
          <w:b/>
          <w:bCs/>
        </w:rPr>
        <w:t>doc. 9</w:t>
      </w:r>
      <w:r>
        <w:t>)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5460B550" w14:textId="77777777" w:rsidR="00655836" w:rsidRPr="00655836" w:rsidRDefault="00655836" w:rsidP="00655836">
      <w:pPr>
        <w:ind w:firstLine="708"/>
        <w:contextualSpacing/>
        <w:jc w:val="both"/>
      </w:pPr>
      <w: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1D189488" w14:textId="77777777" w:rsidR="00655836" w:rsidRPr="00655836" w:rsidRDefault="00655836" w:rsidP="00655836">
      <w:pPr>
        <w:ind w:firstLine="708"/>
        <w:contextualSpacing/>
        <w:jc w:val="both"/>
      </w:pPr>
      <w:r>
        <w:t xml:space="preserve">Risulta, infatti, che, alla luce della precedente normativa, il criterio applicativo della TOSAP o COSAP si realizzava in base al numero delle singole utenze attive, rilevate al </w:t>
      </w:r>
      <w:r>
        <w:lastRenderedPageBreak/>
        <w:t>31 dicembre dell’anno precedente, moltiplicato per la relativa tariffa forfettaria che veniva stabilita dal Legislatore per ogni utenza.</w:t>
      </w:r>
    </w:p>
    <w:p w14:paraId="5306F069" w14:textId="77777777" w:rsidR="00655836" w:rsidRPr="00655836" w:rsidRDefault="00655836" w:rsidP="00655836">
      <w:pPr>
        <w:ind w:firstLine="708"/>
        <w:contextualSpacing/>
        <w:jc w:val="both"/>
      </w:pPr>
      <w:r>
        <w:t xml:space="preserve">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WIND TRE S.P.A.), </w:t>
      </w:r>
      <w:r>
        <w:rPr>
          <w:u w:val="single"/>
        </w:rPr>
        <w:t>il numero delle utenze riconducibili all’ex monopolista si è evidentemente e drasticamente ridotto.</w:t>
      </w:r>
    </w:p>
    <w:p w14:paraId="4C41BF2A" w14:textId="77777777" w:rsidR="00655836" w:rsidRPr="00655836" w:rsidRDefault="00655836" w:rsidP="00655836">
      <w:pPr>
        <w:ind w:firstLine="708"/>
        <w:contextualSpacing/>
        <w:jc w:val="both"/>
      </w:pPr>
      <w:r>
        <w:t xml:space="preserve">Ad oggi, infatti, dai dati AGCOM si rileva che le più importanti Compagnie operanti sul territorio nazionale detengono le seguenti quote di mercato: Tim/Telecom S.p.A. il 35,90% delle utenze del mercato nazionale, Vodafone S.p.A. + Fastweb incorporata 28,4% e Wind S.p.A. il 14,40% circa (cfr. Osservatorio AGCOM – </w:t>
      </w:r>
      <w:r>
        <w:rPr>
          <w:b/>
          <w:bCs/>
        </w:rPr>
        <w:t>doc. 10</w:t>
      </w:r>
      <w:r>
        <w:t>); le Compagnie minori si spartiscono le residue quote.</w:t>
      </w:r>
    </w:p>
    <w:p w14:paraId="114F91FE" w14:textId="77777777" w:rsidR="00655836" w:rsidRPr="00655836" w:rsidRDefault="00655836" w:rsidP="00655836">
      <w:pPr>
        <w:ind w:firstLine="708"/>
        <w:contextualSpacing/>
        <w:jc w:val="both"/>
      </w:pPr>
      <w:r>
        <w:t xml:space="preserve">Tale equilibrio di mercato si riverbera, statisticamente, anche all’interno del Comune di Castelsaraceno dove, conseguentemente e parallelamente, si è rilevato uno speculare decremento delle entrate comunali proprio per la progressiva diminuzione delle utenze riconducibili all’ex monopolista </w:t>
      </w:r>
      <w:r>
        <w:rPr>
          <w:b/>
          <w:bCs/>
          <w:u w:val="single"/>
        </w:rPr>
        <w:t>Tim/Telecom S.p.A./FiberCop che versa, ora, solo la quota di sua esclusiva spettanza e non già l’intero del dovuto.</w:t>
      </w:r>
    </w:p>
    <w:p w14:paraId="34A067AF" w14:textId="77777777" w:rsidR="00655836" w:rsidRPr="00655836" w:rsidRDefault="00655836" w:rsidP="00655836">
      <w:pPr>
        <w:ind w:firstLine="708"/>
        <w:contextualSpacing/>
        <w:jc w:val="both"/>
      </w:pPr>
      <w: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u w:val="single"/>
        </w:rPr>
        <w:t>con la modifica apportata dal Legislatore in sede di Legge di bilancio 2021</w:t>
      </w:r>
      <w:r>
        <w:t xml:space="preserve"> </w:t>
      </w:r>
      <w:r>
        <w:rPr>
          <w:u w:val="single"/>
        </w:rPr>
        <w:t>è stato disposto che anche gli altri operatori che usufruiscono dei canali di trasmissione dati, di proprietà Tim/Telecom S.p.A./FiberCop, debbano versare il relativo canone</w:t>
      </w:r>
      <w:r>
        <w:t xml:space="preserve"> (rapportato sempre al numero di utenze a loro riconducibili) considerandoli, quindi, </w:t>
      </w:r>
      <w:r>
        <w:rPr>
          <w:u w:val="single"/>
        </w:rPr>
        <w:t>soggetti passivi in via mediata</w:t>
      </w:r>
      <w:r>
        <w:t xml:space="preserve"> del tributo.</w:t>
      </w:r>
    </w:p>
    <w:p w14:paraId="08B67713" w14:textId="77777777" w:rsidR="00655836" w:rsidRPr="00655836" w:rsidRDefault="00655836" w:rsidP="00655836">
      <w:pPr>
        <w:ind w:firstLine="708"/>
        <w:contextualSpacing/>
        <w:jc w:val="both"/>
      </w:pPr>
      <w:r>
        <w:t>Da qui l’incontestabile individuazione, da parte del Comune di Castelsaraceno, in WIND TRE S.P.A. di uno dei soggetti passivamente tenuti al versamento del canone per cui è processo.</w:t>
      </w:r>
    </w:p>
    <w:p w14:paraId="5B02C6DA" w14:textId="77777777" w:rsidR="00655836" w:rsidRPr="00655836" w:rsidRDefault="00655836" w:rsidP="00655836">
      <w:pPr>
        <w:ind w:firstLine="708"/>
        <w:contextualSpacing/>
        <w:jc w:val="both"/>
      </w:pPr>
      <w:r>
        <w:t xml:space="preserve">Invero, la norma richiamata da WIND TRE S.P.A., secondo la quale la casistica della condivisione delle reti, come sopra esposta, ricadrebbe nell’ambito applicativo dell’interpretazione autentica del comma 831, successivamente introdotta dal Legislatore, riguarda altra e diversa fattispecie, </w:t>
      </w:r>
      <w:r>
        <w:rPr>
          <w:u w:val="single"/>
        </w:rPr>
        <w:t>ben distinta da quella oggi portata all’attenzione del Giudice.</w:t>
      </w:r>
    </w:p>
    <w:p w14:paraId="149386D2" w14:textId="77777777" w:rsidR="00655836" w:rsidRPr="00655836" w:rsidRDefault="00655836" w:rsidP="00655836">
      <w:pPr>
        <w:ind w:firstLine="708"/>
        <w:contextualSpacing/>
        <w:jc w:val="both"/>
      </w:pPr>
      <w:r>
        <w:lastRenderedPageBreak/>
        <w:t xml:space="preserve">Essa, infatti, è applicabile esclusivamente al caso in cui vi sia una </w:t>
      </w:r>
      <w:r>
        <w:rPr>
          <w:u w:val="single"/>
        </w:rPr>
        <w:t>netta separazione tra il soggetto proprietario delle infrastrutture ed il soggetto titolare del contratto di somministrazione del bene distribuito</w:t>
      </w:r>
      <w:r>
        <w:t xml:space="preserve"> attraverso le medesime infrastrutture.</w:t>
      </w:r>
    </w:p>
    <w:p w14:paraId="7AA7CFCC" w14:textId="77777777" w:rsidR="00655836" w:rsidRPr="00655836" w:rsidRDefault="00655836" w:rsidP="00655836">
      <w:pPr>
        <w:ind w:firstLine="708"/>
        <w:contextualSpacing/>
        <w:jc w:val="both"/>
      </w:pPr>
      <w:r>
        <w:t xml:space="preserve">Per meglio rappresentare come la disciplina novellata, dietro la quale WIND TRE S.P.A. vorrebbe trincerarsi, sia applicabile a diversa casistica, richiamiamo la normativa di cui all’art. 21 del D.Lgs. 23 maggio 2000 n. 164 concernente le disposizioni di attuazione della direttiva n. 98/30/CE inerente la </w:t>
      </w:r>
      <w:r>
        <w:rPr>
          <w:u w:val="single"/>
        </w:rPr>
        <w:t>distribuzione del gas</w:t>
      </w:r>
      <w:r>
        <w:t xml:space="preserve"> naturale e la normativa di cui all’art. 1 del D.Lgs. 18 giugno 2007 n. 73 convertita in legge n. 125 del 3 agosto 2007, con la quale sono state disposte misure urgenti per l’attuazione di disposizioni comunitarie in materia di </w:t>
      </w:r>
      <w:r>
        <w:rPr>
          <w:u w:val="single"/>
        </w:rPr>
        <w:t>liberalizzazione dei mercati dell’energia</w:t>
      </w:r>
      <w:r>
        <w:t>”.</w:t>
      </w:r>
    </w:p>
    <w:p w14:paraId="12DBB714" w14:textId="77777777" w:rsidR="00655836" w:rsidRPr="00655836" w:rsidRDefault="00655836" w:rsidP="00655836">
      <w:pPr>
        <w:ind w:firstLine="708"/>
        <w:contextualSpacing/>
        <w:jc w:val="both"/>
      </w:pPr>
      <w:r>
        <w:t xml:space="preserve">In tali tipi di distribuzione si assiste ad una </w:t>
      </w:r>
      <w:r>
        <w:rPr>
          <w:u w:val="single"/>
        </w:rPr>
        <w:t>netta separazione tra l’attività di distribuzione e quella di vendita</w:t>
      </w:r>
      <w:r>
        <w:t xml:space="preserve"> che si concreta nel fatto che il </w:t>
      </w:r>
      <w:r>
        <w:rPr>
          <w:u w:val="single"/>
        </w:rPr>
        <w:t>gas</w:t>
      </w:r>
      <w:r>
        <w:t xml:space="preserve"> o l’</w:t>
      </w:r>
      <w:r>
        <w:rPr>
          <w:u w:val="single"/>
        </w:rPr>
        <w:t>energia elettrica vengono distribuiti in rete da una determinata società</w:t>
      </w:r>
      <w:r>
        <w:t xml:space="preserve"> (per esempio Enel Distribuzione S.p.A.) ed </w:t>
      </w:r>
      <w:r>
        <w:rPr>
          <w:u w:val="single"/>
        </w:rPr>
        <w:t>una volta che sono “transitate” nell’infrastruttura concessionata di proprietà esclusiva di un soggetto, vengono commercializzate da altre società</w:t>
      </w:r>
      <w:r>
        <w:t xml:space="preserve"> per poi raggiungere l’utente finale.</w:t>
      </w:r>
    </w:p>
    <w:p w14:paraId="120B3862" w14:textId="77777777" w:rsidR="00655836" w:rsidRPr="00655836" w:rsidRDefault="00655836" w:rsidP="00655836">
      <w:pPr>
        <w:ind w:firstLine="708"/>
        <w:contextualSpacing/>
        <w:jc w:val="both"/>
      </w:pPr>
      <w:r>
        <w:t xml:space="preserve">Ma ciò non accade nel caso e nel </w:t>
      </w:r>
      <w:r>
        <w:rPr>
          <w:u w:val="single"/>
        </w:rPr>
        <w:t>settore delle telecomunicazioni</w:t>
      </w:r>
      <w:r>
        <w:t xml:space="preserve"> laddove il </w:t>
      </w:r>
      <w:r>
        <w:rPr>
          <w:u w:val="single"/>
        </w:rPr>
        <w:t>Legislatore</w:t>
      </w:r>
      <w:r>
        <w:t xml:space="preserve"> </w:t>
      </w:r>
      <w:r>
        <w:rPr>
          <w:b/>
          <w:bCs/>
          <w:u w:val="single"/>
        </w:rPr>
        <w:t>non impone una separazione</w:t>
      </w:r>
      <w:r>
        <w:t xml:space="preserve"> tra soggetto fornitore e soggetto che poi effettivamente vende il prodotto (come nel richiamato caso di gas od energia elettrica), </w:t>
      </w:r>
      <w:r>
        <w:rPr>
          <w:u w:val="single"/>
        </w:rPr>
        <w:t>ma anzi impone e normativamente incentiva la condivisione delle reti/infrastrutture</w:t>
      </w:r>
      <w:r>
        <w:t xml:space="preserve"> e ciò anche in attuazione di precise direttive comunitarie.</w:t>
      </w:r>
    </w:p>
    <w:p w14:paraId="537ED155" w14:textId="77777777" w:rsidR="00655836" w:rsidRPr="00655836" w:rsidRDefault="00655836" w:rsidP="00655836">
      <w:pPr>
        <w:ind w:firstLine="708"/>
        <w:contextualSpacing/>
        <w:jc w:val="both"/>
      </w:pPr>
      <w:r>
        <w:rPr>
          <w:u w:val="single"/>
        </w:rPr>
        <w:t>Questa è la ragione</w:t>
      </w:r>
      <w:r>
        <w:t xml:space="preserve"> per la quale il Legislatore ha appositamente previsto, per questa sola ipotesi di condivisione delle infrastrutture, il concetto applicativo di </w:t>
      </w:r>
      <w:r>
        <w:rPr>
          <w:u w:val="single"/>
        </w:rPr>
        <w:t>soggettività passiva mediata</w:t>
      </w:r>
      <w:r>
        <w:t>.</w:t>
      </w:r>
    </w:p>
    <w:p w14:paraId="43317987" w14:textId="77777777" w:rsidR="00655836" w:rsidRPr="00655836" w:rsidRDefault="00655836" w:rsidP="00655836">
      <w:pPr>
        <w:ind w:firstLine="708"/>
        <w:contextualSpacing/>
        <w:jc w:val="both"/>
      </w:pPr>
      <w:r>
        <w:t xml:space="preserve">Con la conseguenza che la normativa di cui all’art. </w:t>
      </w:r>
      <w:r>
        <w:rPr>
          <w:u w:val="single"/>
        </w:rPr>
        <w:t>5 comma 14 quinquies</w:t>
      </w:r>
      <w:r>
        <w:t xml:space="preserve"> </w:t>
      </w:r>
      <w:r>
        <w:rPr>
          <w:u w:val="single"/>
        </w:rPr>
        <w:t>del D.L. 146/2021,</w:t>
      </w:r>
      <w:r>
        <w:t xml:space="preserve"> richiamata da WIND TRE S.P.A., </w:t>
      </w:r>
      <w:r>
        <w:rPr>
          <w:u w:val="single"/>
        </w:rPr>
        <w:t>è applicabile e/o riferibile esclusivamente ai casi in cui si deve attuare, per legge, una fisica separazione tra il soggetto titolare dell’infrastruttura ed il soggetto titolare del contratto di vendita del bene che, poi, distribuirà al cliente finale</w:t>
      </w:r>
      <w:r>
        <w:t>.</w:t>
      </w:r>
    </w:p>
    <w:p w14:paraId="5C100D1A" w14:textId="77777777" w:rsidR="00655836" w:rsidRPr="00655836" w:rsidRDefault="00655836" w:rsidP="00655836">
      <w:pPr>
        <w:ind w:firstLine="708"/>
        <w:contextualSpacing/>
        <w:jc w:val="both"/>
      </w:pPr>
      <w:r>
        <w:t>Inoltre, con la novella dell’anno 2021 il Legislatore nuovamente intervenendo nella disciplina di cui al comma 831 ha stabilito che: “</w:t>
      </w:r>
      <w:r>
        <w:rPr>
          <w:i/>
          <w:iCs/>
        </w:rPr>
        <w:t xml:space="preserve">il comma 831 dell’articolo 1 della Legge 27 dicembre 2019 n. 160 si interpreta nel senso che: a) per le occupazioni permanenti di suolo pubblico effettuate nei settori </w:t>
      </w:r>
      <w:r>
        <w:rPr>
          <w:b/>
          <w:bCs/>
          <w:i/>
          <w:iCs/>
          <w:u w:val="single"/>
        </w:rPr>
        <w:t>in cui è prevista una separazione</w:t>
      </w:r>
      <w:r>
        <w:rPr>
          <w:i/>
          <w:iCs/>
        </w:rPr>
        <w:t xml:space="preserve">, in ragione di assetti normativi regolamentari o contrattuali </w:t>
      </w:r>
      <w:r>
        <w:rPr>
          <w:b/>
          <w:bCs/>
          <w:i/>
          <w:iCs/>
          <w:u w:val="single"/>
        </w:rPr>
        <w:t xml:space="preserve">tra i soggetti titolari delle infrastrutture ed i soggetti titolari del contratto di vendita del bene distribuito alla </w:t>
      </w:r>
      <w:r>
        <w:rPr>
          <w:b/>
          <w:bCs/>
          <w:i/>
          <w:iCs/>
        </w:rPr>
        <w:t>clientela finale</w:t>
      </w:r>
      <w:r>
        <w:rPr>
          <w:i/>
          <w:iCs/>
        </w:rPr>
        <w:t xml:space="preserve">, </w:t>
      </w:r>
      <w:r>
        <w:rPr>
          <w:b/>
          <w:bCs/>
          <w:i/>
          <w:iCs/>
          <w:u w:val="single"/>
        </w:rPr>
        <w:t>non configurandosi alcuna occupazione in via mediata</w:t>
      </w:r>
      <w:r>
        <w:rPr>
          <w:i/>
          <w:iCs/>
        </w:rPr>
        <w:t xml:space="preserve"> ed alcun utilizzo materiale </w:t>
      </w:r>
      <w:r>
        <w:rPr>
          <w:i/>
          <w:iCs/>
        </w:rPr>
        <w:lastRenderedPageBreak/>
        <w:t xml:space="preserve">delle infrastrutture da parte della società di vendita, </w:t>
      </w:r>
      <w:r>
        <w:rPr>
          <w:b/>
          <w:bCs/>
          <w:i/>
          <w:iCs/>
          <w:u w:val="single"/>
        </w:rPr>
        <w:t>il canone è dovuto esclusivamente dal soggetto titolare</w:t>
      </w:r>
      <w:r>
        <w:rPr>
          <w:b/>
          <w:bCs/>
          <w:i/>
          <w:iCs/>
        </w:rPr>
        <w:t xml:space="preserve"> </w:t>
      </w:r>
      <w:r>
        <w:rPr>
          <w:b/>
          <w:bCs/>
          <w:i/>
          <w:iCs/>
          <w:u w:val="single"/>
        </w:rPr>
        <w:t>dell’atto concessione</w:t>
      </w:r>
      <w:r>
        <w:rPr>
          <w:i/>
          <w:iCs/>
        </w:rPr>
        <w:t xml:space="preserve"> delle infrastrutture, in base alle utenze delle predette società di vendita”.</w:t>
      </w:r>
    </w:p>
    <w:p w14:paraId="6ED38F36" w14:textId="77777777" w:rsidR="00655836" w:rsidRPr="00655836" w:rsidRDefault="00655836" w:rsidP="00655836">
      <w:pPr>
        <w:ind w:firstLine="708"/>
        <w:contextualSpacing/>
        <w:jc w:val="both"/>
      </w:pPr>
      <w:r>
        <w:rPr>
          <w:b/>
          <w:bCs/>
        </w:rPr>
        <w:t>MA</w:t>
      </w:r>
      <w:r>
        <w:t xml:space="preserve"> questa è norma, come anticipato, </w:t>
      </w:r>
      <w:r>
        <w:rPr>
          <w:u w:val="single"/>
        </w:rPr>
        <w:t>valevole solo per i mercati di</w:t>
      </w:r>
      <w:r>
        <w:t xml:space="preserve"> vendita/commercializzazione del </w:t>
      </w:r>
      <w:r>
        <w:rPr>
          <w:u w:val="single"/>
        </w:rPr>
        <w:t xml:space="preserve">gas e dell’energia elettrica e </w:t>
      </w:r>
      <w:r>
        <w:rPr>
          <w:b/>
          <w:bCs/>
          <w:u w:val="single"/>
        </w:rPr>
        <w:t>non già per il settore della telefonia</w:t>
      </w:r>
      <w:r>
        <w:t xml:space="preserve"> e trasmissione dati </w:t>
      </w:r>
      <w:r>
        <w:rPr>
          <w:u w:val="single"/>
        </w:rPr>
        <w:t>nel quale</w:t>
      </w:r>
      <w:r>
        <w:t xml:space="preserve">, non solo per espressa volontà normativa nazionale ma anche per volontà comunitaria, </w:t>
      </w:r>
      <w:r>
        <w:rPr>
          <w:u w:val="single"/>
        </w:rPr>
        <w:t>deve esistere</w:t>
      </w:r>
      <w:r>
        <w:t xml:space="preserve">, come in effetti esiste, </w:t>
      </w:r>
      <w:r>
        <w:rPr>
          <w:b/>
          <w:bCs/>
          <w:u w:val="single"/>
        </w:rPr>
        <w:t>condivisione</w:t>
      </w:r>
      <w:r>
        <w:t xml:space="preserve"> delle infrastrutture e delle reti.</w:t>
      </w:r>
    </w:p>
    <w:p w14:paraId="4529F29E" w14:textId="77777777" w:rsidR="00655836" w:rsidRPr="00655836" w:rsidRDefault="00655836" w:rsidP="00655836">
      <w:pPr>
        <w:ind w:firstLine="708"/>
        <w:contextualSpacing/>
        <w:jc w:val="both"/>
      </w:pPr>
      <w:r>
        <w:t>Del resto, è la stessa WIND TRE S.P.A. nella narrativa del proprio atto a descrivere le modalità operative di condivisione delle infrastrutture e le modalità tecniche di collegamento che prevedono che l’operatore sia presente (non sul suolo pubblico ma esclusivamente nella centrale TIM con apposito kit di consegna). Attraverso tale modalità l’operatore (WIND TRE S.P.A.) si avvale dell’intera tratta che va dalla centrale (sede OLT/PDI) alle abitazioni dei clienti, indipendentemente dall’architettura posta “a valle” della centrale (FTTC: Fiber to the Cabinet / FTTH: Fiber to the Home). Il traffico generato dai clienti viene consegnato all’operatore a livello di centrale, tramite un kit (accesso) dedicato all’operatore che ne ha fatto richiesta.</w:t>
      </w:r>
    </w:p>
    <w:p w14:paraId="754D75BB" w14:textId="77777777" w:rsidR="00655836" w:rsidRPr="00655836" w:rsidRDefault="00655836" w:rsidP="00655836">
      <w:pPr>
        <w:ind w:firstLine="708"/>
        <w:contextualSpacing/>
        <w:jc w:val="both"/>
      </w:pPr>
      <w:r>
        <w:t xml:space="preserve">La natura stessa dell’infrastruttura vuole, quindi, una compresenza di più operatori che agiscono sulla/nella rete TIM/FiberCop S.p.A. che utilizza, anch’essa, la rete insieme ai suoi competitors; </w:t>
      </w:r>
      <w:r>
        <w:rPr>
          <w:u w:val="single"/>
        </w:rPr>
        <w:t>ciò differentemente da quanto accade nel caso delle società proprietarie della rete di distribuzione del gas o dell’energia elettrica che non possono, per legge, direttamente vendere il prodotto agli utenti finali,</w:t>
      </w:r>
      <w:r>
        <w:t xml:space="preserve"> dovendosi invece rivolgere ad altre società che effettuano (solo loro) la vendita, per commercializzare il prodotto veicolato nelle proprie infrastrutture (gas/energia elettrica).</w:t>
      </w:r>
    </w:p>
    <w:p w14:paraId="1A300001" w14:textId="77777777" w:rsidR="00876D35" w:rsidRDefault="00A5569B" w:rsidP="006D7786">
      <w:pPr>
        <w:ind w:firstLine="708"/>
        <w:contextualSpacing/>
        <w:jc w:val="both"/>
        <w:rPr>
          <w:b/>
          <w:bCs/>
        </w:rPr>
      </w:pPr>
      <w:r>
        <w:rPr>
          <w:b/>
          <w:bCs/>
        </w:rPr>
        <w:t>Sulla pretesa duplicazione del prelievo (Delibera AGCOM n. 348/19/CONS)</w:t>
      </w:r>
    </w:p>
    <w:p w14:paraId="1A300002" w14:textId="77777777" w:rsidR="00876D35" w:rsidRDefault="00A5569B">
      <w:pPr>
        <w:ind w:firstLine="708"/>
        <w:contextualSpacing/>
        <w:jc w:val="both"/>
      </w:pPr>
      <w:r>
        <w:t xml:space="preserve">Wind Tre sostiene che nel corrispettivo </w:t>
      </w:r>
      <w:r>
        <w:rPr>
          <w:i/>
          <w:iCs/>
        </w:rPr>
        <w:t>wholesale</w:t>
      </w:r>
      <w:r>
        <w:t xml:space="preserve"> riconosciuto a TIM sarebbero già incluse le tasse per l’occupazione del suolo pubblico, con conseguente duplicazione del prelievo.</w:t>
      </w:r>
    </w:p>
    <w:p w14:paraId="1A300003" w14:textId="77777777" w:rsidR="00876D35" w:rsidRDefault="00A5569B">
      <w:pPr>
        <w:ind w:firstLine="708"/>
        <w:contextualSpacing/>
        <w:jc w:val="both"/>
      </w:pPr>
      <w:r>
        <w:t>L’eccezione è infondata sotto un duplice profilo.</w:t>
      </w:r>
    </w:p>
    <w:p w14:paraId="1A300004" w14:textId="5642E77A" w:rsidR="00876D35" w:rsidRDefault="00A5569B">
      <w:pPr>
        <w:ind w:firstLine="708"/>
        <w:contextualSpacing/>
        <w:jc w:val="both"/>
      </w:pPr>
      <w:r>
        <w:t xml:space="preserve">In primo luogo, la Delibera AGCOM n. 348/19/CONS attiene esclusivamente alla costruzione del modello di costo regolatorio BU-LRIC per la determinazione dei prezzi dei servizi di accesso alla rete di Telecom Italia: si tratta di uno strumento di regolazione tariffaria dei rapporti tra operatori nel mercato </w:t>
      </w:r>
      <w:r>
        <w:rPr>
          <w:i/>
          <w:iCs/>
        </w:rPr>
        <w:t>wholesale</w:t>
      </w:r>
      <w:r>
        <w:t xml:space="preserve">, che non interferisce in alcun modo con l’obbligazione </w:t>
      </w:r>
      <w:r w:rsidR="00E46E73">
        <w:t>tributaria</w:t>
      </w:r>
      <w:r>
        <w:t xml:space="preserve"> intercorrente tra il singolo operatore e il Comune ai sensi dell’art. 1, comma 831, L. 160/2019.</w:t>
      </w:r>
    </w:p>
    <w:p w14:paraId="1A300005" w14:textId="7628F269" w:rsidR="00876D35" w:rsidRDefault="00A5569B">
      <w:pPr>
        <w:ind w:firstLine="708"/>
        <w:contextualSpacing/>
        <w:jc w:val="both"/>
      </w:pPr>
      <w:r>
        <w:lastRenderedPageBreak/>
        <w:t xml:space="preserve">In secondo luogo, </w:t>
      </w:r>
      <w:r w:rsidRPr="00E46E73">
        <w:rPr>
          <w:b/>
          <w:bCs/>
          <w:u w:val="single"/>
        </w:rPr>
        <w:t>l’eventuale ricarico</w:t>
      </w:r>
      <w:r>
        <w:t xml:space="preserve"> </w:t>
      </w:r>
      <w:r w:rsidR="00E46E73">
        <w:t xml:space="preserve">(comunque non provato) </w:t>
      </w:r>
      <w:r>
        <w:t>delle tasse di occupazione del suolo nei prezzi praticati da TIM a Wind Tre è una vicenda commerciale privata, attinente ai rapporti contrattuali tra operatori, priva di qualsiasi effetto estintivo o riduttivo sull’obbligazione del soggetto passivo nei confronti dell’ente impositore.</w:t>
      </w:r>
    </w:p>
    <w:p w14:paraId="1A300006" w14:textId="77777777" w:rsidR="00876D35" w:rsidRDefault="00A5569B">
      <w:pPr>
        <w:ind w:firstLine="708"/>
        <w:contextualSpacing/>
        <w:jc w:val="both"/>
      </w:pPr>
      <w:r>
        <w:t>Il Comune non è parte di tali accordi e non riceve alcun corrispettivo da TIM a titolo di CUP per le utenze Wind Tre: l’imposta è dovuta da ciascun soggetto passivo in via autonoma e diretta, come confermato dalla giurisprudenza prevalente.</w:t>
      </w:r>
    </w:p>
    <w:p w14:paraId="37AA7B13" w14:textId="77777777" w:rsidR="00655836" w:rsidRPr="00655836" w:rsidRDefault="00655836" w:rsidP="00655836">
      <w:pPr>
        <w:ind w:firstLine="708"/>
        <w:contextualSpacing/>
        <w:jc w:val="both"/>
      </w:pPr>
      <w:r>
        <w:t>Di seguito uno schema riassuntivo sulla differenza di utilizzo della rete tra le società di TLC e le società che commercializzano Gas ed Energia.</w:t>
      </w:r>
    </w:p>
    <w:p w14:paraId="2240505C" w14:textId="77777777" w:rsidR="00655836" w:rsidRPr="00655836" w:rsidRDefault="00655836" w:rsidP="00655836">
      <w:pPr>
        <w:contextualSpacing/>
        <w:jc w:val="both"/>
      </w:pP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3617"/>
        <w:gridCol w:w="3678"/>
      </w:tblGrid>
      <w:tr w:rsidR="00655836" w:rsidRPr="00655836" w14:paraId="757C9A6B" w14:textId="77777777" w:rsidTr="00197DBB">
        <w:tc>
          <w:tcPr>
            <w:tcW w:w="9888" w:type="dxa"/>
            <w:gridSpan w:val="3"/>
            <w:tcBorders>
              <w:top w:val="single" w:sz="8" w:space="0" w:color="1F4E79"/>
              <w:left w:val="single" w:sz="8" w:space="0" w:color="1F4E79"/>
              <w:bottom w:val="single" w:sz="8" w:space="0" w:color="1F4E79"/>
              <w:right w:val="single" w:sz="8" w:space="0" w:color="1F4E79"/>
            </w:tcBorders>
            <w:shd w:val="clear" w:color="auto" w:fill="1F4E79"/>
            <w:vAlign w:val="center"/>
          </w:tcPr>
          <w:p w14:paraId="1857A5B4" w14:textId="77777777" w:rsidR="00655836" w:rsidRPr="005B4226" w:rsidRDefault="00655836" w:rsidP="00655836">
            <w:pPr>
              <w:contextualSpacing/>
              <w:jc w:val="both"/>
              <w:rPr>
                <w:color w:val="FFFFFF" w:themeColor="background1"/>
              </w:rPr>
            </w:pPr>
            <w:r w:rsidRPr="005B4226">
              <w:rPr>
                <w:b/>
                <w:bCs/>
                <w:color w:val="FFFFFF" w:themeColor="background1"/>
              </w:rPr>
              <w:t>SERVIZI DI RETE — Schema comparativo</w:t>
            </w:r>
          </w:p>
        </w:tc>
      </w:tr>
      <w:tr w:rsidR="00655836" w:rsidRPr="00655836" w14:paraId="786ECFF7" w14:textId="77777777" w:rsidTr="00197DBB">
        <w:tc>
          <w:tcPr>
            <w:tcW w:w="259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83CE545" w14:textId="77777777" w:rsidR="00655836" w:rsidRPr="005B4226" w:rsidRDefault="00655836" w:rsidP="00655836">
            <w:pPr>
              <w:contextualSpacing/>
              <w:jc w:val="both"/>
              <w:rPr>
                <w:color w:val="FFFFFF" w:themeColor="background1"/>
              </w:rPr>
            </w:pPr>
            <w:r w:rsidRPr="005B4226">
              <w:rPr>
                <w:b/>
                <w:bCs/>
                <w:color w:val="FFFFFF" w:themeColor="background1"/>
              </w:rPr>
              <w:t>CRITERIO</w:t>
            </w:r>
          </w:p>
        </w:tc>
        <w:tc>
          <w:tcPr>
            <w:tcW w:w="3617" w:type="dxa"/>
            <w:tcBorders>
              <w:top w:val="single" w:sz="4" w:space="0" w:color="BFBFBF"/>
              <w:bottom w:val="single" w:sz="4" w:space="0" w:color="BFBFBF"/>
              <w:right w:val="single" w:sz="4" w:space="0" w:color="BFBFBF"/>
            </w:tcBorders>
            <w:shd w:val="clear" w:color="auto" w:fill="2E75B6"/>
            <w:vAlign w:val="center"/>
          </w:tcPr>
          <w:p w14:paraId="63345F35" w14:textId="77777777" w:rsidR="00655836" w:rsidRPr="005B4226" w:rsidRDefault="00655836" w:rsidP="00655836">
            <w:pPr>
              <w:contextualSpacing/>
              <w:jc w:val="both"/>
              <w:rPr>
                <w:color w:val="FFFFFF" w:themeColor="background1"/>
              </w:rPr>
            </w:pPr>
            <w:r w:rsidRPr="005B4226">
              <w:rPr>
                <w:b/>
                <w:bCs/>
                <w:color w:val="FFFFFF" w:themeColor="background1"/>
              </w:rPr>
              <w:t>Società Telefoniche Uso mediato delle reti</w:t>
            </w:r>
          </w:p>
        </w:tc>
        <w:tc>
          <w:tcPr>
            <w:tcW w:w="3678" w:type="dxa"/>
            <w:tcBorders>
              <w:top w:val="single" w:sz="4" w:space="0" w:color="BFBFBF"/>
              <w:bottom w:val="single" w:sz="4" w:space="0" w:color="BFBFBF"/>
              <w:right w:val="single" w:sz="4" w:space="0" w:color="BFBFBF"/>
            </w:tcBorders>
            <w:shd w:val="clear" w:color="auto" w:fill="C55A11"/>
            <w:vAlign w:val="center"/>
          </w:tcPr>
          <w:p w14:paraId="6B35579B" w14:textId="77777777" w:rsidR="00655836" w:rsidRPr="005B4226" w:rsidRDefault="00655836" w:rsidP="00655836">
            <w:pPr>
              <w:contextualSpacing/>
              <w:jc w:val="both"/>
              <w:rPr>
                <w:color w:val="FFFFFF" w:themeColor="background1"/>
              </w:rPr>
            </w:pPr>
            <w:r w:rsidRPr="005B4226">
              <w:rPr>
                <w:b/>
                <w:bCs/>
                <w:color w:val="FFFFFF" w:themeColor="background1"/>
              </w:rPr>
              <w:t>Società di vendita gas/energia Nessun uso delle reti</w:t>
            </w:r>
          </w:p>
        </w:tc>
      </w:tr>
      <w:tr w:rsidR="00655836" w:rsidRPr="00655836" w14:paraId="4BACCC6F"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4E2D1DE8" w14:textId="77777777" w:rsidR="00655836" w:rsidRPr="00655836" w:rsidRDefault="00655836" w:rsidP="00655836">
            <w:pPr>
              <w:contextualSpacing/>
              <w:jc w:val="both"/>
            </w:pPr>
            <w:r>
              <w:rPr>
                <w:b/>
                <w:bCs/>
              </w:rPr>
              <w:t>Cosa passa nella rete</w:t>
            </w:r>
          </w:p>
        </w:tc>
        <w:tc>
          <w:tcPr>
            <w:tcW w:w="3617" w:type="dxa"/>
            <w:tcBorders>
              <w:bottom w:val="single" w:sz="4" w:space="0" w:color="BFBFBF"/>
              <w:right w:val="single" w:sz="4" w:space="0" w:color="BFBFBF"/>
            </w:tcBorders>
            <w:shd w:val="clear" w:color="auto" w:fill="D6E4F0"/>
            <w:vAlign w:val="center"/>
          </w:tcPr>
          <w:p w14:paraId="33E12BC4" w14:textId="77777777" w:rsidR="00655836" w:rsidRPr="00655836" w:rsidRDefault="00655836" w:rsidP="00655836">
            <w:pPr>
              <w:contextualSpacing/>
              <w:jc w:val="both"/>
            </w:pPr>
            <w:r>
              <w:t>Oltre al segnale del concessionario, anche il segnale delle altre società operatori (Wind, Vodafone, FASTWEB ecc.)</w:t>
            </w:r>
          </w:p>
        </w:tc>
        <w:tc>
          <w:tcPr>
            <w:tcW w:w="3678" w:type="dxa"/>
            <w:tcBorders>
              <w:bottom w:val="single" w:sz="4" w:space="0" w:color="BFBFBF"/>
              <w:right w:val="single" w:sz="4" w:space="0" w:color="BFBFBF"/>
            </w:tcBorders>
            <w:shd w:val="clear" w:color="auto" w:fill="FCE4D6"/>
            <w:vAlign w:val="center"/>
          </w:tcPr>
          <w:p w14:paraId="6058D9EA" w14:textId="77777777" w:rsidR="00655836" w:rsidRPr="00655836" w:rsidRDefault="00655836" w:rsidP="00655836">
            <w:pPr>
              <w:contextualSpacing/>
              <w:jc w:val="both"/>
            </w:pPr>
            <w:r>
              <w:t>Gas riconducibile solo al gestore della rete</w:t>
            </w:r>
          </w:p>
        </w:tc>
      </w:tr>
      <w:tr w:rsidR="00655836" w:rsidRPr="00655836" w14:paraId="02BA93DA"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3F2BA3C7" w14:textId="77777777" w:rsidR="00655836" w:rsidRPr="00655836" w:rsidRDefault="00655836" w:rsidP="00655836">
            <w:pPr>
              <w:contextualSpacing/>
              <w:jc w:val="both"/>
            </w:pPr>
            <w:r>
              <w:rPr>
                <w:b/>
                <w:bCs/>
              </w:rPr>
              <w:t>Titolarità del contenuto trasportato</w:t>
            </w:r>
          </w:p>
        </w:tc>
        <w:tc>
          <w:tcPr>
            <w:tcW w:w="3617" w:type="dxa"/>
            <w:tcBorders>
              <w:bottom w:val="single" w:sz="4" w:space="0" w:color="BFBFBF"/>
              <w:right w:val="single" w:sz="4" w:space="0" w:color="BFBFBF"/>
            </w:tcBorders>
            <w:shd w:val="clear" w:color="auto" w:fill="D6E4F0"/>
            <w:vAlign w:val="center"/>
          </w:tcPr>
          <w:p w14:paraId="0836E0E3" w14:textId="77777777" w:rsidR="00655836" w:rsidRPr="00655836" w:rsidRDefault="00655836" w:rsidP="00655836">
            <w:pPr>
              <w:contextualSpacing/>
              <w:jc w:val="both"/>
            </w:pPr>
            <w:r>
              <w:t>Società Telefoniche (Wind, Vodafone, FASTWEB ecc.)</w:t>
            </w:r>
          </w:p>
        </w:tc>
        <w:tc>
          <w:tcPr>
            <w:tcW w:w="3678" w:type="dxa"/>
            <w:tcBorders>
              <w:bottom w:val="single" w:sz="4" w:space="0" w:color="BFBFBF"/>
              <w:right w:val="single" w:sz="4" w:space="0" w:color="BFBFBF"/>
            </w:tcBorders>
            <w:shd w:val="clear" w:color="auto" w:fill="FCE4D6"/>
            <w:vAlign w:val="center"/>
          </w:tcPr>
          <w:p w14:paraId="3C5E24E7" w14:textId="77777777" w:rsidR="00655836" w:rsidRPr="00655836" w:rsidRDefault="00655836" w:rsidP="00655836">
            <w:pPr>
              <w:contextualSpacing/>
              <w:jc w:val="both"/>
            </w:pPr>
            <w:r>
              <w:t>Gestore della rete</w:t>
            </w:r>
          </w:p>
        </w:tc>
      </w:tr>
      <w:tr w:rsidR="00655836" w:rsidRPr="00655836" w14:paraId="4168CA3B"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4AC6D52E" w14:textId="77777777" w:rsidR="00655836" w:rsidRPr="00655836" w:rsidRDefault="00655836" w:rsidP="00655836">
            <w:pPr>
              <w:contextualSpacing/>
              <w:jc w:val="both"/>
            </w:pPr>
            <w:r>
              <w:rPr>
                <w:b/>
                <w:bCs/>
              </w:rPr>
              <w:t>Ruolo del soggetto</w:t>
            </w:r>
          </w:p>
        </w:tc>
        <w:tc>
          <w:tcPr>
            <w:tcW w:w="3617" w:type="dxa"/>
            <w:tcBorders>
              <w:bottom w:val="single" w:sz="4" w:space="0" w:color="BFBFBF"/>
              <w:right w:val="single" w:sz="4" w:space="0" w:color="BFBFBF"/>
            </w:tcBorders>
            <w:shd w:val="clear" w:color="auto" w:fill="D6E4F0"/>
            <w:vAlign w:val="center"/>
          </w:tcPr>
          <w:p w14:paraId="48ED2E63" w14:textId="77777777" w:rsidR="00655836" w:rsidRPr="00655836" w:rsidRDefault="00655836" w:rsidP="00655836">
            <w:pPr>
              <w:contextualSpacing/>
              <w:jc w:val="both"/>
            </w:pPr>
            <w:r>
              <w:t>Fornitore del servizio e utilizzatore dell’infrastruttura</w:t>
            </w:r>
          </w:p>
        </w:tc>
        <w:tc>
          <w:tcPr>
            <w:tcW w:w="3678" w:type="dxa"/>
            <w:tcBorders>
              <w:bottom w:val="single" w:sz="4" w:space="0" w:color="BFBFBF"/>
              <w:right w:val="single" w:sz="4" w:space="0" w:color="BFBFBF"/>
            </w:tcBorders>
            <w:shd w:val="clear" w:color="auto" w:fill="FCE4D6"/>
            <w:vAlign w:val="center"/>
          </w:tcPr>
          <w:p w14:paraId="4E19734A" w14:textId="77777777" w:rsidR="00655836" w:rsidRPr="00655836" w:rsidRDefault="00655836" w:rsidP="00655836">
            <w:pPr>
              <w:contextualSpacing/>
              <w:jc w:val="both"/>
            </w:pPr>
            <w:r>
              <w:t>Venditore commerciale del prodotto</w:t>
            </w:r>
          </w:p>
        </w:tc>
      </w:tr>
      <w:tr w:rsidR="00655836" w:rsidRPr="00655836" w14:paraId="398D87E0"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6C2305EF" w14:textId="77777777" w:rsidR="00655836" w:rsidRPr="00655836" w:rsidRDefault="00655836" w:rsidP="00655836">
            <w:pPr>
              <w:contextualSpacing/>
              <w:jc w:val="both"/>
            </w:pPr>
            <w:r>
              <w:rPr>
                <w:b/>
                <w:bCs/>
              </w:rPr>
              <w:t>Rapporto con il suolo pubblico</w:t>
            </w:r>
          </w:p>
        </w:tc>
        <w:tc>
          <w:tcPr>
            <w:tcW w:w="3617" w:type="dxa"/>
            <w:tcBorders>
              <w:bottom w:val="single" w:sz="4" w:space="0" w:color="BFBFBF"/>
              <w:right w:val="single" w:sz="4" w:space="0" w:color="BFBFBF"/>
            </w:tcBorders>
            <w:shd w:val="clear" w:color="auto" w:fill="D6E4F0"/>
            <w:vAlign w:val="center"/>
          </w:tcPr>
          <w:p w14:paraId="16A78D20" w14:textId="77777777" w:rsidR="00655836" w:rsidRPr="00655836" w:rsidRDefault="00655836" w:rsidP="00655836">
            <w:pPr>
              <w:contextualSpacing/>
              <w:jc w:val="both"/>
            </w:pPr>
            <w:r>
              <w:t>Concreto, funzionale, strumentale</w:t>
            </w:r>
          </w:p>
        </w:tc>
        <w:tc>
          <w:tcPr>
            <w:tcW w:w="3678" w:type="dxa"/>
            <w:tcBorders>
              <w:bottom w:val="single" w:sz="4" w:space="0" w:color="BFBFBF"/>
              <w:right w:val="single" w:sz="4" w:space="0" w:color="BFBFBF"/>
            </w:tcBorders>
            <w:shd w:val="clear" w:color="auto" w:fill="FCE4D6"/>
            <w:vAlign w:val="center"/>
          </w:tcPr>
          <w:p w14:paraId="34DDBC4C" w14:textId="77777777" w:rsidR="00655836" w:rsidRPr="00655836" w:rsidRDefault="00655836" w:rsidP="00655836">
            <w:pPr>
              <w:contextualSpacing/>
              <w:jc w:val="both"/>
            </w:pPr>
            <w:r>
              <w:t>Assente</w:t>
            </w:r>
          </w:p>
        </w:tc>
      </w:tr>
      <w:tr w:rsidR="00655836" w:rsidRPr="00655836" w14:paraId="33DD1FD6"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05A2752B" w14:textId="77777777" w:rsidR="00655836" w:rsidRPr="00655836" w:rsidRDefault="00655836" w:rsidP="00655836">
            <w:pPr>
              <w:contextualSpacing/>
              <w:jc w:val="both"/>
            </w:pPr>
            <w:r>
              <w:rPr>
                <w:b/>
                <w:bCs/>
              </w:rPr>
              <w:t>Tipo di attività</w:t>
            </w:r>
          </w:p>
        </w:tc>
        <w:tc>
          <w:tcPr>
            <w:tcW w:w="3617" w:type="dxa"/>
            <w:tcBorders>
              <w:bottom w:val="single" w:sz="4" w:space="0" w:color="BFBFBF"/>
              <w:right w:val="single" w:sz="4" w:space="0" w:color="BFBFBF"/>
            </w:tcBorders>
            <w:shd w:val="clear" w:color="auto" w:fill="D6E4F0"/>
            <w:vAlign w:val="center"/>
          </w:tcPr>
          <w:p w14:paraId="4475AF77" w14:textId="77777777" w:rsidR="00655836" w:rsidRPr="00655836" w:rsidRDefault="00655836" w:rsidP="00655836">
            <w:pPr>
              <w:contextualSpacing/>
              <w:jc w:val="both"/>
            </w:pPr>
            <w:r>
              <w:t>Tecnica + commerciale</w:t>
            </w:r>
          </w:p>
        </w:tc>
        <w:tc>
          <w:tcPr>
            <w:tcW w:w="3678" w:type="dxa"/>
            <w:tcBorders>
              <w:bottom w:val="single" w:sz="4" w:space="0" w:color="BFBFBF"/>
              <w:right w:val="single" w:sz="4" w:space="0" w:color="BFBFBF"/>
            </w:tcBorders>
            <w:shd w:val="clear" w:color="auto" w:fill="FCE4D6"/>
            <w:vAlign w:val="center"/>
          </w:tcPr>
          <w:p w14:paraId="71D92E96" w14:textId="77777777" w:rsidR="00655836" w:rsidRPr="00655836" w:rsidRDefault="00655836" w:rsidP="00655836">
            <w:pPr>
              <w:contextualSpacing/>
              <w:jc w:val="both"/>
            </w:pPr>
            <w:r>
              <w:t>Solo commerciale</w:t>
            </w:r>
          </w:p>
        </w:tc>
      </w:tr>
      <w:tr w:rsidR="00655836" w:rsidRPr="00655836" w14:paraId="48FC0466"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451B2B96" w14:textId="77777777" w:rsidR="00655836" w:rsidRPr="00655836" w:rsidRDefault="00655836" w:rsidP="00655836">
            <w:pPr>
              <w:contextualSpacing/>
              <w:jc w:val="both"/>
            </w:pPr>
            <w:r>
              <w:rPr>
                <w:b/>
                <w:bCs/>
              </w:rPr>
              <w:t>Uso della rete</w:t>
            </w:r>
          </w:p>
        </w:tc>
        <w:tc>
          <w:tcPr>
            <w:tcW w:w="3617" w:type="dxa"/>
            <w:tcBorders>
              <w:bottom w:val="single" w:sz="4" w:space="0" w:color="BFBFBF"/>
              <w:right w:val="single" w:sz="4" w:space="0" w:color="BFBFBF"/>
            </w:tcBorders>
            <w:shd w:val="clear" w:color="auto" w:fill="D6E4F0"/>
            <w:vAlign w:val="center"/>
          </w:tcPr>
          <w:p w14:paraId="3E63E0F9" w14:textId="77777777" w:rsidR="00655836" w:rsidRPr="00655836" w:rsidRDefault="00655836" w:rsidP="00655836">
            <w:pPr>
              <w:contextualSpacing/>
              <w:jc w:val="both"/>
            </w:pPr>
            <w:r>
              <w:t>SÌ</w:t>
            </w:r>
          </w:p>
        </w:tc>
        <w:tc>
          <w:tcPr>
            <w:tcW w:w="3678" w:type="dxa"/>
            <w:tcBorders>
              <w:bottom w:val="single" w:sz="4" w:space="0" w:color="BFBFBF"/>
              <w:right w:val="single" w:sz="4" w:space="0" w:color="BFBFBF"/>
            </w:tcBorders>
            <w:shd w:val="clear" w:color="auto" w:fill="FCE4D6"/>
            <w:vAlign w:val="center"/>
          </w:tcPr>
          <w:p w14:paraId="18BA953D" w14:textId="77777777" w:rsidR="00655836" w:rsidRPr="00655836" w:rsidRDefault="00655836" w:rsidP="00655836">
            <w:pPr>
              <w:contextualSpacing/>
              <w:jc w:val="both"/>
            </w:pPr>
            <w:r>
              <w:t>NO</w:t>
            </w:r>
          </w:p>
        </w:tc>
      </w:tr>
      <w:tr w:rsidR="00655836" w:rsidRPr="00655836" w14:paraId="5597F5C7"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0741A296" w14:textId="77777777" w:rsidR="00655836" w:rsidRPr="00655836" w:rsidRDefault="00655836" w:rsidP="00655836">
            <w:pPr>
              <w:contextualSpacing/>
              <w:jc w:val="both"/>
            </w:pPr>
            <w:r>
              <w:rPr>
                <w:b/>
                <w:bCs/>
              </w:rPr>
              <w:t>Qualificazione giuridica</w:t>
            </w:r>
          </w:p>
        </w:tc>
        <w:tc>
          <w:tcPr>
            <w:tcW w:w="3617" w:type="dxa"/>
            <w:tcBorders>
              <w:bottom w:val="single" w:sz="4" w:space="0" w:color="BFBFBF"/>
              <w:right w:val="single" w:sz="4" w:space="0" w:color="BFBFBF"/>
            </w:tcBorders>
            <w:shd w:val="clear" w:color="auto" w:fill="D6E4F0"/>
            <w:vAlign w:val="center"/>
          </w:tcPr>
          <w:p w14:paraId="7C070CAF" w14:textId="77777777" w:rsidR="00655836" w:rsidRPr="00655836" w:rsidRDefault="00655836" w:rsidP="00655836">
            <w:pPr>
              <w:contextualSpacing/>
              <w:jc w:val="both"/>
            </w:pPr>
            <w:r>
              <w:t>Uso mediato della rete → soggettività passiva CUP</w:t>
            </w:r>
          </w:p>
        </w:tc>
        <w:tc>
          <w:tcPr>
            <w:tcW w:w="3678" w:type="dxa"/>
            <w:tcBorders>
              <w:bottom w:val="single" w:sz="4" w:space="0" w:color="BFBFBF"/>
              <w:right w:val="single" w:sz="4" w:space="0" w:color="BFBFBF"/>
            </w:tcBorders>
            <w:shd w:val="clear" w:color="auto" w:fill="FCE4D6"/>
            <w:vAlign w:val="center"/>
          </w:tcPr>
          <w:p w14:paraId="357E9E9E" w14:textId="77777777" w:rsidR="00655836" w:rsidRPr="00655836" w:rsidRDefault="00655836" w:rsidP="00655836">
            <w:pPr>
              <w:contextualSpacing/>
              <w:jc w:val="both"/>
            </w:pPr>
            <w:r>
              <w:t>Nessun uso della rete → escluso dalla soggettività passiva</w:t>
            </w:r>
          </w:p>
        </w:tc>
      </w:tr>
    </w:tbl>
    <w:p w14:paraId="41BCC017" w14:textId="77777777" w:rsidR="00655836" w:rsidRPr="00655836" w:rsidRDefault="00655836" w:rsidP="00655836">
      <w:pPr>
        <w:contextualSpacing/>
        <w:jc w:val="both"/>
      </w:pPr>
    </w:p>
    <w:p w14:paraId="0122024F" w14:textId="77777777" w:rsidR="00655836" w:rsidRPr="00655836" w:rsidRDefault="00655836" w:rsidP="00655836">
      <w:pPr>
        <w:ind w:firstLine="708"/>
        <w:contextualSpacing/>
        <w:jc w:val="both"/>
      </w:pPr>
      <w:r>
        <w:rPr>
          <w:b/>
          <w:u w:val="single"/>
        </w:rPr>
        <w:t>Prima della recente pronuncia della Corte di Cassazione</w:t>
      </w:r>
      <w:r>
        <w:t xml:space="preserve">, innanzi richiamata, già confermava quanto fin qui rilevato la più recente giurisprudenza in materia nell’ambito delle telecomunicazioni; fra tante si richiama la recentissima sentenza resa dal </w:t>
      </w:r>
      <w:r>
        <w:rPr>
          <w:b/>
          <w:bCs/>
          <w:u w:val="single"/>
        </w:rPr>
        <w:t>TRIBUNALE DI BERGAMO n. 1523 del 25.11.2025 contro FASTWEB S.p.A., nonché ancor più di recente TRIBUNALE DI BERGAMO 289 del 21.03.2026  contro VODAFONE, ed ancora Tribunale di Treviso n. 240/2025 pubblicata il 20/02/2025, resa in appello, e la sentenza del Tribunale di Piacenza n. 207 del 06.05.2025. Che vengono indicate tra le altre per le puntuali motivazioni addotte, ed infatti:</w:t>
      </w:r>
    </w:p>
    <w:p w14:paraId="10BF3CE9" w14:textId="77777777" w:rsidR="00655836" w:rsidRPr="00655836" w:rsidRDefault="00655836" w:rsidP="00655836">
      <w:pPr>
        <w:ind w:firstLine="708"/>
        <w:contextualSpacing/>
        <w:jc w:val="both"/>
      </w:pPr>
      <w:r>
        <w:lastRenderedPageBreak/>
        <w:t>Il Giudice di Bergamo ha così precisato:</w:t>
      </w:r>
    </w:p>
    <w:p w14:paraId="13907091" w14:textId="77777777" w:rsidR="00655836" w:rsidRPr="00655836" w:rsidRDefault="00655836" w:rsidP="00655836">
      <w:pPr>
        <w:ind w:firstLine="708"/>
        <w:contextualSpacing/>
        <w:jc w:val="both"/>
        <w:rPr>
          <w:iCs/>
        </w:rPr>
      </w:pPr>
      <w:r>
        <w:rPr>
          <w:i/>
          <w:iCs/>
        </w:rPr>
        <w:t xml:space="preserve">“La norma nel testo attualmente vigente dispone: il canone è dovuto dal soggetto titolare dell’atto di concessione dell’occupazione del suolo pubblico e dai soggetti che occupano il suolo pubblico, </w:t>
      </w:r>
      <w:r>
        <w:rPr>
          <w:b/>
          <w:bCs/>
          <w:i/>
          <w:iCs/>
        </w:rPr>
        <w:t>anche in via mediata, attraverso l’utilizzo materiale delle infrastrutture del soggetto titolare della concessione</w:t>
      </w:r>
      <w:r>
        <w:rPr>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Pr>
          <w:iCs/>
        </w:rPr>
        <w:t>(</w:t>
      </w:r>
      <w:r>
        <w:rPr>
          <w:b/>
          <w:bCs/>
          <w:iCs/>
        </w:rPr>
        <w:t>doc. 11)</w:t>
      </w:r>
    </w:p>
    <w:p w14:paraId="273B3951" w14:textId="77777777" w:rsidR="00655836" w:rsidRPr="00655836" w:rsidRDefault="00655836" w:rsidP="00655836">
      <w:pPr>
        <w:ind w:firstLine="708"/>
        <w:contextualSpacing/>
        <w:jc w:val="both"/>
        <w:rPr>
          <w:iCs/>
        </w:rPr>
      </w:pPr>
      <w:r>
        <w:rPr>
          <w:iCs/>
        </w:rPr>
        <w:t xml:space="preserve">Sempre il </w:t>
      </w:r>
      <w:r>
        <w:rPr>
          <w:b/>
          <w:bCs/>
          <w:iCs/>
        </w:rPr>
        <w:t>Tribunale di Bergamo con la sentenza 289/2026 ha ribadito</w:t>
      </w:r>
      <w:r>
        <w:rPr>
          <w:iCs/>
        </w:rPr>
        <w:t>:</w:t>
      </w:r>
    </w:p>
    <w:p w14:paraId="261290F6" w14:textId="2EE18841" w:rsidR="00655836" w:rsidRPr="00655836" w:rsidRDefault="00655836" w:rsidP="00655836">
      <w:pPr>
        <w:ind w:firstLine="708"/>
        <w:contextualSpacing/>
        <w:jc w:val="both"/>
        <w:rPr>
          <w:i/>
          <w:iCs/>
        </w:rPr>
      </w:pPr>
      <w:r>
        <w:rPr>
          <w:iCs/>
        </w:rPr>
        <w:t>“</w:t>
      </w:r>
      <w:r>
        <w:rPr>
          <w:i/>
          <w:iCs/>
        </w:rPr>
        <w:t xml:space="preserve">le attuali normative fanno riferimento ad un nuovo concetto basato sull’occupazione in via mediata, dove sussistono una pluralità di soggetti passivi , costituiti dal soggetto titolare e dai soggetti che occupano ed utilizzano l’area . </w:t>
      </w:r>
    </w:p>
    <w:p w14:paraId="314FF5DD" w14:textId="4B8E3530" w:rsidR="00655836" w:rsidRPr="00655836" w:rsidRDefault="00655836" w:rsidP="00655836">
      <w:pPr>
        <w:ind w:firstLine="708"/>
        <w:contextualSpacing/>
        <w:jc w:val="both"/>
        <w:rPr>
          <w:i/>
          <w:iCs/>
        </w:rPr>
      </w:pPr>
      <w:r>
        <w:rPr>
          <w:i/>
          <w:iCs/>
        </w:rPr>
        <w:t xml:space="preserve">Più precisamente, risulta aggiornata e superata la precedente normativa, che considerava il solo concessionario quale unico soggetto passivo, rendendo adeguata la normativa ad una tipologia relativa ad un mercato liberalizzato, dove vi sono più operatori che utilizzano la stessa infrastruttura per la fornitura del proprio servizio di telefonia. </w:t>
      </w:r>
    </w:p>
    <w:p w14:paraId="6397DBDD" w14:textId="77777777" w:rsidR="00655836" w:rsidRPr="00655836" w:rsidRDefault="00655836" w:rsidP="00655836">
      <w:pPr>
        <w:ind w:firstLine="708"/>
        <w:contextualSpacing/>
        <w:jc w:val="both"/>
        <w:rPr>
          <w:i/>
          <w:iCs/>
        </w:rPr>
      </w:pPr>
      <w:r>
        <w:rPr>
          <w:i/>
          <w:iCs/>
        </w:rPr>
        <w:t>Inoltre, diversamente da quanto affermato da parte attrice, gli accordi wholesale sono pienamente riferibile alla fattispecie connessa” all’utilizzo materiale “.</w:t>
      </w:r>
    </w:p>
    <w:p w14:paraId="53DA94CC" w14:textId="77777777" w:rsidR="00655836" w:rsidRPr="00655836" w:rsidRDefault="00655836" w:rsidP="00655836">
      <w:pPr>
        <w:ind w:firstLine="708"/>
        <w:contextualSpacing/>
        <w:jc w:val="both"/>
        <w:rPr>
          <w:i/>
          <w:iCs/>
        </w:rPr>
      </w:pPr>
      <w:r>
        <w:rPr>
          <w:i/>
          <w:iCs/>
        </w:rPr>
        <w:t xml:space="preserve">Infatti gli accordi wholesale VULA ( Virtual Unbundled Local Access ) sono accordi commerciali tra operatori di telecomunicazioni che permettono l’accesso alle reti di accesso locali ( reti di fibra ottica o di rame ) di un operatore dominante a un altro operatore , a condizioni eque e non discriminatorie . </w:t>
      </w:r>
    </w:p>
    <w:p w14:paraId="038B40A9" w14:textId="0F640078" w:rsidR="00655836" w:rsidRPr="00655836" w:rsidRDefault="00655836" w:rsidP="00655836">
      <w:pPr>
        <w:ind w:firstLine="708"/>
        <w:contextualSpacing/>
        <w:jc w:val="both"/>
        <w:rPr>
          <w:i/>
          <w:iCs/>
        </w:rPr>
      </w:pPr>
      <w:r>
        <w:rPr>
          <w:i/>
          <w:iCs/>
        </w:rPr>
        <w:t xml:space="preserve">In pratica, un operatore che non ha una rete di accesso propria può utilizzare la rete di un altro operatore per offrire servizi di accesso a internet e voce ai propri clienti . </w:t>
      </w:r>
    </w:p>
    <w:p w14:paraId="103C521D" w14:textId="77777777" w:rsidR="00655836" w:rsidRPr="00655836" w:rsidRDefault="00655836" w:rsidP="00655836">
      <w:pPr>
        <w:ind w:firstLine="708"/>
        <w:contextualSpacing/>
        <w:jc w:val="both"/>
        <w:rPr>
          <w:i/>
          <w:iCs/>
        </w:rPr>
      </w:pPr>
      <w:r>
        <w:rPr>
          <w:i/>
          <w:iCs/>
        </w:rPr>
        <w:lastRenderedPageBreak/>
        <w:t xml:space="preserve">Anche se l’accesso è definito “ virtuale “ in ambito tecnico – commerciale , lo stesso comporta un flusso fisico di dati che transita comunque mediante cavi e condutture esistenti sul suolo pubblico comunale . </w:t>
      </w:r>
    </w:p>
    <w:p w14:paraId="7526D748" w14:textId="77777777" w:rsidR="00655836" w:rsidRPr="00655836" w:rsidRDefault="00655836" w:rsidP="00655836">
      <w:pPr>
        <w:ind w:firstLine="708"/>
        <w:contextualSpacing/>
        <w:jc w:val="both"/>
        <w:rPr>
          <w:b/>
          <w:bCs/>
        </w:rPr>
      </w:pPr>
      <w:r>
        <w:rPr>
          <w:i/>
          <w:iCs/>
        </w:rPr>
        <w:t xml:space="preserve">In base alle numerose sentenze di merito sull’argomento in questione , il criterio legato alla materialità dell’uso dell’infrastruttura di altro operatore , risulta compreso anche quello legato alla modalità di accesso virtuale ,legata all’evoluzione ed al progresso tecnologico nell’ambito della telefonia . </w:t>
      </w:r>
      <w:r>
        <w:t xml:space="preserve">Tribunale di Bergamo n. 289 del 21.3.2026 </w:t>
      </w:r>
      <w:r>
        <w:rPr>
          <w:b/>
          <w:bCs/>
        </w:rPr>
        <w:t>(doc. 12).</w:t>
      </w:r>
    </w:p>
    <w:p w14:paraId="6E1DE090" w14:textId="77777777" w:rsidR="00655836" w:rsidRPr="00655836" w:rsidRDefault="00655836" w:rsidP="00655836">
      <w:pPr>
        <w:ind w:firstLine="708"/>
        <w:contextualSpacing/>
        <w:jc w:val="both"/>
      </w:pPr>
      <w:r>
        <w:t xml:space="preserve">Di particolare rilievo sistematico è la recentissima </w:t>
      </w:r>
      <w:r>
        <w:rPr>
          <w:b/>
          <w:bCs/>
        </w:rPr>
        <w:t>sentenza del Tribunale di Napoli n. 5948 del 13.04.2026 (RG 16629/2025)</w:t>
      </w:r>
      <w:r>
        <w:t xml:space="preserve"> (doc. 13), pronunciata – con riferimento a una controversia analoga avente ad oggetto un avviso di accertamento CUP per gli anni 2021-2024 </w:t>
      </w:r>
      <w:r>
        <w:rPr>
          <w:b/>
          <w:bCs/>
        </w:rPr>
        <w:t>proposto proprio da Wind Tre</w:t>
      </w:r>
      <w:r>
        <w:t xml:space="preserve"> – che ha confermato la piena legittimità dell’accertamento su tutti i profili di merito contestati, rendendo una motivazione di particolare rilievo e ben chiarendo il concetto di </w:t>
      </w:r>
      <w:r>
        <w:rPr>
          <w:i/>
          <w:iCs/>
        </w:rPr>
        <w:t xml:space="preserve">“utilizzo materiale” </w:t>
      </w:r>
      <w:r>
        <w:t>(</w:t>
      </w:r>
      <w:r>
        <w:rPr>
          <w:b/>
          <w:bCs/>
        </w:rPr>
        <w:t xml:space="preserve">Tribunale Napoli n.5948 del 13.4.2026 doc. 13): </w:t>
      </w:r>
    </w:p>
    <w:p w14:paraId="0B3CD473" w14:textId="77777777" w:rsidR="00655836" w:rsidRPr="00655836" w:rsidRDefault="00655836" w:rsidP="00655836">
      <w:pPr>
        <w:ind w:firstLine="708"/>
        <w:contextualSpacing/>
        <w:jc w:val="both"/>
        <w:rPr>
          <w:i/>
          <w:iCs/>
        </w:rPr>
      </w:pPr>
      <w:r>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37AEF50D" w14:textId="77777777" w:rsidR="00655836" w:rsidRPr="00655836" w:rsidRDefault="00655836" w:rsidP="00655836">
      <w:pPr>
        <w:ind w:firstLine="708"/>
        <w:contextualSpacing/>
        <w:jc w:val="both"/>
      </w:pPr>
      <w:r>
        <w:t>Il Tribunale di Napoli ha altresì chiarito l’inapplicabilità dell’art. 5, comma 14-</w:t>
      </w:r>
      <w:r>
        <w:rPr>
          <w:i/>
          <w:iCs/>
        </w:rPr>
        <w:t>quinquies</w:t>
      </w:r>
      <w:r>
        <w:t>, D.L. 146/2021 al settore delle telecomunicazioni, osservando che “</w:t>
      </w:r>
      <w:r>
        <w:rPr>
          <w:i/>
          <w:iCs/>
        </w:rPr>
        <w:t>la separazione cui la disposizione si riferisce va intesa con riguardo ai settori nei quali la dissociazione tra attività di distribuzione e attività di vendita è strutturalmente più netta […] soggetti dedicati alla sola vendita, che, limitandosi alla commercializzazione, non occupano il suolo pubblico neppure in via mediata e non utilizzano materialmente l’infrastruttura</w:t>
      </w:r>
      <w:r>
        <w:t>”.</w:t>
      </w:r>
    </w:p>
    <w:p w14:paraId="4DFBD32E" w14:textId="77777777" w:rsidR="00655836" w:rsidRPr="00655836" w:rsidRDefault="00655836" w:rsidP="00655836">
      <w:pPr>
        <w:ind w:firstLine="708"/>
        <w:contextualSpacing/>
        <w:jc w:val="both"/>
      </w:pPr>
      <w:r>
        <w:t>Con specifico riguardo alla legittimità del metodo di calcolo induttivo, il Tribunale di Napoli ha ritenuto pienamente legittimo il ricorso a criteri presuntivi fondati su dati AGCOM rapportati alla popolazione residente, statuendo che “</w:t>
      </w:r>
      <w:r>
        <w:rPr>
          <w:i/>
          <w:iCs/>
        </w:rPr>
        <w:t xml:space="preserve">il ricorso a criteri presuntivi </w:t>
      </w:r>
      <w:r>
        <w:rPr>
          <w:i/>
          <w:iCs/>
        </w:rPr>
        <w:lastRenderedPageBreak/>
        <w:t>fondati su dati 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t>”.</w:t>
      </w:r>
    </w:p>
    <w:p w14:paraId="50E17549" w14:textId="77777777" w:rsidR="00655836" w:rsidRPr="00655836" w:rsidRDefault="00655836" w:rsidP="00655836">
      <w:pPr>
        <w:ind w:firstLine="708"/>
        <w:contextualSpacing/>
        <w:jc w:val="both"/>
      </w:pPr>
      <w:r>
        <w:t>Infine, il Tribunale di Napoli ha respinto la tesi della sufficienza del pagamento del minimo forfettario, chiarendo che “</w:t>
      </w:r>
      <w:r>
        <w:rPr>
          <w:i/>
          <w:iCs/>
        </w:rPr>
        <w:t>il minimo di € 800,00 previsto dalla legge opera solo ove il prodotto tra utenze e tariffa risulti inferiore a tale soglia, ma presuppone comunque una corretta e veritiera dichiarazione delle utenze attive. In mancanza di tale presupposto, il versamento del minimo non è idoneo a estinguere l’obbligazione nella sua effettiva consistenza</w:t>
      </w:r>
      <w:r>
        <w:t>”.</w:t>
      </w:r>
    </w:p>
    <w:p w14:paraId="745D48BC" w14:textId="77777777" w:rsidR="00655836" w:rsidRPr="00655836" w:rsidRDefault="00655836" w:rsidP="00655836">
      <w:pPr>
        <w:ind w:firstLine="708"/>
        <w:contextualSpacing/>
        <w:jc w:val="both"/>
      </w:pPr>
      <w:r>
        <w:t xml:space="preserve">Ed ancora, i giudici del </w:t>
      </w:r>
      <w:r>
        <w:rPr>
          <w:b/>
          <w:bCs/>
        </w:rPr>
        <w:t>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39BC3E9F" w14:textId="77777777" w:rsidR="00655836" w:rsidRPr="00655836" w:rsidRDefault="00655836" w:rsidP="00655836">
      <w:pPr>
        <w:ind w:firstLine="708"/>
        <w:contextualSpacing/>
        <w:jc w:val="both"/>
      </w:pPr>
      <w:r>
        <w:t>Si legge nella sentenza:</w:t>
      </w:r>
    </w:p>
    <w:p w14:paraId="05BB2A04" w14:textId="77777777" w:rsidR="00655836" w:rsidRPr="00655836" w:rsidRDefault="00655836" w:rsidP="00655836">
      <w:pPr>
        <w:ind w:firstLine="708"/>
        <w:contextualSpacing/>
        <w:jc w:val="both"/>
      </w:pPr>
      <w:r>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voluntas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Pr>
          <w:b/>
          <w:bCs/>
          <w:i/>
          <w:iCs/>
        </w:rPr>
        <w:t xml:space="preserve">Tribunale di Treviso n. 240/2025 del 20/02/2025, resa in appello </w:t>
      </w:r>
      <w:r>
        <w:rPr>
          <w:iCs/>
        </w:rPr>
        <w:t>(</w:t>
      </w:r>
      <w:r>
        <w:rPr>
          <w:b/>
          <w:bCs/>
          <w:iCs/>
        </w:rPr>
        <w:t>doc. 14</w:t>
      </w:r>
      <w:r>
        <w:rPr>
          <w:iCs/>
        </w:rPr>
        <w:t>)</w:t>
      </w:r>
      <w:r>
        <w:rPr>
          <w:i/>
          <w:iCs/>
        </w:rPr>
        <w:t>.</w:t>
      </w:r>
    </w:p>
    <w:p w14:paraId="78477D2B" w14:textId="77777777" w:rsidR="00655836" w:rsidRPr="00655836" w:rsidRDefault="00655836" w:rsidP="00655836">
      <w:pPr>
        <w:ind w:firstLine="708"/>
        <w:contextualSpacing/>
        <w:jc w:val="both"/>
      </w:pPr>
      <w:r>
        <w:t xml:space="preserve">Il Tribunale di </w:t>
      </w:r>
      <w:r>
        <w:rPr>
          <w:b/>
          <w:bCs/>
        </w:rPr>
        <w:t>PIACENZA,</w:t>
      </w:r>
      <w:r>
        <w:t xml:space="preserve"> poi, rigettando l’opposizione di Vodafone, ha sempre posto l’accento sul concetto di occupazione mediata e sulla </w:t>
      </w:r>
      <w:r>
        <w:rPr>
          <w:i/>
          <w:iCs/>
        </w:rPr>
        <w:t>ratio</w:t>
      </w:r>
      <w:r>
        <w:t xml:space="preserve"> della norma di interpretazione autentica.</w:t>
      </w:r>
    </w:p>
    <w:p w14:paraId="6999D0C8" w14:textId="77777777" w:rsidR="00655836" w:rsidRPr="00655836" w:rsidRDefault="00655836" w:rsidP="00655836">
      <w:pPr>
        <w:ind w:firstLine="708"/>
        <w:contextualSpacing/>
        <w:jc w:val="both"/>
      </w:pPr>
      <w:r>
        <w:t>Si legge in sentenza:</w:t>
      </w:r>
    </w:p>
    <w:p w14:paraId="3EB5914C" w14:textId="77777777" w:rsidR="00655836" w:rsidRDefault="00655836" w:rsidP="00655836">
      <w:pPr>
        <w:ind w:firstLine="708"/>
        <w:contextualSpacing/>
        <w:jc w:val="both"/>
        <w:rPr>
          <w:i/>
          <w:iCs/>
        </w:rPr>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w:t>
      </w:r>
      <w:r>
        <w:rPr>
          <w:i/>
          <w:iCs/>
        </w:rPr>
        <w:lastRenderedPageBreak/>
        <w:t xml:space="preserve">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w:t>
      </w:r>
    </w:p>
    <w:p w14:paraId="719B725F" w14:textId="77777777" w:rsidR="00655836" w:rsidRDefault="00655836" w:rsidP="00655836">
      <w:pPr>
        <w:ind w:firstLine="708"/>
        <w:contextualSpacing/>
        <w:jc w:val="both"/>
        <w:rPr>
          <w:i/>
          <w:iCs/>
        </w:rPr>
      </w:pPr>
      <w:r>
        <w:rPr>
          <w:i/>
          <w:iCs/>
        </w:rPr>
        <w:t xml:space="preserve">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w:t>
      </w:r>
    </w:p>
    <w:p w14:paraId="463CB701" w14:textId="77777777" w:rsidR="00655836" w:rsidRDefault="00655836" w:rsidP="00655836">
      <w:pPr>
        <w:ind w:firstLine="708"/>
        <w:contextualSpacing/>
        <w:jc w:val="both"/>
        <w:rPr>
          <w:i/>
          <w:iCs/>
        </w:rPr>
      </w:pPr>
      <w:r>
        <w:rPr>
          <w:i/>
          <w:iCs/>
        </w:rPr>
        <w:t xml:space="preserve">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w:t>
      </w:r>
    </w:p>
    <w:p w14:paraId="1E6BABE5" w14:textId="77777777" w:rsidR="00655836" w:rsidRDefault="00655836" w:rsidP="00655836">
      <w:pPr>
        <w:ind w:firstLine="708"/>
        <w:contextualSpacing/>
        <w:jc w:val="both"/>
        <w:rPr>
          <w:i/>
          <w:iCs/>
        </w:rPr>
      </w:pPr>
      <w:r>
        <w:rPr>
          <w:i/>
          <w:iCs/>
        </w:rPr>
        <w:t xml:space="preserve">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w:t>
      </w:r>
    </w:p>
    <w:p w14:paraId="151E84A7" w14:textId="77777777" w:rsidR="00655836" w:rsidRDefault="00655836" w:rsidP="00655836">
      <w:pPr>
        <w:ind w:firstLine="708"/>
        <w:contextualSpacing/>
        <w:jc w:val="both"/>
        <w:rPr>
          <w:i/>
          <w:iCs/>
        </w:rPr>
      </w:pPr>
      <w:r>
        <w:rPr>
          <w:i/>
          <w:iCs/>
        </w:rPr>
        <w:t xml:space="preserve">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w:t>
      </w:r>
    </w:p>
    <w:p w14:paraId="098D9A79" w14:textId="77777777" w:rsidR="00655836" w:rsidRDefault="00655836" w:rsidP="00655836">
      <w:pPr>
        <w:ind w:firstLine="708"/>
        <w:contextualSpacing/>
        <w:jc w:val="both"/>
        <w:rPr>
          <w:i/>
          <w:iCs/>
        </w:rPr>
      </w:pPr>
      <w:r>
        <w:rPr>
          <w:i/>
          <w:iCs/>
        </w:rPr>
        <w:t xml:space="preserve">10. Peraltro nel criterio di materialità dell’uso dell’infrastruttura altrui deve intendersi incluso anche quello con modalità virtuale considerata l’evoluzione tecnologica nel campo della telefonia. </w:t>
      </w:r>
    </w:p>
    <w:p w14:paraId="4CEB73BA" w14:textId="5E4148AA" w:rsidR="00655836" w:rsidRPr="00655836" w:rsidRDefault="00655836" w:rsidP="00655836">
      <w:pPr>
        <w:ind w:firstLine="708"/>
        <w:contextualSpacing/>
        <w:jc w:val="both"/>
        <w:rPr>
          <w:b/>
          <w:bCs/>
        </w:rPr>
      </w:pPr>
      <w:r>
        <w:rPr>
          <w:i/>
          <w:iCs/>
        </w:rPr>
        <w:lastRenderedPageBreak/>
        <w:t xml:space="preserve">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Pr>
          <w:b/>
          <w:bCs/>
          <w:i/>
          <w:iCs/>
        </w:rPr>
        <w:t>Tribunale di Piacenza n. 207 del 06.05.2025</w:t>
      </w:r>
      <w:r>
        <w:rPr>
          <w:b/>
          <w:bCs/>
          <w:iCs/>
        </w:rPr>
        <w:t xml:space="preserve"> (doc. 15)</w:t>
      </w:r>
      <w:r>
        <w:rPr>
          <w:b/>
          <w:bCs/>
          <w:i/>
          <w:iCs/>
        </w:rPr>
        <w:t>.</w:t>
      </w:r>
    </w:p>
    <w:p w14:paraId="7FC3960F" w14:textId="77777777" w:rsidR="00655836" w:rsidRPr="00655836" w:rsidRDefault="00655836" w:rsidP="00655836">
      <w:pPr>
        <w:ind w:firstLine="360"/>
        <w:contextualSpacing/>
        <w:jc w:val="both"/>
        <w:rPr>
          <w:b/>
          <w:bCs/>
          <w:i/>
          <w:iCs/>
        </w:rPr>
      </w:pPr>
      <w:r>
        <w:t xml:space="preserve">Anche con successiva pronuncia, il </w:t>
      </w:r>
      <w:r>
        <w:rPr>
          <w:b/>
          <w:bCs/>
        </w:rPr>
        <w:t>Tribunale di Piacenza – i</w:t>
      </w:r>
      <w:r>
        <w:rPr>
          <w:b/>
          <w:bCs/>
          <w:u w:val="single"/>
        </w:rPr>
        <w:t>n funzione di giudice di secondo grado (sent. 350 del 16.07.2025, R.G. 1562/2024) (doc. 16</w:t>
      </w:r>
      <w:r>
        <w:rPr>
          <w:u w:val="single"/>
        </w:rPr>
        <w:t xml:space="preserve">) </w:t>
      </w:r>
      <w:r>
        <w:t xml:space="preserve">–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0D60C872" w14:textId="77777777" w:rsidR="00655836" w:rsidRPr="00655836" w:rsidRDefault="00655836" w:rsidP="00655836">
      <w:pPr>
        <w:numPr>
          <w:ilvl w:val="0"/>
          <w:numId w:val="2"/>
        </w:numPr>
        <w:contextualSpacing/>
        <w:jc w:val="both"/>
        <w:rPr>
          <w:b/>
          <w:bCs/>
          <w:i/>
          <w:iCs/>
        </w:rPr>
      </w:pPr>
      <w:r>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54F66ECA" w14:textId="77777777" w:rsidR="00655836" w:rsidRPr="00655836" w:rsidRDefault="00655836" w:rsidP="00655836">
      <w:pPr>
        <w:numPr>
          <w:ilvl w:val="0"/>
          <w:numId w:val="2"/>
        </w:numPr>
        <w:contextualSpacing/>
        <w:jc w:val="both"/>
        <w:rPr>
          <w:i/>
          <w:iCs/>
        </w:rPr>
      </w:pPr>
      <w:r>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0D053020" w14:textId="77777777" w:rsidR="00655836" w:rsidRPr="00655836" w:rsidRDefault="00655836" w:rsidP="00655836">
      <w:pPr>
        <w:numPr>
          <w:ilvl w:val="0"/>
          <w:numId w:val="2"/>
        </w:numPr>
        <w:contextualSpacing/>
        <w:jc w:val="both"/>
        <w:rPr>
          <w:i/>
          <w:iCs/>
        </w:rPr>
      </w:pPr>
      <w:r>
        <w:rPr>
          <w:i/>
          <w:iCs/>
        </w:rPr>
        <w:lastRenderedPageBreak/>
        <w:t xml:space="preserve">Peraltro nel criterio di materialità dell’uso dell’infrastruttura altrui deve intendersi incluso anche quello con modalità virtuale considerata l’evoluzione tecnologica nel campo della telefonia.” </w:t>
      </w:r>
    </w:p>
    <w:p w14:paraId="1B13EEF4" w14:textId="77777777" w:rsidR="00655836" w:rsidRPr="00655836" w:rsidRDefault="00655836" w:rsidP="00D313CC">
      <w:pPr>
        <w:ind w:firstLine="360"/>
        <w:contextualSpacing/>
        <w:jc w:val="both"/>
      </w:pPr>
      <w:r>
        <w:t xml:space="preserve">Ancora, il Tribunale di </w:t>
      </w:r>
      <w:r>
        <w:rPr>
          <w:b/>
          <w:bCs/>
        </w:rPr>
        <w:t xml:space="preserve">IVREA </w:t>
      </w:r>
      <w:r>
        <w:t xml:space="preserve">– </w:t>
      </w:r>
      <w:r>
        <w:rPr>
          <w:b/>
          <w:bCs/>
        </w:rPr>
        <w:t>in funzione di giudice di secondo grado (sent. 29.09.2025, n. 1255)</w:t>
      </w:r>
      <w:r>
        <w:t xml:space="preserve"> </w:t>
      </w:r>
      <w:r>
        <w:rPr>
          <w:b/>
          <w:bCs/>
        </w:rPr>
        <w:t>(doc. 17)</w:t>
      </w:r>
      <w:r>
        <w:t xml:space="preserve"> – ha rigettato l’appello proposto da un primario operatore telefonico avverso una decisione favorevole al Comune impositore,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Pr>
          <w:i/>
          <w:iCs/>
        </w:rPr>
        <w:t>l’occupazione mediata del suolo pubblico è ravvisabile anche quando l’operatore accede alle infrastrutture del concessionario mediante sistemi tecnologici quali VULA, WS, FTTH OS, risultando irrilevante l’assenza di una materiale posa in opera di nuovi cav</w:t>
      </w:r>
      <w:r>
        <w:t>i”.</w:t>
      </w:r>
    </w:p>
    <w:p w14:paraId="66C2CA60" w14:textId="77777777" w:rsidR="00655836" w:rsidRPr="00655836" w:rsidRDefault="00655836" w:rsidP="00D313CC">
      <w:pPr>
        <w:ind w:firstLine="360"/>
        <w:contextualSpacing/>
        <w:jc w:val="both"/>
      </w:pPr>
      <w:r>
        <w:t xml:space="preserve">Ancora, il </w:t>
      </w:r>
      <w:r>
        <w:rPr>
          <w:b/>
          <w:bCs/>
        </w:rPr>
        <w:t>Tribunale di</w:t>
      </w:r>
      <w:r>
        <w:t xml:space="preserve"> </w:t>
      </w:r>
      <w:r>
        <w:rPr>
          <w:b/>
          <w:bCs/>
        </w:rPr>
        <w:t>BOLZANO (sent. 08.04.2024, n. 431) (doc. 18)</w:t>
      </w:r>
      <w: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i/>
          <w:iCs/>
        </w:rPr>
        <w:t>parte da una premessa errata, confondendo un contratto di accesso o condivisione della rete con una separazione funzionale delle attività che non è rinvenibile nella realtà tecnica e normativa del settore TLC</w:t>
      </w:r>
      <w:r>
        <w:t>”; ha ulteriormente affermato che “</w:t>
      </w:r>
      <w:r>
        <w:rPr>
          <w:i/>
          <w:iCs/>
        </w:rPr>
        <w:t>sono soggetti passivi del canone tutti gli operatori che utilizzano, anche in via mediata, la rete del concessionario</w:t>
      </w:r>
      <w:r>
        <w:t>” e che “</w:t>
      </w:r>
      <w:r>
        <w:rPr>
          <w:i/>
          <w:iCs/>
        </w:rPr>
        <w:t>l’uso materiale dell’infrastruttura non richiede l’installazione fisica di cavi e include anche l’utilizzo virtuale, coerentemente con l’evoluzione tecnologica</w:t>
      </w:r>
      <w:r>
        <w:t>”.</w:t>
      </w:r>
    </w:p>
    <w:p w14:paraId="59DAA681" w14:textId="77777777" w:rsidR="00655836" w:rsidRPr="00655836" w:rsidRDefault="00655836" w:rsidP="00D313CC">
      <w:pPr>
        <w:ind w:firstLine="360"/>
        <w:contextualSpacing/>
        <w:jc w:val="both"/>
        <w:rPr>
          <w:i/>
          <w:iCs/>
        </w:rPr>
      </w:pPr>
      <w:r>
        <w:t xml:space="preserve">Si menziona, anche, la sentenza resa dal </w:t>
      </w:r>
      <w:r>
        <w:rPr>
          <w:b/>
          <w:bCs/>
        </w:rPr>
        <w:t>Tribunale di Bolzano n. 908/2025 del 15.10.2025</w:t>
      </w:r>
      <w:r>
        <w:t xml:space="preserve">, che si produce </w:t>
      </w:r>
      <w:r>
        <w:rPr>
          <w:b/>
          <w:bCs/>
        </w:rPr>
        <w:t>(doc. 19)</w:t>
      </w:r>
      <w:r>
        <w:t xml:space="preserve">, che ha precisato: </w:t>
      </w:r>
      <w:r>
        <w:rPr>
          <w:i/>
          <w:iCs/>
        </w:rPr>
        <w:t>“nel settore delle telecomunicazioni, il legislatore non appare aver imposto alcuna separazione, ma anzi, in attuazione delle direttive europee settoriali, ha incentivato la condivisione delle reti (cfr. nella giurisprudenza di questo Tribunale di Bolzano le sentenze nn. 431 e 649/2024).</w:t>
      </w:r>
    </w:p>
    <w:p w14:paraId="343296B4" w14:textId="77777777" w:rsidR="00655836" w:rsidRPr="00655836" w:rsidRDefault="00655836" w:rsidP="00D313CC">
      <w:pPr>
        <w:ind w:firstLine="360"/>
        <w:contextualSpacing/>
        <w:jc w:val="both"/>
      </w:pPr>
      <w:r>
        <w:rPr>
          <w:i/>
          <w:iCs/>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t>."</w:t>
      </w:r>
    </w:p>
    <w:p w14:paraId="13CC4A30" w14:textId="77777777" w:rsidR="00655836" w:rsidRPr="00655836" w:rsidRDefault="00655836" w:rsidP="00655836">
      <w:pPr>
        <w:contextualSpacing/>
        <w:jc w:val="both"/>
      </w:pPr>
      <w:r>
        <w:t>Tale sentenza è stata preceduta già da:</w:t>
      </w:r>
    </w:p>
    <w:p w14:paraId="1F46E244" w14:textId="77777777" w:rsidR="00655836" w:rsidRPr="00655836" w:rsidRDefault="00655836" w:rsidP="00655836">
      <w:pPr>
        <w:contextualSpacing/>
        <w:jc w:val="both"/>
      </w:pPr>
      <w:r>
        <w:t>- Tribunale di Bolzano Sentenza N. 431/2024</w:t>
      </w:r>
    </w:p>
    <w:p w14:paraId="7D630179" w14:textId="77777777" w:rsidR="00655836" w:rsidRPr="00655836" w:rsidRDefault="00655836" w:rsidP="00655836">
      <w:pPr>
        <w:contextualSpacing/>
        <w:jc w:val="both"/>
      </w:pPr>
      <w:bookmarkStart w:id="0" w:name="m_4538845636176179816_m_-648566957053672"/>
      <w:r>
        <w:t>- Tribunale di Bolzano Sentenza N. 649/2024</w:t>
      </w:r>
      <w:bookmarkEnd w:id="0"/>
    </w:p>
    <w:p w14:paraId="5A3C76B1" w14:textId="77777777" w:rsidR="00655836" w:rsidRPr="00655836" w:rsidRDefault="00655836" w:rsidP="00655836">
      <w:pPr>
        <w:contextualSpacing/>
        <w:jc w:val="both"/>
      </w:pPr>
      <w:r>
        <w:lastRenderedPageBreak/>
        <w:t>- Tribunale di Padova Sentenza N. 1341/2024</w:t>
      </w:r>
    </w:p>
    <w:p w14:paraId="5CA24854" w14:textId="77777777" w:rsidR="00655836" w:rsidRPr="00655836" w:rsidRDefault="00655836" w:rsidP="00655836">
      <w:pPr>
        <w:contextualSpacing/>
        <w:jc w:val="both"/>
      </w:pPr>
      <w:r>
        <w:t>- Giudice di Pace di Treviso Sentenza N. 1409/2023</w:t>
      </w:r>
    </w:p>
    <w:p w14:paraId="58BDAB29" w14:textId="77777777" w:rsidR="00655836" w:rsidRPr="00655836" w:rsidRDefault="00655836" w:rsidP="00655836">
      <w:pPr>
        <w:contextualSpacing/>
        <w:jc w:val="both"/>
      </w:pPr>
      <w:r>
        <w:t>- Giudice di Pace di Treviso Sentenza N. 1410/2023</w:t>
      </w:r>
    </w:p>
    <w:p w14:paraId="7F5C2C44" w14:textId="77777777" w:rsidR="00655836" w:rsidRPr="00655836" w:rsidRDefault="00655836" w:rsidP="00655836">
      <w:pPr>
        <w:contextualSpacing/>
        <w:jc w:val="both"/>
      </w:pPr>
      <w:r>
        <w:t>- Giudice di Pace di Treviso Sentenza N. 1407/2023</w:t>
      </w:r>
    </w:p>
    <w:p w14:paraId="0E1B2DE2" w14:textId="77777777" w:rsidR="00655836" w:rsidRPr="00655836" w:rsidRDefault="00655836" w:rsidP="00655836">
      <w:pPr>
        <w:contextualSpacing/>
        <w:jc w:val="both"/>
      </w:pPr>
      <w:r>
        <w:t>- Giudice di Pace di Treviso Sentenza N. 1411/2023</w:t>
      </w:r>
    </w:p>
    <w:p w14:paraId="43BBF046" w14:textId="77777777" w:rsidR="00655836" w:rsidRPr="00655836" w:rsidRDefault="00655836" w:rsidP="00655836">
      <w:pPr>
        <w:contextualSpacing/>
        <w:jc w:val="both"/>
      </w:pPr>
      <w:r>
        <w:t>- Giudice di Pace di Treviso Sentenza N. 1414/2023</w:t>
      </w:r>
    </w:p>
    <w:p w14:paraId="1BFD779C" w14:textId="77777777" w:rsidR="00655836" w:rsidRPr="00655836" w:rsidRDefault="00655836" w:rsidP="00655836">
      <w:pPr>
        <w:contextualSpacing/>
        <w:jc w:val="both"/>
      </w:pPr>
      <w:r>
        <w:t>- Giudice di Pace di Treviso Sentenza N. 167/2024</w:t>
      </w:r>
    </w:p>
    <w:p w14:paraId="65E26EC4" w14:textId="77777777" w:rsidR="00655836" w:rsidRPr="00655836" w:rsidRDefault="00655836" w:rsidP="00655836">
      <w:pPr>
        <w:contextualSpacing/>
        <w:jc w:val="both"/>
      </w:pPr>
      <w:r>
        <w:t>- Giudice di Pace di Treviso Sentenza N. 168/2024</w:t>
      </w:r>
    </w:p>
    <w:p w14:paraId="3AC03FE7" w14:textId="77777777" w:rsidR="00655836" w:rsidRPr="00655836" w:rsidRDefault="00655836" w:rsidP="00655836">
      <w:pPr>
        <w:contextualSpacing/>
        <w:jc w:val="both"/>
      </w:pPr>
      <w:r>
        <w:t>- Giudice di Pace di Treviso Sentenza N. 294/2024</w:t>
      </w:r>
    </w:p>
    <w:p w14:paraId="7C604D91" w14:textId="77777777" w:rsidR="00655836" w:rsidRPr="00655836" w:rsidRDefault="00655836" w:rsidP="00655836">
      <w:pPr>
        <w:contextualSpacing/>
        <w:jc w:val="both"/>
      </w:pPr>
      <w:r>
        <w:t>- Giudice di Pace di Treviso RG 5618/2023</w:t>
      </w:r>
    </w:p>
    <w:p w14:paraId="158CACEA" w14:textId="77777777" w:rsidR="00655836" w:rsidRPr="00655836" w:rsidRDefault="00655836" w:rsidP="00655836">
      <w:pPr>
        <w:contextualSpacing/>
        <w:jc w:val="both"/>
      </w:pPr>
      <w:r>
        <w:t>- Giudice di Pace di Treviso RG 5744/2023</w:t>
      </w:r>
    </w:p>
    <w:p w14:paraId="50D23C96" w14:textId="77777777" w:rsidR="00655836" w:rsidRPr="00655836" w:rsidRDefault="00655836" w:rsidP="00655836">
      <w:pPr>
        <w:contextualSpacing/>
        <w:jc w:val="both"/>
      </w:pPr>
      <w:r>
        <w:t>- Giudice di Pace di Treviso RG 5434/2023</w:t>
      </w:r>
    </w:p>
    <w:p w14:paraId="2C6B2D72" w14:textId="77777777" w:rsidR="00655836" w:rsidRPr="00655836" w:rsidRDefault="00655836" w:rsidP="00655836">
      <w:pPr>
        <w:contextualSpacing/>
        <w:jc w:val="both"/>
      </w:pPr>
      <w:r>
        <w:t>- Giudice di Pace di Padova Sentenza N. 1511/2023</w:t>
      </w:r>
    </w:p>
    <w:p w14:paraId="26BB37EC" w14:textId="77777777" w:rsidR="00655836" w:rsidRPr="00655836" w:rsidRDefault="00655836" w:rsidP="00655836">
      <w:pPr>
        <w:contextualSpacing/>
        <w:jc w:val="both"/>
      </w:pPr>
      <w:r>
        <w:t>- Giudice di Pace di Padova Sentenza N. 1550/2023</w:t>
      </w:r>
    </w:p>
    <w:p w14:paraId="775D137A" w14:textId="77777777" w:rsidR="00655836" w:rsidRPr="00655836" w:rsidRDefault="00655836" w:rsidP="00655836">
      <w:pPr>
        <w:contextualSpacing/>
        <w:jc w:val="both"/>
      </w:pPr>
      <w:r>
        <w:t>- Giudice di Pace di Padova Sentenza N. 454/2024</w:t>
      </w:r>
    </w:p>
    <w:p w14:paraId="48C118BF" w14:textId="77777777" w:rsidR="00655836" w:rsidRPr="00655836" w:rsidRDefault="00655836" w:rsidP="00655836">
      <w:pPr>
        <w:contextualSpacing/>
        <w:jc w:val="both"/>
      </w:pPr>
      <w:r>
        <w:t>- Giudice di Pace di Padova Sentenza N. 6795/2024</w:t>
      </w:r>
    </w:p>
    <w:p w14:paraId="32DF20BE" w14:textId="77777777" w:rsidR="00655836" w:rsidRPr="00655836" w:rsidRDefault="00655836" w:rsidP="00655836">
      <w:pPr>
        <w:contextualSpacing/>
        <w:jc w:val="both"/>
      </w:pPr>
      <w:r>
        <w:t>- Giudice di Pace di Padova Sentenza N. 1058/2024</w:t>
      </w:r>
    </w:p>
    <w:p w14:paraId="34F7EC32" w14:textId="77777777" w:rsidR="00655836" w:rsidRPr="00655836" w:rsidRDefault="00655836" w:rsidP="00655836">
      <w:pPr>
        <w:contextualSpacing/>
        <w:jc w:val="both"/>
      </w:pPr>
      <w:r>
        <w:t>- Giudice di Pace di Padova RG 5385/2023</w:t>
      </w:r>
    </w:p>
    <w:p w14:paraId="262D0578" w14:textId="77777777" w:rsidR="00655836" w:rsidRPr="00655836" w:rsidRDefault="00655836" w:rsidP="00655836">
      <w:pPr>
        <w:contextualSpacing/>
        <w:jc w:val="both"/>
      </w:pPr>
      <w:r>
        <w:t>- Giudice di Pace di Padova RG 4099/2023</w:t>
      </w:r>
    </w:p>
    <w:p w14:paraId="28379520" w14:textId="77777777" w:rsidR="00655836" w:rsidRPr="00655836" w:rsidRDefault="00655836" w:rsidP="00655836">
      <w:pPr>
        <w:contextualSpacing/>
        <w:jc w:val="both"/>
      </w:pPr>
      <w:r>
        <w:t>- Giudice di Pace di Rovigo Sentenza N. 665/2023</w:t>
      </w:r>
    </w:p>
    <w:p w14:paraId="7760BFDE" w14:textId="77777777" w:rsidR="00655836" w:rsidRPr="00655836" w:rsidRDefault="00655836" w:rsidP="00655836">
      <w:pPr>
        <w:contextualSpacing/>
        <w:jc w:val="both"/>
      </w:pPr>
      <w:r>
        <w:t>- Giudice di Pace di Rovigo Sentenza N. 666/2023</w:t>
      </w:r>
    </w:p>
    <w:p w14:paraId="55ADA048" w14:textId="77777777" w:rsidR="00655836" w:rsidRPr="00655836" w:rsidRDefault="00655836" w:rsidP="00655836">
      <w:pPr>
        <w:contextualSpacing/>
        <w:jc w:val="both"/>
      </w:pPr>
      <w:r>
        <w:t>- Giudice di Pace di Rovigo RG 5588/2023</w:t>
      </w:r>
    </w:p>
    <w:p w14:paraId="00EAD515" w14:textId="77777777" w:rsidR="00655836" w:rsidRPr="00655836" w:rsidRDefault="00655836" w:rsidP="00655836">
      <w:pPr>
        <w:contextualSpacing/>
        <w:jc w:val="both"/>
      </w:pPr>
      <w:r>
        <w:t>- Giudice di Pace di Rovigo RG 5949/2023</w:t>
      </w:r>
    </w:p>
    <w:p w14:paraId="4BFD41D2" w14:textId="77777777" w:rsidR="00655836" w:rsidRPr="00655836" w:rsidRDefault="00655836" w:rsidP="00655836">
      <w:pPr>
        <w:contextualSpacing/>
        <w:jc w:val="both"/>
      </w:pPr>
      <w:r>
        <w:t>- Giudice di Pace di Rovigo Sentenza N. 219/2024</w:t>
      </w:r>
    </w:p>
    <w:p w14:paraId="4DD30229" w14:textId="77777777" w:rsidR="00655836" w:rsidRPr="00655836" w:rsidRDefault="00655836" w:rsidP="00655836">
      <w:pPr>
        <w:contextualSpacing/>
        <w:jc w:val="both"/>
      </w:pPr>
      <w:r>
        <w:t>- Giudice di Pace di Viterbo RG 1716/2023</w:t>
      </w:r>
    </w:p>
    <w:p w14:paraId="3306C147" w14:textId="77777777" w:rsidR="00655836" w:rsidRPr="00655836" w:rsidRDefault="00655836" w:rsidP="00655836">
      <w:pPr>
        <w:contextualSpacing/>
        <w:jc w:val="both"/>
      </w:pPr>
      <w:r>
        <w:t>- Giudice di Pace di Ancona Sentenza N. 80/2024</w:t>
      </w:r>
    </w:p>
    <w:p w14:paraId="2531873A" w14:textId="77777777" w:rsidR="00655836" w:rsidRPr="00655836" w:rsidRDefault="00655836" w:rsidP="00655836">
      <w:pPr>
        <w:contextualSpacing/>
        <w:jc w:val="both"/>
      </w:pPr>
      <w:r>
        <w:t>- Giudice di Pace di Monza RG 6910/2023</w:t>
      </w:r>
    </w:p>
    <w:p w14:paraId="781D8C04" w14:textId="77777777" w:rsidR="00655836" w:rsidRPr="00655836" w:rsidRDefault="00655836" w:rsidP="00655836">
      <w:pPr>
        <w:contextualSpacing/>
        <w:jc w:val="both"/>
      </w:pPr>
      <w:r>
        <w:t>- Giudice di Pace di Portoferraio Sentenza N. 17/2024</w:t>
      </w:r>
    </w:p>
    <w:p w14:paraId="20916E64" w14:textId="77777777" w:rsidR="00655836" w:rsidRPr="00655836" w:rsidRDefault="00655836" w:rsidP="00655836">
      <w:pPr>
        <w:contextualSpacing/>
        <w:jc w:val="both"/>
      </w:pPr>
      <w:r>
        <w:t>- Giudice di Pace di Parma RG 3192/2023</w:t>
      </w:r>
    </w:p>
    <w:p w14:paraId="0644AC67" w14:textId="77777777" w:rsidR="00655836" w:rsidRPr="00655836" w:rsidRDefault="00655836" w:rsidP="00655836">
      <w:pPr>
        <w:contextualSpacing/>
        <w:jc w:val="both"/>
      </w:pPr>
      <w:r>
        <w:t>- Giudice di Pace di Novara Sentenza N. 4824/2023</w:t>
      </w:r>
    </w:p>
    <w:p w14:paraId="13969621" w14:textId="77777777" w:rsidR="00655836" w:rsidRPr="00655836" w:rsidRDefault="00655836" w:rsidP="00655836">
      <w:pPr>
        <w:contextualSpacing/>
        <w:jc w:val="both"/>
      </w:pPr>
      <w:r>
        <w:t>- Giudice di Pace di Lanciano RG 639/2023</w:t>
      </w:r>
    </w:p>
    <w:p w14:paraId="130A37FF" w14:textId="77777777" w:rsidR="00655836" w:rsidRPr="00655836" w:rsidRDefault="00655836" w:rsidP="00655836">
      <w:pPr>
        <w:contextualSpacing/>
        <w:jc w:val="both"/>
      </w:pPr>
      <w:r>
        <w:t>- Giudice di Pace di Ivrea RG 2842/2023</w:t>
      </w:r>
    </w:p>
    <w:p w14:paraId="0A12FA78" w14:textId="77777777" w:rsidR="00655836" w:rsidRPr="00655836" w:rsidRDefault="00655836" w:rsidP="00655836">
      <w:pPr>
        <w:contextualSpacing/>
        <w:jc w:val="both"/>
      </w:pPr>
      <w:r>
        <w:t>- Giudice di Pace di Sondrio Sentenza N. 117/2024</w:t>
      </w:r>
    </w:p>
    <w:p w14:paraId="151F965A" w14:textId="77777777" w:rsidR="00655836" w:rsidRPr="00655836" w:rsidRDefault="00655836" w:rsidP="00655836">
      <w:pPr>
        <w:contextualSpacing/>
        <w:jc w:val="both"/>
      </w:pPr>
      <w:r>
        <w:t>- Giudice di Pace di Belluno RG 1263/2023</w:t>
      </w:r>
    </w:p>
    <w:p w14:paraId="1A20002A" w14:textId="77777777" w:rsidR="00876D35" w:rsidRDefault="00876D35">
      <w:pPr>
        <w:contextualSpacing/>
        <w:jc w:val="both"/>
      </w:pPr>
    </w:p>
    <w:p w14:paraId="1A20002B" w14:textId="77777777" w:rsidR="00876D35" w:rsidRDefault="00A5569B">
      <w:pPr>
        <w:ind w:firstLine="708"/>
        <w:contextualSpacing/>
        <w:jc w:val="both"/>
      </w:pPr>
      <w:r>
        <w:lastRenderedPageBreak/>
        <w:t xml:space="preserve">Né a diverse conclusioni può condurre la sentenza della Corte d’Appello di Venezia del 24 giugno 2025, invocata </w:t>
      </w:r>
      <w:r>
        <w:rPr>
          <w:i/>
          <w:iCs/>
        </w:rPr>
        <w:t>ex adverso</w:t>
      </w:r>
      <w:r>
        <w:t>, al pari delle ulteriori pronunce di merito richiamate nel ricorso.</w:t>
      </w:r>
    </w:p>
    <w:p w14:paraId="1A20002C" w14:textId="77777777" w:rsidR="00876D35" w:rsidRDefault="00A5569B">
      <w:pPr>
        <w:ind w:firstLine="708"/>
        <w:contextualSpacing/>
        <w:jc w:val="both"/>
      </w:pPr>
      <w:r>
        <w:t>Quanto alla pronuncia veneziana, essa si fonda su un’erronea valorizzazione dell’origine contrattuale — anziché normativa o regolamentare — della separazione tra il titolare dell’infrastruttura e l’operatore, finendo per attribuire valore di separazione funzionale a un mero accordo di accesso alla rete e confondendo così la separazione tipica dei settori del gas e dell’energia elettrica — cui esclusivamente si riferisce la norma di interpretazione autentica di cui all’art. 5, comma 14-quinquies, D.L. 146/2021 — con la condivisione concorrenziale propria delle telecomunicazioni, che è di tutt’altra natura e risponde a una logica normativa opposta. Trattandosi di norma eccezionale, il comma 14-quinquies è di stretta interpretazione e non è suscettibile di applicazione estensiva al di fuori dei settori del gas e dell’energia elettrica.</w:t>
      </w:r>
    </w:p>
    <w:p w14:paraId="1A20002D" w14:textId="77777777" w:rsidR="00876D35" w:rsidRDefault="00A5569B">
      <w:pPr>
        <w:ind w:firstLine="708"/>
        <w:contextualSpacing/>
        <w:jc w:val="both"/>
      </w:pPr>
      <w:r>
        <w:t>Quanto alle restanti pronunce richiamate nel ricorso, si tratta di decisioni espressione di un orientamento minoritario, tutte anteriori alla sentenza della Corte di Cassazione n. 11479 del 28 aprile 2026 che — pronunciandosi per la prima volta in sede di legittimità, e proprio nei confronti di Wind Tre — ha definitivamente disatteso la tesi dell’irrilevanza dell’utilizzo c.d. virtuale della rete e dell’applicabilità del comma 14-quinquies al settore delle telecomunicazioni. L’orientamento invocato dalla Ricorrente deve pertanto ritenersi superato.</w:t>
      </w:r>
    </w:p>
    <w:p w14:paraId="1A20002E" w14:textId="77777777" w:rsidR="00876D35" w:rsidRDefault="00A5569B">
      <w:pPr>
        <w:ind w:firstLine="708"/>
        <w:contextualSpacing/>
        <w:jc w:val="both"/>
      </w:pPr>
      <w:r>
        <w:t>Il motivo va dunque integralmente respinto.</w:t>
      </w:r>
    </w:p>
    <w:p w14:paraId="1A200030" w14:textId="77777777" w:rsidR="00876D35" w:rsidRDefault="00A5569B" w:rsidP="00E46E73">
      <w:pPr>
        <w:ind w:firstLine="708"/>
        <w:contextualSpacing/>
        <w:jc w:val="both"/>
        <w:rPr>
          <w:b/>
          <w:bCs/>
        </w:rPr>
      </w:pPr>
      <w:r>
        <w:rPr>
          <w:b/>
          <w:bCs/>
        </w:rPr>
        <w:t>6) Sulla pretesa illegittimità della determinazione del canone, dedotta in via subordinata.</w:t>
      </w:r>
    </w:p>
    <w:p w14:paraId="44FAF042" w14:textId="77777777" w:rsidR="00E46E73" w:rsidRDefault="00A5569B">
      <w:pPr>
        <w:ind w:firstLine="708"/>
        <w:contextualSpacing/>
        <w:jc w:val="both"/>
      </w:pPr>
      <w:r>
        <w:t xml:space="preserve">La censura muove da un presupposto di fatto errato. </w:t>
      </w:r>
    </w:p>
    <w:p w14:paraId="1A200031" w14:textId="072C4018" w:rsidR="00876D35" w:rsidRDefault="00A5569B">
      <w:pPr>
        <w:ind w:firstLine="708"/>
        <w:contextualSpacing/>
        <w:jc w:val="both"/>
      </w:pPr>
      <w:r>
        <w:t>Contrariamente a quanto sostenuto dalla Ricorrente</w:t>
      </w:r>
      <w:r w:rsidRPr="00E46E73">
        <w:rPr>
          <w:b/>
          <w:bCs/>
          <w:u w:val="single"/>
        </w:rPr>
        <w:t>, il Comune non ha operato alcuna quantificazione induttiva del numero delle utenze:</w:t>
      </w:r>
      <w:r>
        <w:t xml:space="preserve"> preso atto dell’omessa dichiarazione e dell’omesso versamento, e riscontrata — sulla base della popolazione residente e dei dati ufficiali dell’Osservatorio sulle Comunicazioni AGCOM — la qualità di soggetto passivo della società per la sola quota fissa, </w:t>
      </w:r>
      <w:r w:rsidRPr="00E31699">
        <w:rPr>
          <w:b/>
          <w:bCs/>
          <w:u w:val="single"/>
        </w:rPr>
        <w:t>l’Ente ha applicato la misura minima stabilita direttamente dal Legislatore (Euro 800,00 annui, con aggiornamento ISTAT)</w:t>
      </w:r>
      <w:r w:rsidR="00E31699">
        <w:rPr>
          <w:b/>
          <w:bCs/>
          <w:u w:val="single"/>
        </w:rPr>
        <w:t xml:space="preserve">. </w:t>
      </w:r>
      <w:r>
        <w:t xml:space="preserve">Il comma 831 dispone infatti che </w:t>
      </w:r>
      <w:r>
        <w:rPr>
          <w:i/>
          <w:iCs/>
        </w:rPr>
        <w:t>"in ogni caso l’ammontare del canone dovuto a ciascun ente non può essere inferiore a euro 800"</w:t>
      </w:r>
      <w:r>
        <w:t>.</w:t>
      </w:r>
    </w:p>
    <w:p w14:paraId="1A200032" w14:textId="0DF8155D" w:rsidR="00876D35" w:rsidRDefault="00A5569B">
      <w:pPr>
        <w:ind w:firstLine="708"/>
        <w:contextualSpacing/>
        <w:jc w:val="both"/>
      </w:pPr>
      <w:r>
        <w:t>Nessuna "stima presuntiva delle utenze" è stata dunque posta a fondamento della pretesa: i dati AGCOM sono stati utilizzati al solo fine di riscontrare l’operatività della società nel territorio comunale</w:t>
      </w:r>
      <w:r w:rsidR="00E31699">
        <w:t>, non negata dallla ricorrente,</w:t>
      </w:r>
      <w:r>
        <w:t xml:space="preserve"> mentre il </w:t>
      </w:r>
      <w:r>
        <w:rPr>
          <w:i/>
          <w:iCs/>
        </w:rPr>
        <w:t>quantum</w:t>
      </w:r>
      <w:r>
        <w:t xml:space="preserve"> è quello minimo legale, dovuto a prescindere dal numero effettivo delle utenze servite.</w:t>
      </w:r>
    </w:p>
    <w:p w14:paraId="311D3D13" w14:textId="77777777" w:rsidR="00E31699" w:rsidRDefault="00A5569B">
      <w:pPr>
        <w:ind w:firstLine="708"/>
        <w:contextualSpacing/>
        <w:jc w:val="both"/>
      </w:pPr>
      <w:r>
        <w:lastRenderedPageBreak/>
        <w:t>In ogni caso, la situazione di incertezza sul numero delle utenze è stata determinata esclusivamente dalla condotta della stessa Ricorrente, che — in violazione dell’obbligo dichiarativo posto dal medesimo comma 831 (autodichiarazione da inviare, a mezzo PEC, entro il 30 aprile di ciascun anno) — non ha trasmesso al Comune la dichiarazione delle utenze attive per alcuna delle annualità in verifica, nonostante l’espressa richiesta formulata da Archivia Solution S.p.A. con PEC dell’8 gennaio 2026 (</w:t>
      </w:r>
      <w:r>
        <w:rPr>
          <w:b/>
          <w:bCs/>
        </w:rPr>
        <w:t>doc. 3</w:t>
      </w:r>
      <w:r>
        <w:t xml:space="preserve">). </w:t>
      </w:r>
    </w:p>
    <w:p w14:paraId="1A200033" w14:textId="01583CB3" w:rsidR="00876D35" w:rsidRDefault="00A5569B">
      <w:pPr>
        <w:ind w:firstLine="708"/>
        <w:contextualSpacing/>
        <w:jc w:val="both"/>
      </w:pPr>
      <w:r>
        <w:t>Come chiarito dal Tribunale di Napoli con la sentenza n. 5948/2026 già richiamata (</w:t>
      </w:r>
      <w:r>
        <w:rPr>
          <w:b/>
          <w:bCs/>
        </w:rPr>
        <w:t>doc. 13</w:t>
      </w:r>
      <w:r>
        <w:t>), il ricorso a criteri presuntivi fondati su dati AGCOM costituisce una legittima modalità ricostruttiva del presupposto impositivo, in ogni caso giustificata dalla mancata collaborazione del contribuente, il quale non può invocare a proprio vantaggio una situazione di incertezza determinata dalla sua stessa condotta.</w:t>
      </w:r>
    </w:p>
    <w:p w14:paraId="1A200034" w14:textId="77777777" w:rsidR="00876D35" w:rsidRDefault="00A5569B">
      <w:pPr>
        <w:ind w:firstLine="708"/>
        <w:contextualSpacing/>
        <w:jc w:val="both"/>
      </w:pPr>
      <w:r>
        <w:t>Spetta dunque a Wind Tre, che ha determinato con la propria inadempienza l’applicazione della misura minima, fornire l’eventuale prova contraria, dimostrando documentalmente la propria estraneità al territorio comunale ovvero il numero esatto delle utenze servite nel Comune di Castelsaraceno per gli anni 2021, 2022, 2023 e 2024.</w:t>
      </w:r>
    </w:p>
    <w:p w14:paraId="1A200035" w14:textId="77777777" w:rsidR="00876D35" w:rsidRDefault="00A5569B">
      <w:pPr>
        <w:ind w:firstLine="708"/>
        <w:contextualSpacing/>
        <w:jc w:val="both"/>
      </w:pPr>
      <w:r>
        <w:t>Anche tale censura, del tutto subordinata, va quindi respinta.</w:t>
      </w:r>
    </w:p>
    <w:p w14:paraId="1A200037" w14:textId="77777777" w:rsidR="00876D35" w:rsidRDefault="00A5569B" w:rsidP="00E31699">
      <w:pPr>
        <w:ind w:firstLine="708"/>
        <w:contextualSpacing/>
        <w:jc w:val="both"/>
        <w:rPr>
          <w:b/>
          <w:bCs/>
        </w:rPr>
      </w:pPr>
      <w:r>
        <w:rPr>
          <w:b/>
          <w:bCs/>
        </w:rPr>
        <w:t>7) Sull’istanza di sospensione dell’esecutività dell’Avviso ex art. 47 D.lgs. n. 546/1992.</w:t>
      </w:r>
    </w:p>
    <w:p w14:paraId="1A200038" w14:textId="77777777" w:rsidR="00876D35" w:rsidRDefault="00A5569B">
      <w:pPr>
        <w:ind w:firstLine="708"/>
        <w:contextualSpacing/>
        <w:jc w:val="both"/>
      </w:pPr>
      <w:r>
        <w:t xml:space="preserve">L’istanza cautelare proposta da Wind Tre è infondata sia nel </w:t>
      </w:r>
      <w:r>
        <w:rPr>
          <w:i/>
          <w:iCs/>
        </w:rPr>
        <w:t>fumus boni iuris</w:t>
      </w:r>
      <w:r>
        <w:t xml:space="preserve"> sia nel </w:t>
      </w:r>
      <w:r>
        <w:rPr>
          <w:i/>
          <w:iCs/>
        </w:rPr>
        <w:t>periculum in mora</w:t>
      </w:r>
      <w:r>
        <w:t>.</w:t>
      </w:r>
    </w:p>
    <w:p w14:paraId="1A200039" w14:textId="49BCD586" w:rsidR="00876D35" w:rsidRDefault="00A5569B">
      <w:pPr>
        <w:ind w:firstLine="708"/>
        <w:contextualSpacing/>
        <w:jc w:val="both"/>
      </w:pPr>
      <w:r>
        <w:t xml:space="preserve">Sotto il profilo del </w:t>
      </w:r>
      <w:r>
        <w:rPr>
          <w:i/>
          <w:iCs/>
        </w:rPr>
        <w:t>fumus</w:t>
      </w:r>
      <w:r>
        <w:t xml:space="preserve">, per tutto quanto esposto nei motivi che precedono, la pretesa del Comune è pienamente fondata in diritto e trova conferma nel consolidato </w:t>
      </w:r>
      <w:r w:rsidRPr="00E31699">
        <w:rPr>
          <w:b/>
          <w:bCs/>
          <w:u w:val="single"/>
        </w:rPr>
        <w:t>orientamento della giurisprudenza di merito, da ultimo cristallizzato dalla Corte di Cassazione con la sentenza n. 11479/2026</w:t>
      </w:r>
      <w:r>
        <w:t>, resa proprio nei confronti dell’odierna Ricorrente.</w:t>
      </w:r>
    </w:p>
    <w:p w14:paraId="12FF4251" w14:textId="77777777" w:rsidR="00E31699" w:rsidRDefault="00A5569B">
      <w:pPr>
        <w:ind w:firstLine="708"/>
        <w:contextualSpacing/>
        <w:jc w:val="both"/>
      </w:pPr>
      <w:r>
        <w:t xml:space="preserve">Quanto al </w:t>
      </w:r>
      <w:r w:rsidRPr="00E31699">
        <w:rPr>
          <w:b/>
          <w:bCs/>
          <w:i/>
          <w:iCs/>
          <w:u w:val="single"/>
        </w:rPr>
        <w:t>periculum in mora</w:t>
      </w:r>
      <w:r w:rsidRPr="00E31699">
        <w:rPr>
          <w:b/>
          <w:bCs/>
          <w:u w:val="single"/>
        </w:rPr>
        <w:t>, lo stesso non è stato provato</w:t>
      </w:r>
      <w:r>
        <w:t xml:space="preserve"> e non può ritenersi </w:t>
      </w:r>
      <w:r>
        <w:rPr>
          <w:i/>
          <w:iCs/>
        </w:rPr>
        <w:t>in re ipsa</w:t>
      </w:r>
      <w:r>
        <w:t xml:space="preserve">. </w:t>
      </w:r>
    </w:p>
    <w:p w14:paraId="1A20003A" w14:textId="6C584FEE" w:rsidR="00876D35" w:rsidRDefault="00A5569B">
      <w:pPr>
        <w:ind w:firstLine="708"/>
        <w:contextualSpacing/>
        <w:jc w:val="both"/>
      </w:pPr>
      <w:r>
        <w:t>Non può seriamente sostenersi che il pagamento della somma di Euro 4.828,00 possa arrecare un danno grave e irreparabile a una società delle dimensioni e della capacità economica di Wind Tre S.p.A., uno dei principali operatori telefonici nazionali, con ricavi nell’ordine di miliardi di euro.</w:t>
      </w:r>
    </w:p>
    <w:p w14:paraId="41F25F00" w14:textId="77777777" w:rsidR="00E31699" w:rsidRDefault="00A5569B">
      <w:pPr>
        <w:ind w:firstLine="708"/>
        <w:contextualSpacing/>
        <w:jc w:val="both"/>
      </w:pPr>
      <w:r>
        <w:t xml:space="preserve">Né coglie nel segno l’argomento — su cui l’istanza interamente si regge — della pretesa considerazione "cumulativa" delle pretese azionate da altri Comuni sull’intero territorio nazionale. </w:t>
      </w:r>
    </w:p>
    <w:p w14:paraId="6F04BB35" w14:textId="428E661E" w:rsidR="00E31699" w:rsidRDefault="00E31699">
      <w:pPr>
        <w:ind w:firstLine="708"/>
        <w:contextualSpacing/>
        <w:jc w:val="both"/>
      </w:pPr>
      <w:r>
        <w:lastRenderedPageBreak/>
        <w:t xml:space="preserve">Ed infatti, </w:t>
      </w:r>
      <w:r w:rsidRPr="00E31699">
        <w:rPr>
          <w:b/>
          <w:bCs/>
          <w:u w:val="single"/>
        </w:rPr>
        <w:t>a parte la considerazione che a fronte del pagametno del tributo esiste il vantaggio economico che la società trae in ogni singolo Comune</w:t>
      </w:r>
      <w:r>
        <w:t>, i</w:t>
      </w:r>
      <w:r w:rsidR="00A5569B">
        <w:t xml:space="preserve">l </w:t>
      </w:r>
      <w:r w:rsidR="00A5569B" w:rsidRPr="00E31699">
        <w:rPr>
          <w:i/>
          <w:iCs/>
          <w:u w:val="single"/>
        </w:rPr>
        <w:t>periculum</w:t>
      </w:r>
      <w:r w:rsidR="00A5569B" w:rsidRPr="00E31699">
        <w:rPr>
          <w:u w:val="single"/>
        </w:rPr>
        <w:t xml:space="preserve"> ex art. 47 D.lgs. n. 546/1992 va apprezzato con esclusivo riferimento all’esecuzione dell’atto impugnato nel presente giudizio, non già ad atti diversi, emessi da enti diversi</w:t>
      </w:r>
      <w:r w:rsidR="00A5569B">
        <w:t xml:space="preserve">, oggetto di distinti giudizi dinanzi ad altri organi giudiziari, dei quali nulla è dato conoscere in questa sede e dei quali, comunque, la Ricorrente non ha fornito alcuna prova, né quanto al numero né quanto agli importi. </w:t>
      </w:r>
    </w:p>
    <w:p w14:paraId="1A20003B" w14:textId="0A3359B2" w:rsidR="00876D35" w:rsidRDefault="00A5569B">
      <w:pPr>
        <w:ind w:firstLine="708"/>
        <w:contextualSpacing/>
        <w:jc w:val="both"/>
      </w:pPr>
      <w:r>
        <w:t xml:space="preserve">Diversamente opinando, qualsiasi contribuente di rilievo nazionale otterrebbe automaticamente la sospensione di ogni singolo atto impositivo per il solo fatto di esserne destinatario in più territori: il che si risolverebbe nella sistematica paralisi della riscossione delle entrate degli enti locali, in aperto contrasto con la </w:t>
      </w:r>
      <w:r w:rsidRPr="00E31699">
        <w:rPr>
          <w:i/>
          <w:iCs/>
        </w:rPr>
        <w:t>ratio</w:t>
      </w:r>
      <w:r>
        <w:t xml:space="preserve"> dell’istituto cautelare, che presuppone un pregiudizio grave e irreparabile concretamente riferibile all’atto di cui si chiede la sospensione.</w:t>
      </w:r>
    </w:p>
    <w:p w14:paraId="1A20003C" w14:textId="77777777" w:rsidR="00876D35" w:rsidRDefault="00A5569B">
      <w:pPr>
        <w:ind w:firstLine="708"/>
        <w:contextualSpacing/>
        <w:jc w:val="both"/>
      </w:pPr>
      <w:r>
        <w:t>L’istanza va pertanto rigettata.</w:t>
      </w:r>
    </w:p>
    <w:p w14:paraId="1A20003E" w14:textId="77777777" w:rsidR="00876D35" w:rsidRDefault="00A5569B" w:rsidP="00E31699">
      <w:pPr>
        <w:ind w:firstLine="708"/>
        <w:contextualSpacing/>
        <w:jc w:val="both"/>
        <w:rPr>
          <w:b/>
          <w:bCs/>
        </w:rPr>
      </w:pPr>
      <w:r>
        <w:rPr>
          <w:b/>
          <w:bCs/>
        </w:rPr>
        <w:t>Il ricorso è infondato e va rigettato.</w:t>
      </w:r>
    </w:p>
    <w:p w14:paraId="4AD491B5" w14:textId="77777777" w:rsidR="00876D35" w:rsidRDefault="00A5569B">
      <w:pPr>
        <w:contextualSpacing/>
        <w:jc w:val="center"/>
      </w:pPr>
      <w:r>
        <w:t>* * *</w:t>
      </w:r>
    </w:p>
    <w:p w14:paraId="1A20003F" w14:textId="77777777" w:rsidR="00876D35" w:rsidRDefault="00A5569B">
      <w:pPr>
        <w:ind w:firstLine="708"/>
        <w:contextualSpacing/>
        <w:jc w:val="both"/>
      </w:pPr>
      <w:r>
        <w:t>Per tutto quanto sopra esposto, il Comune di Castelsaraceno, in persona del Sindaco e legale rappresentante pro tempore, come in epigrafe rappresentato e domiciliato</w:t>
      </w:r>
    </w:p>
    <w:p w14:paraId="480C810B" w14:textId="77777777" w:rsidR="0083362F" w:rsidRPr="0083362F" w:rsidRDefault="0083362F" w:rsidP="0083362F">
      <w:pPr>
        <w:ind w:firstLine="708"/>
        <w:contextualSpacing/>
        <w:jc w:val="center"/>
        <w:rPr>
          <w:b/>
          <w:bCs/>
        </w:rPr>
      </w:pPr>
      <w:r>
        <w:rPr>
          <w:b/>
          <w:bCs/>
        </w:rPr>
        <w:t>conclude</w:t>
      </w:r>
    </w:p>
    <w:p w14:paraId="1A200040" w14:textId="77777777" w:rsidR="00876D35" w:rsidRDefault="00A5569B">
      <w:pPr>
        <w:contextualSpacing/>
        <w:jc w:val="both"/>
      </w:pPr>
      <w:r>
        <w:t>affinché l’Ill.ma Corte di Giustizia Tributaria di Primo Grado di Potenza, disattesa ogni contraria istanza ed eccezione, voglia:</w:t>
      </w:r>
    </w:p>
    <w:p w14:paraId="1A200041" w14:textId="77777777" w:rsidR="00876D35" w:rsidRDefault="00A5569B">
      <w:pPr>
        <w:contextualSpacing/>
        <w:jc w:val="both"/>
      </w:pPr>
      <w:r>
        <w:rPr>
          <w:b/>
          <w:bCs/>
        </w:rPr>
        <w:t>rigettare il ricorso proposto</w:t>
      </w:r>
      <w:r>
        <w:t>, confermando la legittimità della pretesa dell’Ente con ogni conseguenziale statuizione di legge.</w:t>
      </w:r>
    </w:p>
    <w:p w14:paraId="1A200042" w14:textId="77777777" w:rsidR="00876D35" w:rsidRDefault="00A5569B">
      <w:pPr>
        <w:contextualSpacing/>
        <w:jc w:val="both"/>
      </w:pPr>
      <w:r>
        <w:t>In via gradata, rideterminare il Canone e la sanzione nella misura che risulterà a seguito dell’eventuale fase istruttoria sulla base delle prove offerte dal ricorrente.</w:t>
      </w:r>
    </w:p>
    <w:p w14:paraId="1A200043" w14:textId="77777777" w:rsidR="00876D35" w:rsidRDefault="00A5569B">
      <w:pPr>
        <w:contextualSpacing/>
        <w:jc w:val="both"/>
      </w:pPr>
      <w:r>
        <w:t>Con vittoria di spese e competenze di giudizio.</w:t>
      </w:r>
    </w:p>
    <w:p w14:paraId="1A200044" w14:textId="77777777" w:rsidR="00876D35" w:rsidRPr="00E31699" w:rsidRDefault="00A5569B">
      <w:pPr>
        <w:contextualSpacing/>
        <w:jc w:val="both"/>
        <w:rPr>
          <w:b/>
          <w:bCs/>
        </w:rPr>
      </w:pPr>
      <w:r w:rsidRPr="00E31699">
        <w:rPr>
          <w:b/>
          <w:bCs/>
        </w:rPr>
        <w:t>Si chiede di essere autorizzati alla trattazione della controversia con collegamento da remoto.</w:t>
      </w:r>
    </w:p>
    <w:p w14:paraId="1A4FFF77" w14:textId="77777777" w:rsidR="00876D35" w:rsidRDefault="00A5569B">
      <w:pPr>
        <w:contextualSpacing/>
        <w:jc w:val="center"/>
      </w:pPr>
      <w:r>
        <w:t>* * *</w:t>
      </w:r>
    </w:p>
    <w:p w14:paraId="1A200047" w14:textId="77777777" w:rsidR="00876D35" w:rsidRDefault="00A5569B" w:rsidP="005B4226">
      <w:pPr>
        <w:contextualSpacing/>
        <w:jc w:val="center"/>
        <w:rPr>
          <w:b/>
          <w:bCs/>
        </w:rPr>
      </w:pPr>
      <w:r>
        <w:rPr>
          <w:b/>
          <w:bCs/>
        </w:rPr>
        <w:t>Attestazione conformità degli atti depositati</w:t>
      </w:r>
    </w:p>
    <w:p w14:paraId="1A200048" w14:textId="77777777" w:rsidR="00876D35" w:rsidRDefault="00A5569B">
      <w:pPr>
        <w:contextualSpacing/>
        <w:jc w:val="both"/>
      </w:pPr>
      <w:r>
        <w:t>Io sottoscritta Avv. Maria Voccia De Felice (c.f. VCCMRA66M64G813U), in qualità di difensore nominato nel presente procedimento, attesto, ai sensi dell’art. 22, co. 2, d.lgs. 82/2005, la conformità con gli originali delle copie per immagine dei seguenti documenti depositati:</w:t>
      </w:r>
    </w:p>
    <w:p w14:paraId="1A200049" w14:textId="77777777" w:rsidR="00876D35" w:rsidRDefault="00A5569B">
      <w:pPr>
        <w:contextualSpacing/>
        <w:jc w:val="both"/>
      </w:pPr>
      <w:r>
        <w:rPr>
          <w:b/>
          <w:bCs/>
        </w:rPr>
        <w:t xml:space="preserve">Doc. A – </w:t>
      </w:r>
      <w:r>
        <w:t>Ricorso di WIND TRE S.p.A. (atto introduttivo del giudizio)</w:t>
      </w:r>
    </w:p>
    <w:p w14:paraId="1A20004A" w14:textId="77777777" w:rsidR="00876D35" w:rsidRDefault="00A5569B">
      <w:pPr>
        <w:contextualSpacing/>
        <w:jc w:val="both"/>
      </w:pPr>
      <w:r>
        <w:rPr>
          <w:b/>
          <w:bCs/>
        </w:rPr>
        <w:lastRenderedPageBreak/>
        <w:t xml:space="preserve">Doc. B – </w:t>
      </w:r>
      <w:r>
        <w:t>Delibera di Costituzione in giudizio del Comune di Castelsaraceno</w:t>
      </w:r>
    </w:p>
    <w:p w14:paraId="1A20004B" w14:textId="77777777" w:rsidR="00876D35" w:rsidRDefault="00A5569B">
      <w:pPr>
        <w:contextualSpacing/>
        <w:jc w:val="both"/>
      </w:pPr>
      <w:r>
        <w:rPr>
          <w:b/>
          <w:bCs/>
        </w:rPr>
        <w:t xml:space="preserve">Doc. 1 – </w:t>
      </w:r>
      <w:r>
        <w:t>Regolamento CUP (Delibera C.C. n. 14 del 30.04.2021)</w:t>
      </w:r>
    </w:p>
    <w:p w14:paraId="1A20004C" w14:textId="77777777" w:rsidR="00876D35" w:rsidRDefault="00A5569B">
      <w:pPr>
        <w:contextualSpacing/>
        <w:jc w:val="both"/>
      </w:pPr>
      <w:r>
        <w:rPr>
          <w:b/>
          <w:bCs/>
        </w:rPr>
        <w:t xml:space="preserve">Doc. 2 – </w:t>
      </w:r>
      <w:r>
        <w:t>Determinazione di affidamento del servizio di supporto ad Archivia Solution S.p.A. R.G. n. 413 del 24.11.2025</w:t>
      </w:r>
    </w:p>
    <w:p w14:paraId="1A20004D" w14:textId="77777777" w:rsidR="00876D35" w:rsidRDefault="00A5569B">
      <w:pPr>
        <w:contextualSpacing/>
        <w:jc w:val="both"/>
      </w:pPr>
      <w:r>
        <w:rPr>
          <w:b/>
          <w:bCs/>
        </w:rPr>
        <w:t xml:space="preserve">Doc. 3 – </w:t>
      </w:r>
      <w:r>
        <w:t>Richiesta dichiarazione utenze attive e versamenti trasmessa da Archivia Solution S.p.A. a mezzo PEC dell’8.1.2026, con ricevute di accettazione e consegna</w:t>
      </w:r>
    </w:p>
    <w:p w14:paraId="1A20004E" w14:textId="77777777" w:rsidR="00876D35" w:rsidRDefault="00A5569B">
      <w:pPr>
        <w:contextualSpacing/>
        <w:jc w:val="both"/>
      </w:pPr>
      <w:r>
        <w:rPr>
          <w:b/>
          <w:bCs/>
        </w:rPr>
        <w:t xml:space="preserve">Doc. 4 – </w:t>
      </w:r>
      <w:r>
        <w:t>Avviso di accertamento esecutivo n. 6 del 24.03.2026</w:t>
      </w:r>
    </w:p>
    <w:p w14:paraId="1A20004F" w14:textId="77777777" w:rsidR="00876D35" w:rsidRDefault="00A5569B">
      <w:pPr>
        <w:contextualSpacing/>
        <w:jc w:val="both"/>
      </w:pPr>
      <w:r>
        <w:rPr>
          <w:b/>
          <w:bCs/>
        </w:rPr>
        <w:t xml:space="preserve">Doc. 5 – </w:t>
      </w:r>
      <w:r>
        <w:t>Istanza di annullamento in autotutela di Wind Tre S.p.A. del 30.03.2026</w:t>
      </w:r>
    </w:p>
    <w:p w14:paraId="1A200050" w14:textId="77777777" w:rsidR="00876D35" w:rsidRDefault="00A5569B">
      <w:pPr>
        <w:contextualSpacing/>
        <w:jc w:val="both"/>
      </w:pPr>
      <w:r>
        <w:rPr>
          <w:b/>
          <w:bCs/>
        </w:rPr>
        <w:t xml:space="preserve">Doc. 6 – </w:t>
      </w:r>
      <w:r>
        <w:t>Provvedimento di rigetto dell’istanza in autotutela del 28.04.2026</w:t>
      </w:r>
    </w:p>
    <w:p w14:paraId="1A200051" w14:textId="77777777" w:rsidR="00876D35" w:rsidRDefault="00A5569B">
      <w:pPr>
        <w:contextualSpacing/>
        <w:jc w:val="both"/>
      </w:pPr>
      <w:r>
        <w:rPr>
          <w:b/>
          <w:bCs/>
        </w:rPr>
        <w:t xml:space="preserve">Doc. 7 – </w:t>
      </w:r>
      <w:r>
        <w:t>Circolare MEF n. 1/DF del 22.05.2026</w:t>
      </w:r>
    </w:p>
    <w:p w14:paraId="1A200052" w14:textId="77777777" w:rsidR="00876D35" w:rsidRDefault="00A5569B">
      <w:pPr>
        <w:contextualSpacing/>
        <w:jc w:val="both"/>
      </w:pPr>
      <w:r>
        <w:rPr>
          <w:b/>
          <w:bCs/>
        </w:rPr>
        <w:t xml:space="preserve">Doc. 8 – </w:t>
      </w:r>
      <w:r>
        <w:t>Cass. Civ., Sez. III, sentenza n. 11479 del 28.04.2026</w:t>
      </w:r>
    </w:p>
    <w:p w14:paraId="1A200053" w14:textId="77777777" w:rsidR="00876D35" w:rsidRDefault="00A5569B">
      <w:pPr>
        <w:contextualSpacing/>
        <w:jc w:val="both"/>
      </w:pPr>
      <w:r>
        <w:rPr>
          <w:b/>
          <w:bCs/>
        </w:rPr>
        <w:t xml:space="preserve">Doc. 9 – </w:t>
      </w:r>
      <w:r>
        <w:t>Circolare MEF n. 1/DF del 20.01.2009</w:t>
      </w:r>
    </w:p>
    <w:p w14:paraId="1A200054" w14:textId="77777777" w:rsidR="00876D35" w:rsidRDefault="00A5569B">
      <w:pPr>
        <w:contextualSpacing/>
        <w:jc w:val="both"/>
      </w:pPr>
      <w:r>
        <w:rPr>
          <w:b/>
          <w:bCs/>
        </w:rPr>
        <w:t xml:space="preserve">Doc. 10 – </w:t>
      </w:r>
      <w:r>
        <w:t>Dati dell’Osservatorio sulle Comunicazioni AGCOM</w:t>
      </w:r>
    </w:p>
    <w:p w14:paraId="1A200055" w14:textId="77777777" w:rsidR="00876D35" w:rsidRDefault="00A5569B">
      <w:pPr>
        <w:contextualSpacing/>
        <w:jc w:val="both"/>
      </w:pPr>
      <w:r>
        <w:rPr>
          <w:b/>
          <w:bCs/>
        </w:rPr>
        <w:t xml:space="preserve">Doc. 11 – </w:t>
      </w:r>
      <w:r>
        <w:t>Sentenza Tribunale di Bergamo n. 1523 del 25.11.2025</w:t>
      </w:r>
    </w:p>
    <w:p w14:paraId="1A200056" w14:textId="77777777" w:rsidR="00876D35" w:rsidRDefault="00A5569B">
      <w:pPr>
        <w:contextualSpacing/>
        <w:jc w:val="both"/>
      </w:pPr>
      <w:r>
        <w:rPr>
          <w:b/>
          <w:bCs/>
        </w:rPr>
        <w:t xml:space="preserve">Doc. 12 – </w:t>
      </w:r>
      <w:r>
        <w:t>Sentenza Tribunale di Bergamo n. 289 del 21.03.2026</w:t>
      </w:r>
    </w:p>
    <w:p w14:paraId="1A200057" w14:textId="77777777" w:rsidR="00876D35" w:rsidRDefault="00A5569B">
      <w:pPr>
        <w:contextualSpacing/>
        <w:jc w:val="both"/>
      </w:pPr>
      <w:r>
        <w:rPr>
          <w:b/>
          <w:bCs/>
        </w:rPr>
        <w:t xml:space="preserve">Doc. 13 – </w:t>
      </w:r>
      <w:r>
        <w:t>Sentenza Tribunale di Napoli n. 5948 del 13.04.2026 (R.G. 16629/2025)</w:t>
      </w:r>
    </w:p>
    <w:p w14:paraId="1A200058" w14:textId="77777777" w:rsidR="00876D35" w:rsidRDefault="00A5569B">
      <w:pPr>
        <w:contextualSpacing/>
        <w:jc w:val="both"/>
      </w:pPr>
      <w:r>
        <w:rPr>
          <w:b/>
          <w:bCs/>
        </w:rPr>
        <w:t xml:space="preserve">Doc. 14 – </w:t>
      </w:r>
      <w:r>
        <w:t>Sentenza Tribunale di Treviso n. 240 del 20.02.2025 (appello)</w:t>
      </w:r>
    </w:p>
    <w:p w14:paraId="1A200059" w14:textId="77777777" w:rsidR="00876D35" w:rsidRDefault="00A5569B">
      <w:pPr>
        <w:contextualSpacing/>
        <w:jc w:val="both"/>
      </w:pPr>
      <w:r>
        <w:rPr>
          <w:b/>
          <w:bCs/>
        </w:rPr>
        <w:t xml:space="preserve">Doc. 15 – </w:t>
      </w:r>
      <w:r>
        <w:t>Sentenza Tribunale di Piacenza n. 207 del 06.05.2025</w:t>
      </w:r>
    </w:p>
    <w:p w14:paraId="1A20005A" w14:textId="77777777" w:rsidR="00876D35" w:rsidRDefault="00A5569B">
      <w:pPr>
        <w:contextualSpacing/>
        <w:jc w:val="both"/>
      </w:pPr>
      <w:r>
        <w:rPr>
          <w:b/>
          <w:bCs/>
        </w:rPr>
        <w:t xml:space="preserve">Doc. 16 – </w:t>
      </w:r>
      <w:r>
        <w:t>Sentenza Tribunale di Piacenza, II grado, n. 350 del 16.07.2025 (R.G. 1562/2024)</w:t>
      </w:r>
    </w:p>
    <w:p w14:paraId="1A20005B" w14:textId="77777777" w:rsidR="00876D35" w:rsidRDefault="00A5569B">
      <w:pPr>
        <w:contextualSpacing/>
        <w:jc w:val="both"/>
      </w:pPr>
      <w:r>
        <w:rPr>
          <w:b/>
          <w:bCs/>
        </w:rPr>
        <w:t xml:space="preserve">Doc. 17 – </w:t>
      </w:r>
      <w:r>
        <w:t>Sentenza Tribunale di Ivrea, II grado, n. 1255 del 29.09.2025</w:t>
      </w:r>
    </w:p>
    <w:p w14:paraId="1A20005C" w14:textId="77777777" w:rsidR="00876D35" w:rsidRDefault="00A5569B">
      <w:pPr>
        <w:contextualSpacing/>
        <w:jc w:val="both"/>
      </w:pPr>
      <w:r>
        <w:rPr>
          <w:b/>
          <w:bCs/>
        </w:rPr>
        <w:t xml:space="preserve">Doc. 18 – </w:t>
      </w:r>
      <w:r>
        <w:t>Sentenza Tribunale di Bolzano n. 431 del 08.04.2024</w:t>
      </w:r>
    </w:p>
    <w:p w14:paraId="1A20005D" w14:textId="77777777" w:rsidR="00876D35" w:rsidRDefault="00A5569B">
      <w:pPr>
        <w:contextualSpacing/>
        <w:jc w:val="both"/>
      </w:pPr>
      <w:r>
        <w:rPr>
          <w:b/>
          <w:bCs/>
        </w:rPr>
        <w:t xml:space="preserve">Doc. 19 – </w:t>
      </w:r>
      <w:r>
        <w:t>Sentenza Tribunale di Bolzano n. 908 del 15.10.2025</w:t>
      </w:r>
    </w:p>
    <w:p w14:paraId="1A20005F" w14:textId="72B59EEF" w:rsidR="00876D35" w:rsidRDefault="00A5569B">
      <w:pPr>
        <w:contextualSpacing/>
        <w:jc w:val="both"/>
      </w:pPr>
      <w:r>
        <w:t xml:space="preserve">Castelsaraceno – Salerno, lì </w:t>
      </w:r>
      <w:r w:rsidR="00E31699">
        <w:t>21.07.2026</w:t>
      </w:r>
    </w:p>
    <w:p w14:paraId="3BD6DABC" w14:textId="77777777" w:rsidR="00876D35" w:rsidRDefault="00876D35">
      <w:pPr>
        <w:contextualSpacing/>
      </w:pPr>
    </w:p>
    <w:p w14:paraId="3C923597" w14:textId="77777777" w:rsidR="00876D35" w:rsidRDefault="00A5569B" w:rsidP="00324378">
      <w:pPr>
        <w:contextualSpacing/>
        <w:jc w:val="right"/>
      </w:pPr>
      <w:r>
        <w:rPr>
          <w:b/>
          <w:bCs/>
        </w:rPr>
        <w:t>Avv. Maria Voccia De Felice</w:t>
      </w:r>
    </w:p>
    <w:p w14:paraId="43D76712" w14:textId="6F6DD4B1" w:rsidR="00876D35" w:rsidRDefault="00876D35">
      <w:pPr>
        <w:contextualSpacing/>
        <w:jc w:val="both"/>
      </w:pPr>
    </w:p>
    <w:sectPr w:rsidR="00876D35" w:rsidSect="00DB0D26">
      <w:footerReference w:type="default" r:id="rId10"/>
      <w:pgSz w:w="11906" w:h="16838"/>
      <w:pgMar w:top="426"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2F9C" w14:textId="77777777" w:rsidR="00E61C1E" w:rsidRDefault="00E61C1E" w:rsidP="00F2260C">
      <w:pPr>
        <w:spacing w:line="240" w:lineRule="auto"/>
      </w:pPr>
      <w:r>
        <w:separator/>
      </w:r>
    </w:p>
  </w:endnote>
  <w:endnote w:type="continuationSeparator" w:id="0">
    <w:p w14:paraId="17808F62" w14:textId="77777777" w:rsidR="00E61C1E" w:rsidRDefault="00E61C1E" w:rsidP="00F22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756698"/>
      <w:docPartObj>
        <w:docPartGallery w:val="Page Numbers (Bottom of Page)"/>
        <w:docPartUnique/>
      </w:docPartObj>
    </w:sdtPr>
    <w:sdtEndPr/>
    <w:sdtContent>
      <w:p w14:paraId="2DA713F1" w14:textId="4CA17304" w:rsidR="00F2260C" w:rsidRDefault="00F2260C">
        <w:pPr>
          <w:pStyle w:val="Pidipagina"/>
          <w:jc w:val="center"/>
        </w:pPr>
        <w:r>
          <w:fldChar w:fldCharType="begin"/>
        </w:r>
        <w:r>
          <w:instrText>PAGE   \* MERGEFORMAT</w:instrText>
        </w:r>
        <w:r>
          <w:fldChar w:fldCharType="separate"/>
        </w:r>
        <w:r w:rsidR="00A5569B">
          <w:rPr>
            <w:noProof/>
          </w:rPr>
          <w:t>20</w:t>
        </w:r>
        <w:r>
          <w:fldChar w:fldCharType="end"/>
        </w:r>
      </w:p>
    </w:sdtContent>
  </w:sdt>
  <w:p w14:paraId="7DB4D8C4" w14:textId="77777777" w:rsidR="00F2260C" w:rsidRDefault="00F2260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AAB2" w14:textId="77777777" w:rsidR="00E61C1E" w:rsidRDefault="00E61C1E" w:rsidP="00F2260C">
      <w:pPr>
        <w:spacing w:line="240" w:lineRule="auto"/>
      </w:pPr>
      <w:r>
        <w:separator/>
      </w:r>
    </w:p>
  </w:footnote>
  <w:footnote w:type="continuationSeparator" w:id="0">
    <w:p w14:paraId="4B1716BE" w14:textId="77777777" w:rsidR="00E61C1E" w:rsidRDefault="00E61C1E" w:rsidP="00F226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AD378A7"/>
    <w:multiLevelType w:val="hybridMultilevel"/>
    <w:tmpl w:val="27F4FF0C"/>
    <w:lvl w:ilvl="0" w:tplc="FFFFFFFF">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41007F"/>
    <w:multiLevelType w:val="hybridMultilevel"/>
    <w:tmpl w:val="90D4B6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0002588"/>
    <w:multiLevelType w:val="hybridMultilevel"/>
    <w:tmpl w:val="E58CCC8E"/>
    <w:lvl w:ilvl="0" w:tplc="20AA60E2">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3015AAC"/>
    <w:multiLevelType w:val="hybridMultilevel"/>
    <w:tmpl w:val="62D041DA"/>
    <w:lvl w:ilvl="0" w:tplc="D28034FC">
      <w:start w:val="1"/>
      <w:numFmt w:val="bullet"/>
      <w:lvlText w:val="●"/>
      <w:lvlJc w:val="left"/>
      <w:pPr>
        <w:ind w:left="720" w:hanging="360"/>
      </w:pPr>
    </w:lvl>
    <w:lvl w:ilvl="1" w:tplc="F59AB2E0">
      <w:start w:val="1"/>
      <w:numFmt w:val="bullet"/>
      <w:lvlText w:val="○"/>
      <w:lvlJc w:val="left"/>
      <w:pPr>
        <w:ind w:left="1440" w:hanging="360"/>
      </w:pPr>
    </w:lvl>
    <w:lvl w:ilvl="2" w:tplc="EE2CA086">
      <w:start w:val="1"/>
      <w:numFmt w:val="bullet"/>
      <w:lvlText w:val="■"/>
      <w:lvlJc w:val="left"/>
      <w:pPr>
        <w:ind w:left="2160" w:hanging="360"/>
      </w:pPr>
    </w:lvl>
    <w:lvl w:ilvl="3" w:tplc="B184CB2A">
      <w:start w:val="1"/>
      <w:numFmt w:val="bullet"/>
      <w:lvlText w:val="●"/>
      <w:lvlJc w:val="left"/>
      <w:pPr>
        <w:ind w:left="2880" w:hanging="360"/>
      </w:pPr>
    </w:lvl>
    <w:lvl w:ilvl="4" w:tplc="A5924892">
      <w:start w:val="1"/>
      <w:numFmt w:val="bullet"/>
      <w:lvlText w:val="○"/>
      <w:lvlJc w:val="left"/>
      <w:pPr>
        <w:ind w:left="3600" w:hanging="360"/>
      </w:pPr>
    </w:lvl>
    <w:lvl w:ilvl="5" w:tplc="5D609D60">
      <w:start w:val="1"/>
      <w:numFmt w:val="bullet"/>
      <w:lvlText w:val="■"/>
      <w:lvlJc w:val="left"/>
      <w:pPr>
        <w:ind w:left="4320" w:hanging="360"/>
      </w:pPr>
    </w:lvl>
    <w:lvl w:ilvl="6" w:tplc="E8EAE74C">
      <w:start w:val="1"/>
      <w:numFmt w:val="bullet"/>
      <w:lvlText w:val="●"/>
      <w:lvlJc w:val="left"/>
      <w:pPr>
        <w:ind w:left="5040" w:hanging="360"/>
      </w:pPr>
    </w:lvl>
    <w:lvl w:ilvl="7" w:tplc="FECC7DEE">
      <w:start w:val="1"/>
      <w:numFmt w:val="bullet"/>
      <w:lvlText w:val="●"/>
      <w:lvlJc w:val="left"/>
      <w:pPr>
        <w:ind w:left="5760" w:hanging="360"/>
      </w:pPr>
    </w:lvl>
    <w:lvl w:ilvl="8" w:tplc="80E2D824">
      <w:start w:val="1"/>
      <w:numFmt w:val="bullet"/>
      <w:lvlText w:val="●"/>
      <w:lvlJc w:val="left"/>
      <w:pPr>
        <w:ind w:left="6480" w:hanging="360"/>
      </w:pPr>
    </w:lvl>
  </w:abstractNum>
  <w:abstractNum w:abstractNumId="5" w15:restartNumberingAfterBreak="0">
    <w:nsid w:val="6A0F1F61"/>
    <w:multiLevelType w:val="hybridMultilevel"/>
    <w:tmpl w:val="62FE29E4"/>
    <w:lvl w:ilvl="0" w:tplc="8CE47C3A">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A317219"/>
    <w:multiLevelType w:val="hybridMultilevel"/>
    <w:tmpl w:val="214E280A"/>
    <w:lvl w:ilvl="0" w:tplc="DC9ABE82">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2034720944">
    <w:abstractNumId w:val="4"/>
    <w:lvlOverride w:ilvl="0">
      <w:startOverride w:val="1"/>
    </w:lvlOverride>
  </w:num>
  <w:num w:numId="2" w16cid:durableId="1986201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5231190">
    <w:abstractNumId w:val="0"/>
  </w:num>
  <w:num w:numId="4" w16cid:durableId="282230775">
    <w:abstractNumId w:val="2"/>
  </w:num>
  <w:num w:numId="5" w16cid:durableId="1996226762">
    <w:abstractNumId w:val="5"/>
  </w:num>
  <w:num w:numId="6" w16cid:durableId="1529443231">
    <w:abstractNumId w:val="6"/>
  </w:num>
  <w:num w:numId="7" w16cid:durableId="1451128562">
    <w:abstractNumId w:val="3"/>
  </w:num>
  <w:num w:numId="8" w16cid:durableId="1114327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58"/>
    <w:rsid w:val="000140D5"/>
    <w:rsid w:val="000167C1"/>
    <w:rsid w:val="00095983"/>
    <w:rsid w:val="000C174E"/>
    <w:rsid w:val="000F09E6"/>
    <w:rsid w:val="000F242D"/>
    <w:rsid w:val="00101139"/>
    <w:rsid w:val="00101DEB"/>
    <w:rsid w:val="00122D6A"/>
    <w:rsid w:val="001323D9"/>
    <w:rsid w:val="001863D0"/>
    <w:rsid w:val="00187DF8"/>
    <w:rsid w:val="001D1D10"/>
    <w:rsid w:val="001F1188"/>
    <w:rsid w:val="001F39A2"/>
    <w:rsid w:val="002F0A99"/>
    <w:rsid w:val="002F30EE"/>
    <w:rsid w:val="002F7FCC"/>
    <w:rsid w:val="00311B47"/>
    <w:rsid w:val="00324378"/>
    <w:rsid w:val="0035616B"/>
    <w:rsid w:val="00362B5F"/>
    <w:rsid w:val="00377D5F"/>
    <w:rsid w:val="0039428F"/>
    <w:rsid w:val="003A0E9A"/>
    <w:rsid w:val="003A7B20"/>
    <w:rsid w:val="00435864"/>
    <w:rsid w:val="00456D07"/>
    <w:rsid w:val="00464E28"/>
    <w:rsid w:val="004711CE"/>
    <w:rsid w:val="00474237"/>
    <w:rsid w:val="00493B47"/>
    <w:rsid w:val="004A66C1"/>
    <w:rsid w:val="004B7551"/>
    <w:rsid w:val="004F4ADF"/>
    <w:rsid w:val="0053569D"/>
    <w:rsid w:val="005624A6"/>
    <w:rsid w:val="005B4226"/>
    <w:rsid w:val="005B6CD5"/>
    <w:rsid w:val="005E4043"/>
    <w:rsid w:val="005E5333"/>
    <w:rsid w:val="005F3EE1"/>
    <w:rsid w:val="00641763"/>
    <w:rsid w:val="00655836"/>
    <w:rsid w:val="0067238A"/>
    <w:rsid w:val="00685AE3"/>
    <w:rsid w:val="00686F9F"/>
    <w:rsid w:val="006B04AA"/>
    <w:rsid w:val="006D7786"/>
    <w:rsid w:val="006F0E69"/>
    <w:rsid w:val="00753B44"/>
    <w:rsid w:val="007850C6"/>
    <w:rsid w:val="007A71EB"/>
    <w:rsid w:val="007D302B"/>
    <w:rsid w:val="00804F7C"/>
    <w:rsid w:val="008126DA"/>
    <w:rsid w:val="008332D0"/>
    <w:rsid w:val="0083362F"/>
    <w:rsid w:val="00840E5D"/>
    <w:rsid w:val="00876D35"/>
    <w:rsid w:val="008854A7"/>
    <w:rsid w:val="008A453F"/>
    <w:rsid w:val="008B3953"/>
    <w:rsid w:val="008F375A"/>
    <w:rsid w:val="009238A3"/>
    <w:rsid w:val="009260EC"/>
    <w:rsid w:val="009337F0"/>
    <w:rsid w:val="00937EA1"/>
    <w:rsid w:val="00950421"/>
    <w:rsid w:val="00977A65"/>
    <w:rsid w:val="00980879"/>
    <w:rsid w:val="00997F95"/>
    <w:rsid w:val="009A27F2"/>
    <w:rsid w:val="009B3811"/>
    <w:rsid w:val="00A10130"/>
    <w:rsid w:val="00A27D41"/>
    <w:rsid w:val="00A32B67"/>
    <w:rsid w:val="00A5569B"/>
    <w:rsid w:val="00A940D5"/>
    <w:rsid w:val="00AA5586"/>
    <w:rsid w:val="00AC64D5"/>
    <w:rsid w:val="00AE3573"/>
    <w:rsid w:val="00B83E58"/>
    <w:rsid w:val="00B95B84"/>
    <w:rsid w:val="00BC66E0"/>
    <w:rsid w:val="00BD7000"/>
    <w:rsid w:val="00C639E2"/>
    <w:rsid w:val="00C84E2E"/>
    <w:rsid w:val="00CC0FB8"/>
    <w:rsid w:val="00CD406E"/>
    <w:rsid w:val="00CE31CE"/>
    <w:rsid w:val="00CF5EEB"/>
    <w:rsid w:val="00D0586F"/>
    <w:rsid w:val="00D313CC"/>
    <w:rsid w:val="00DB0D26"/>
    <w:rsid w:val="00E073E0"/>
    <w:rsid w:val="00E12E97"/>
    <w:rsid w:val="00E31699"/>
    <w:rsid w:val="00E46E73"/>
    <w:rsid w:val="00E61C1E"/>
    <w:rsid w:val="00E66EEE"/>
    <w:rsid w:val="00EA2137"/>
    <w:rsid w:val="00EB0E04"/>
    <w:rsid w:val="00EC4490"/>
    <w:rsid w:val="00ED4D85"/>
    <w:rsid w:val="00ED5254"/>
    <w:rsid w:val="00EE58CC"/>
    <w:rsid w:val="00F0273A"/>
    <w:rsid w:val="00F2260C"/>
    <w:rsid w:val="00FC3D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6B8D"/>
  <w15:docId w15:val="{8776E625-05D7-1843-B3D1-77D2FC84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F2260C"/>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F2260C"/>
  </w:style>
  <w:style w:type="paragraph" w:styleId="Pidipagina">
    <w:name w:val="footer"/>
    <w:basedOn w:val="Normale"/>
    <w:link w:val="PidipaginaCarattere"/>
    <w:uiPriority w:val="99"/>
    <w:unhideWhenUsed/>
    <w:rsid w:val="00F2260C"/>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F22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voccia@vocciasp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vocciaordsa@pec.giuffre.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63479-3969-4F68-A0A0-9AC432C07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23</Pages>
  <Words>8904</Words>
  <Characters>50758</Characters>
  <Application>Microsoft Office Word</Application>
  <DocSecurity>0</DocSecurity>
  <Lines>422</Lines>
  <Paragraphs>119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4</cp:revision>
  <cp:lastPrinted>2026-03-18T16:05:00Z</cp:lastPrinted>
  <dcterms:created xsi:type="dcterms:W3CDTF">2026-07-06T16:17:00Z</dcterms:created>
  <dcterms:modified xsi:type="dcterms:W3CDTF">2026-07-21T19:04:00Z</dcterms:modified>
</cp:coreProperties>
</file>