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6863D" w14:textId="55E46F53" w:rsidR="003A6B70" w:rsidRDefault="00891274">
      <w:r>
        <w:t xml:space="preserve">TITOLO: </w:t>
      </w:r>
      <w:r w:rsidR="00B238EB">
        <w:t xml:space="preserve">è </w:t>
      </w:r>
      <w:r w:rsidR="00A82448">
        <w:t>corretto</w:t>
      </w:r>
      <w:r w:rsidR="00B238EB">
        <w:t xml:space="preserve"> l’uso </w:t>
      </w:r>
      <w:r>
        <w:t>di coefficienti moltiplicatori</w:t>
      </w:r>
      <w:r w:rsidR="003C2CC7">
        <w:t xml:space="preserve"> nelle</w:t>
      </w:r>
      <w:r>
        <w:t xml:space="preserve"> tariffe CUP</w:t>
      </w:r>
    </w:p>
    <w:p w14:paraId="377EA7CA" w14:textId="2B8103C1" w:rsidR="00891274" w:rsidRDefault="00891274" w:rsidP="00B238EB">
      <w:pPr>
        <w:jc w:val="both"/>
      </w:pPr>
      <w:r>
        <w:t xml:space="preserve">Una recente </w:t>
      </w:r>
      <w:r w:rsidR="00CF2CDB">
        <w:t>sentenza</w:t>
      </w:r>
      <w:r w:rsidR="00B238EB">
        <w:t xml:space="preserve"> del TAR Lombardia</w:t>
      </w:r>
      <w:r w:rsidR="00CF2CDB">
        <w:t xml:space="preserve"> stabilisce</w:t>
      </w:r>
      <w:r>
        <w:t xml:space="preserve"> come siano l</w:t>
      </w:r>
      <w:r w:rsidRPr="00891274">
        <w:t xml:space="preserve">egittime le tariffe CUP </w:t>
      </w:r>
      <w:r>
        <w:t>adottate da</w:t>
      </w:r>
      <w:r w:rsidR="00CF2CDB">
        <w:t xml:space="preserve"> un</w:t>
      </w:r>
      <w:r w:rsidR="00821D77">
        <w:t xml:space="preserve"> </w:t>
      </w:r>
      <w:r>
        <w:t xml:space="preserve">Comune che ha utilizzato </w:t>
      </w:r>
      <w:r w:rsidR="00B238EB">
        <w:t>specifici coefficienti</w:t>
      </w:r>
      <w:r>
        <w:t xml:space="preserve"> moltiplicatori </w:t>
      </w:r>
      <w:r w:rsidR="00CF2CDB">
        <w:t xml:space="preserve">per </w:t>
      </w:r>
      <w:r w:rsidR="00B238EB">
        <w:t xml:space="preserve">definire l’importo di canone dovuto per </w:t>
      </w:r>
      <w:r w:rsidR="00CF2CDB">
        <w:t xml:space="preserve">impianti pubblicitari che </w:t>
      </w:r>
      <w:proofErr w:type="gramStart"/>
      <w:r w:rsidR="00CF2CDB">
        <w:t xml:space="preserve">presentano </w:t>
      </w:r>
      <w:r w:rsidRPr="00891274">
        <w:t xml:space="preserve"> </w:t>
      </w:r>
      <w:r w:rsidR="00CF2CDB">
        <w:t>la</w:t>
      </w:r>
      <w:proofErr w:type="gramEnd"/>
      <w:r w:rsidR="00CF2CDB">
        <w:t xml:space="preserve"> caratteristica di </w:t>
      </w:r>
      <w:r w:rsidRPr="00891274">
        <w:t>luminosità</w:t>
      </w:r>
      <w:r w:rsidR="00BD2150">
        <w:t xml:space="preserve"> </w:t>
      </w:r>
      <w:r w:rsidR="00CF2CDB">
        <w:t xml:space="preserve">e </w:t>
      </w:r>
      <w:r w:rsidR="00B238EB">
        <w:t>per</w:t>
      </w:r>
      <w:r w:rsidR="00CF2CDB">
        <w:t xml:space="preserve"> quelli collocati in zone del territ</w:t>
      </w:r>
      <w:r>
        <w:t>orio comunale</w:t>
      </w:r>
      <w:r w:rsidR="00CF2CDB">
        <w:t xml:space="preserve"> di particolare interesse</w:t>
      </w:r>
      <w:r>
        <w:t>.</w:t>
      </w:r>
    </w:p>
    <w:p w14:paraId="4555F3FC" w14:textId="65487C50" w:rsidR="00891274" w:rsidRDefault="00891274" w:rsidP="00BD2150">
      <w:pPr>
        <w:jc w:val="both"/>
      </w:pPr>
      <w:r>
        <w:t>È la sentenza numero 576</w:t>
      </w:r>
      <w:r w:rsidRPr="00891274">
        <w:t xml:space="preserve"> del 10/7/2023</w:t>
      </w:r>
      <w:r>
        <w:t xml:space="preserve"> emessa dalla sezione staccata di Brescia del TAR Lombardia, che ha legittimato l’operato d</w:t>
      </w:r>
      <w:r w:rsidR="00821D77">
        <w:t>el</w:t>
      </w:r>
      <w:r w:rsidR="00B238EB">
        <w:t>lo stesso</w:t>
      </w:r>
      <w:r>
        <w:t xml:space="preserve"> Comune</w:t>
      </w:r>
      <w:r w:rsidR="00CF2CDB">
        <w:t xml:space="preserve"> di Brescia</w:t>
      </w:r>
      <w:r>
        <w:t xml:space="preserve"> nel costruire l’impianto tariffario utilizzando coefficienti per definire </w:t>
      </w:r>
      <w:r w:rsidR="00CF2CDB">
        <w:t xml:space="preserve">le </w:t>
      </w:r>
      <w:r>
        <w:t>maggiorazioni tariffarie da applicare ad iniziative pubblicitarie</w:t>
      </w:r>
      <w:r w:rsidR="00B238EB">
        <w:t xml:space="preserve"> </w:t>
      </w:r>
      <w:r>
        <w:t>luminos</w:t>
      </w:r>
      <w:r w:rsidR="00B238EB">
        <w:t>e o illuminate,</w:t>
      </w:r>
      <w:r>
        <w:t xml:space="preserve"> e con esposizione in determinate zone del territorio dove la visibilità e il conseguente valore sono maggiori rispetto </w:t>
      </w:r>
      <w:r w:rsidR="00BD2150">
        <w:t xml:space="preserve">a </w:t>
      </w:r>
      <w:proofErr w:type="gramStart"/>
      <w:r w:rsidR="00BD2150">
        <w:t xml:space="preserve">diverse </w:t>
      </w:r>
      <w:r>
        <w:t xml:space="preserve"> zone</w:t>
      </w:r>
      <w:proofErr w:type="gramEnd"/>
      <w:r>
        <w:t xml:space="preserve"> di minor pregio.</w:t>
      </w:r>
      <w:r w:rsidR="00CF2CDB">
        <w:t xml:space="preserve"> </w:t>
      </w:r>
    </w:p>
    <w:p w14:paraId="0CEF8B2C" w14:textId="6134C01C" w:rsidR="00CF2CDB" w:rsidRDefault="00CF2CDB" w:rsidP="00BD2150">
      <w:pPr>
        <w:jc w:val="both"/>
      </w:pPr>
      <w:r>
        <w:t xml:space="preserve">Il comune ha </w:t>
      </w:r>
      <w:r w:rsidR="002D2F59">
        <w:t xml:space="preserve">sicuramente </w:t>
      </w:r>
      <w:r>
        <w:t xml:space="preserve">valutato l’applicazione dei coefficienti sulla base della precedente esperienza in materia di Imposta Comunale sulla </w:t>
      </w:r>
      <w:r w:rsidR="002D2F59">
        <w:t>P</w:t>
      </w:r>
      <w:r>
        <w:t xml:space="preserve">ubblicità, </w:t>
      </w:r>
      <w:r w:rsidR="002D2F59">
        <w:t>quando</w:t>
      </w:r>
      <w:r>
        <w:t xml:space="preserve"> il Legislatore aveva imposto</w:t>
      </w:r>
      <w:r w:rsidR="002D2F59">
        <w:t xml:space="preserve"> per </w:t>
      </w:r>
      <w:r w:rsidR="00B238EB">
        <w:t>Legge la</w:t>
      </w:r>
      <w:r>
        <w:t xml:space="preserve"> maggiorazione del 100% per i mezzi luminosi</w:t>
      </w:r>
      <w:r w:rsidR="002D2F59">
        <w:t>,</w:t>
      </w:r>
      <w:r>
        <w:t xml:space="preserve"> all’articolo 7 comma 7</w:t>
      </w:r>
      <w:r w:rsidR="002D2F59">
        <w:t xml:space="preserve"> del </w:t>
      </w:r>
      <w:proofErr w:type="spellStart"/>
      <w:r w:rsidR="002D2F59">
        <w:t>D.Lgs</w:t>
      </w:r>
      <w:proofErr w:type="spellEnd"/>
      <w:r w:rsidR="002D2F59">
        <w:t xml:space="preserve"> 507/1993,</w:t>
      </w:r>
      <w:r>
        <w:t xml:space="preserve"> e aveva previsto</w:t>
      </w:r>
      <w:r w:rsidR="002D2F59">
        <w:t xml:space="preserve"> al precedente articolo 4,</w:t>
      </w:r>
      <w:r>
        <w:t xml:space="preserve"> la maggiorazione fino al 150% per le esposizioni in determinate Vie considerate speciali per visibilità, pregio, centralità</w:t>
      </w:r>
      <w:r w:rsidR="002D2F59">
        <w:t>.</w:t>
      </w:r>
    </w:p>
    <w:p w14:paraId="5372CAC2" w14:textId="26F27405" w:rsidR="00891274" w:rsidRDefault="002D2F59" w:rsidP="00BD2150">
      <w:pPr>
        <w:jc w:val="both"/>
      </w:pPr>
      <w:r>
        <w:t>La</w:t>
      </w:r>
      <w:r w:rsidR="00891274">
        <w:t xml:space="preserve"> </w:t>
      </w:r>
      <w:proofErr w:type="gramStart"/>
      <w:r w:rsidR="00891274">
        <w:t>sentenza</w:t>
      </w:r>
      <w:r>
        <w:t xml:space="preserve">  in</w:t>
      </w:r>
      <w:proofErr w:type="gramEnd"/>
      <w:r>
        <w:t xml:space="preserve"> commento, assume particolare</w:t>
      </w:r>
      <w:r w:rsidR="00891274">
        <w:t xml:space="preserve"> importan</w:t>
      </w:r>
      <w:r>
        <w:t>za</w:t>
      </w:r>
      <w:r w:rsidR="00891274">
        <w:t xml:space="preserve"> </w:t>
      </w:r>
      <w:r>
        <w:t>perché</w:t>
      </w:r>
      <w:r w:rsidR="00891274">
        <w:t xml:space="preserve"> legittima l’impostazione data</w:t>
      </w:r>
      <w:r w:rsidR="00BD2150">
        <w:t xml:space="preserve"> </w:t>
      </w:r>
      <w:r w:rsidR="00891274">
        <w:t>dalla maggior parte dei comuni</w:t>
      </w:r>
      <w:r w:rsidR="00821D77">
        <w:t xml:space="preserve"> </w:t>
      </w:r>
      <w:r w:rsidR="00BD2150">
        <w:t xml:space="preserve">italiani alla disciplina della nuova entrata, costruendo </w:t>
      </w:r>
      <w:r w:rsidR="00891274">
        <w:t xml:space="preserve">le </w:t>
      </w:r>
      <w:r w:rsidR="00821D77">
        <w:t>proprie</w:t>
      </w:r>
      <w:r w:rsidR="00891274">
        <w:t xml:space="preserve"> tariffe partendo dalla tariffa base definita dal Legislatore</w:t>
      </w:r>
      <w:r w:rsidR="00BD2150">
        <w:t xml:space="preserve"> al comma 826 della Legge 160/2019</w:t>
      </w:r>
      <w:r w:rsidR="00891274">
        <w:t xml:space="preserve">, andando tuttavia a </w:t>
      </w:r>
      <w:r w:rsidR="00AD5F88">
        <w:t>modificarla</w:t>
      </w:r>
      <w:r w:rsidR="00B238EB">
        <w:t xml:space="preserve"> e modellarla </w:t>
      </w:r>
      <w:r w:rsidR="00AD5F88">
        <w:t xml:space="preserve"> adattandola</w:t>
      </w:r>
      <w:r w:rsidR="00821D77">
        <w:t xml:space="preserve"> alla propria realtà locale, con caratteristiche sicuramente diverse da territorio a territorio.</w:t>
      </w:r>
    </w:p>
    <w:p w14:paraId="5EB68D63" w14:textId="5C5FADFB" w:rsidR="00821D77" w:rsidRDefault="00821D77" w:rsidP="00BD2150">
      <w:pPr>
        <w:jc w:val="both"/>
      </w:pPr>
      <w:r>
        <w:t xml:space="preserve">Lo stesso Legislatore nell’imporre al comma 817 della Legge 160/2019  la parità di gettito </w:t>
      </w:r>
      <w:r w:rsidR="00BD2150">
        <w:t>rispetto</w:t>
      </w:r>
      <w:r>
        <w:t xml:space="preserve"> i precedenti prelievi sostituiti dalla nuova entrata patrimoniale, </w:t>
      </w:r>
      <w:r w:rsidR="00B238EB">
        <w:t>aveva</w:t>
      </w:r>
      <w:r>
        <w:t xml:space="preserve"> indotto tutte le amministrazioni territoriali a </w:t>
      </w:r>
      <w:r w:rsidR="00BD2150">
        <w:t>cercare</w:t>
      </w:r>
      <w:r>
        <w:t xml:space="preserve"> le forme più corrette per garantire quell’invarianza rispetto ai precedenti prelievi e allo stesso tempo rispettare </w:t>
      </w:r>
      <w:r w:rsidR="00823433">
        <w:t xml:space="preserve">i principi di </w:t>
      </w:r>
      <w:r>
        <w:t>gradualità</w:t>
      </w:r>
      <w:r w:rsidR="00823433">
        <w:t xml:space="preserve"> e ragionevolezza </w:t>
      </w:r>
      <w:r>
        <w:t>d</w:t>
      </w:r>
      <w:r w:rsidR="00823433">
        <w:t>elle</w:t>
      </w:r>
      <w:r>
        <w:t xml:space="preserve"> tariffe </w:t>
      </w:r>
      <w:r w:rsidR="00B238EB">
        <w:t>con</w:t>
      </w:r>
      <w:r>
        <w:t xml:space="preserve"> il rispetto dei </w:t>
      </w:r>
      <w:r w:rsidR="00823433">
        <w:t>parametri</w:t>
      </w:r>
      <w:r>
        <w:t xml:space="preserve"> di beneficio economico</w:t>
      </w:r>
      <w:r w:rsidR="00BD2150">
        <w:t>,</w:t>
      </w:r>
      <w:r>
        <w:t xml:space="preserve"> che ritrae chi sfrutta gli impianti pubblicitari</w:t>
      </w:r>
      <w:r w:rsidR="00823433">
        <w:t xml:space="preserve"> oggetto di autorizzazione</w:t>
      </w:r>
      <w:r w:rsidR="00BD2150">
        <w:t>,</w:t>
      </w:r>
      <w:r>
        <w:t xml:space="preserve"> e di sacrificio imposto alla collettività per la presenza sul territorio di mezzi </w:t>
      </w:r>
      <w:r w:rsidR="00BD2150">
        <w:t>pubblicitari</w:t>
      </w:r>
      <w:r>
        <w:t xml:space="preserve"> che impattano, anche visivamente, sul decoro e </w:t>
      </w:r>
      <w:r w:rsidR="00BD2150">
        <w:t>sul paesaggio</w:t>
      </w:r>
      <w:r>
        <w:t xml:space="preserve"> urbano delle nostre città.</w:t>
      </w:r>
    </w:p>
    <w:p w14:paraId="6D77C5F7" w14:textId="12EAEFF1" w:rsidR="00C2208D" w:rsidRDefault="00821D77" w:rsidP="00C2208D">
      <w:pPr>
        <w:jc w:val="both"/>
      </w:pPr>
      <w:r>
        <w:t>Una costruzione di tariffe che poteva essere sviluppata sia prevedendo delle maggiorazioni e riduzioni percentuali di tariffa oppure sfruttando i</w:t>
      </w:r>
      <w:r w:rsidR="00BD2150">
        <w:t xml:space="preserve">l sistema di </w:t>
      </w:r>
      <w:r>
        <w:t xml:space="preserve">coefficienti moltiplicatori che garantivano una più facile e </w:t>
      </w:r>
      <w:r w:rsidR="00AD5F88">
        <w:t>intuitiva gestione</w:t>
      </w:r>
      <w:r>
        <w:t xml:space="preserve"> dell’impianto tariffario.</w:t>
      </w:r>
      <w:r w:rsidR="00C2208D">
        <w:t xml:space="preserve"> Del resto l’articolo 52 del </w:t>
      </w:r>
      <w:proofErr w:type="spellStart"/>
      <w:r w:rsidR="00C2208D">
        <w:t>D.Lgs</w:t>
      </w:r>
      <w:proofErr w:type="spellEnd"/>
      <w:r w:rsidR="00C2208D">
        <w:t xml:space="preserve"> 446/97 riconosce la potestà e l’autonomia regolamentare ai comuni in materia di proprie entrate e in particolare per quelle di natura patrimoniale dove si realizza la più ampia capacità non dovendo sottostare neppure al limite dell’individuazione delle fattispecie imponibili.</w:t>
      </w:r>
    </w:p>
    <w:p w14:paraId="4D7D208D" w14:textId="19ADD7E0" w:rsidR="00821D77" w:rsidRDefault="00D57989" w:rsidP="00BD2150">
      <w:pPr>
        <w:jc w:val="both"/>
      </w:pPr>
      <w:r>
        <w:t>Nel</w:t>
      </w:r>
      <w:r w:rsidR="00AD5F88">
        <w:t xml:space="preserve"> testo della </w:t>
      </w:r>
      <w:r>
        <w:t xml:space="preserve">sentenza si </w:t>
      </w:r>
      <w:r w:rsidR="00AD5F88">
        <w:t>segnalano</w:t>
      </w:r>
      <w:r>
        <w:t xml:space="preserve"> più passaggi di estremo interesse che aiutano a capire come deve essere </w:t>
      </w:r>
      <w:r w:rsidR="00BD2150">
        <w:t>correttamente</w:t>
      </w:r>
      <w:r>
        <w:t xml:space="preserve"> interpretata la nuova entrata.</w:t>
      </w:r>
    </w:p>
    <w:p w14:paraId="78F6C186" w14:textId="5BDFE8E4" w:rsidR="00D57989" w:rsidRPr="00EE0F6D" w:rsidRDefault="00AD5F88" w:rsidP="00C323BB">
      <w:pPr>
        <w:jc w:val="both"/>
      </w:pPr>
      <w:r>
        <w:t>In particolare</w:t>
      </w:r>
      <w:r w:rsidR="00EE0F6D">
        <w:t xml:space="preserve"> </w:t>
      </w:r>
      <w:r w:rsidR="00D57989">
        <w:t xml:space="preserve">si legge: </w:t>
      </w:r>
      <w:r w:rsidR="00D57989" w:rsidRPr="00C323BB">
        <w:rPr>
          <w:i/>
          <w:iCs/>
        </w:rPr>
        <w:t>“la moderna pianificazione urbanistica ha ormai acquisito il concetto di incidenza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paesistica anche al di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fuori delle zone vincolate, e considerando poi che nel testo normativo vi è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un chiaro disaccoppiamento tra il canone unico patrimoniale e gli elementi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indicativi della capacità contributiva. Il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presupposto della decurtazione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patrimoniale è infatti la mera visibilità degli impianti pubblicitari da luoghi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pubblici o aperti al pubblico (art. 1 comma 819-b della legge 160/2019),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ossia la modifica del paesaggio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urbano misurata in termini di superficie,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indipendentemente dal tipo e dal numero dei messaggi pubblicitari (art. 1</w:t>
      </w:r>
      <w:r w:rsidR="00C323BB" w:rsidRPr="00C323BB">
        <w:rPr>
          <w:i/>
          <w:iCs/>
        </w:rPr>
        <w:t xml:space="preserve"> </w:t>
      </w:r>
      <w:r w:rsidR="00D57989" w:rsidRPr="00C323BB">
        <w:rPr>
          <w:i/>
          <w:iCs/>
        </w:rPr>
        <w:t>comma 825 della legge 160/2019).</w:t>
      </w:r>
      <w:r w:rsidR="00C323BB" w:rsidRPr="00C323BB">
        <w:rPr>
          <w:i/>
          <w:iCs/>
        </w:rPr>
        <w:t>”</w:t>
      </w:r>
      <w:r w:rsidR="00EE0F6D">
        <w:rPr>
          <w:i/>
          <w:iCs/>
        </w:rPr>
        <w:t xml:space="preserve"> </w:t>
      </w:r>
      <w:r w:rsidR="00EE0F6D" w:rsidRPr="00AD5F88">
        <w:t>Questo</w:t>
      </w:r>
      <w:r w:rsidR="00EE0F6D" w:rsidRPr="00AD5F88">
        <w:rPr>
          <w:i/>
          <w:iCs/>
        </w:rPr>
        <w:t xml:space="preserve"> </w:t>
      </w:r>
      <w:r w:rsidR="00EE0F6D" w:rsidRPr="00AD5F88">
        <w:t>per confermare come la nuova entrata rappresenti una vera innovazione rispetto al passato, e possa</w:t>
      </w:r>
      <w:r>
        <w:t>,</w:t>
      </w:r>
      <w:r w:rsidR="00EE0F6D" w:rsidRPr="00AD5F88">
        <w:t xml:space="preserve"> a tutti gli effetti</w:t>
      </w:r>
      <w:r>
        <w:t>,</w:t>
      </w:r>
      <w:r w:rsidR="00EE0F6D" w:rsidRPr="00AD5F88">
        <w:t xml:space="preserve"> essere valutata come entrata patrimoniale e il suo introito come corrispettivo e non come tributo</w:t>
      </w:r>
      <w:r>
        <w:t xml:space="preserve"> legato alla</w:t>
      </w:r>
      <w:r w:rsidRPr="00AD5F88">
        <w:t xml:space="preserve"> modifica del paesaggio urbano</w:t>
      </w:r>
      <w:r>
        <w:t>.</w:t>
      </w:r>
    </w:p>
    <w:p w14:paraId="779CC62E" w14:textId="29BF7DAA" w:rsidR="00821D77" w:rsidRDefault="00C323BB" w:rsidP="00C323BB">
      <w:pPr>
        <w:jc w:val="both"/>
        <w:rPr>
          <w:i/>
          <w:iCs/>
        </w:rPr>
      </w:pPr>
      <w:r>
        <w:lastRenderedPageBreak/>
        <w:t xml:space="preserve">Si legge </w:t>
      </w:r>
      <w:r w:rsidR="00EE0F6D">
        <w:t>infatti</w:t>
      </w:r>
      <w:r>
        <w:t xml:space="preserve">: </w:t>
      </w:r>
      <w:r w:rsidRPr="00C323BB">
        <w:rPr>
          <w:i/>
          <w:iCs/>
        </w:rPr>
        <w:t>“Trattandosi di corrispettivi e non di tributi, la discrezionalità degli enti locali si esercita entro i più ampi confini dell’autonomia finanziaria di cui all’art. 119 della Costituzione, estesa alle voci di entrata non tributarie.”</w:t>
      </w:r>
    </w:p>
    <w:p w14:paraId="105CC3EC" w14:textId="7EB1B1DC" w:rsidR="00C323BB" w:rsidRDefault="00A15E21" w:rsidP="00A15E21">
      <w:pPr>
        <w:jc w:val="both"/>
        <w:rPr>
          <w:i/>
          <w:iCs/>
        </w:rPr>
      </w:pPr>
      <w:r w:rsidRPr="00A15E21">
        <w:t>In questo senso, il Tribunale Amministrativo ritiene</w:t>
      </w:r>
      <w:r>
        <w:rPr>
          <w:i/>
          <w:iCs/>
        </w:rPr>
        <w:t xml:space="preserve"> </w:t>
      </w:r>
      <w:r w:rsidRPr="00A15E21">
        <w:t>che</w:t>
      </w:r>
      <w:r>
        <w:rPr>
          <w:i/>
          <w:iCs/>
        </w:rPr>
        <w:t>: “</w:t>
      </w:r>
      <w:r w:rsidRPr="00A15E21">
        <w:rPr>
          <w:i/>
          <w:iCs/>
        </w:rPr>
        <w:t>Si deve</w:t>
      </w:r>
      <w:r>
        <w:rPr>
          <w:i/>
          <w:iCs/>
        </w:rPr>
        <w:t xml:space="preserve"> </w:t>
      </w:r>
      <w:r w:rsidRPr="00A15E21">
        <w:rPr>
          <w:i/>
          <w:iCs/>
        </w:rPr>
        <w:t>però escludere che le indicazioni del legislatore nazionale siano state</w:t>
      </w:r>
      <w:r>
        <w:rPr>
          <w:i/>
          <w:iCs/>
        </w:rPr>
        <w:t xml:space="preserve"> </w:t>
      </w:r>
      <w:r w:rsidRPr="00A15E21">
        <w:rPr>
          <w:i/>
          <w:iCs/>
        </w:rPr>
        <w:t>stravolte per solo il fatto che il Comune, nell’esercizio della potestà</w:t>
      </w:r>
      <w:r>
        <w:rPr>
          <w:i/>
          <w:iCs/>
        </w:rPr>
        <w:t xml:space="preserve"> </w:t>
      </w:r>
      <w:r w:rsidRPr="00A15E21">
        <w:rPr>
          <w:i/>
          <w:iCs/>
        </w:rPr>
        <w:t>regolamentare, abbia introdotto coefficienti moltiplicatori della tariffa</w:t>
      </w:r>
      <w:r>
        <w:rPr>
          <w:i/>
          <w:iCs/>
        </w:rPr>
        <w:t xml:space="preserve"> </w:t>
      </w:r>
      <w:r w:rsidRPr="00A15E21">
        <w:rPr>
          <w:i/>
          <w:iCs/>
        </w:rPr>
        <w:t>standard differenziati in base alla superficie degli impianti pubblicitari, alla</w:t>
      </w:r>
      <w:r>
        <w:rPr>
          <w:i/>
          <w:iCs/>
        </w:rPr>
        <w:t xml:space="preserve"> </w:t>
      </w:r>
      <w:r w:rsidRPr="00A15E21">
        <w:rPr>
          <w:i/>
          <w:iCs/>
        </w:rPr>
        <w:t>tipologia opaca o luminosa degli stessi, e al carattere ordinario o speciale</w:t>
      </w:r>
      <w:r>
        <w:rPr>
          <w:i/>
          <w:iCs/>
        </w:rPr>
        <w:t xml:space="preserve"> </w:t>
      </w:r>
      <w:r w:rsidRPr="00A15E21">
        <w:rPr>
          <w:i/>
          <w:iCs/>
        </w:rPr>
        <w:t>delle località del territorio comunale. Parimenti, non sembra integrare</w:t>
      </w:r>
      <w:r>
        <w:rPr>
          <w:i/>
          <w:iCs/>
        </w:rPr>
        <w:t xml:space="preserve"> </w:t>
      </w:r>
      <w:r w:rsidRPr="00A15E21">
        <w:rPr>
          <w:i/>
          <w:iCs/>
        </w:rPr>
        <w:t>alcuna violazione della legge 160/2019 il fatto che sia stata data indicazione</w:t>
      </w:r>
      <w:r>
        <w:rPr>
          <w:i/>
          <w:iCs/>
        </w:rPr>
        <w:t xml:space="preserve"> </w:t>
      </w:r>
      <w:r w:rsidRPr="00A15E21">
        <w:rPr>
          <w:i/>
          <w:iCs/>
        </w:rPr>
        <w:t>alla giunta di tenere conto del piano generale degli impianti, dell’impatto</w:t>
      </w:r>
      <w:r>
        <w:rPr>
          <w:i/>
          <w:iCs/>
        </w:rPr>
        <w:t xml:space="preserve"> </w:t>
      </w:r>
      <w:r w:rsidRPr="00A15E21">
        <w:rPr>
          <w:i/>
          <w:iCs/>
        </w:rPr>
        <w:t>ambientale, luminoso e acustico, nonché delle differenze tra le varie forme</w:t>
      </w:r>
      <w:r>
        <w:rPr>
          <w:i/>
          <w:iCs/>
        </w:rPr>
        <w:t xml:space="preserve"> </w:t>
      </w:r>
      <w:r w:rsidRPr="00A15E21">
        <w:rPr>
          <w:i/>
          <w:iCs/>
        </w:rPr>
        <w:t>pubblicità (ordinaria, oppure con veicoli, pannelli luminosi, striscioni,</w:t>
      </w:r>
      <w:r>
        <w:rPr>
          <w:i/>
          <w:iCs/>
        </w:rPr>
        <w:t xml:space="preserve"> </w:t>
      </w:r>
      <w:r w:rsidRPr="00A15E21">
        <w:rPr>
          <w:i/>
          <w:iCs/>
        </w:rPr>
        <w:t>aeromobili, palloni frenati, distribuzione a mano, amplificatori).</w:t>
      </w:r>
      <w:r>
        <w:rPr>
          <w:i/>
          <w:iCs/>
        </w:rPr>
        <w:t>”</w:t>
      </w:r>
    </w:p>
    <w:p w14:paraId="565C7FE3" w14:textId="05214BC8" w:rsidR="00FE20F3" w:rsidRDefault="00FE20F3" w:rsidP="00A15E21">
      <w:pPr>
        <w:jc w:val="both"/>
      </w:pPr>
      <w:r>
        <w:t xml:space="preserve">Ed è questo il passaggio più interessante della sentenza, quello dirimente </w:t>
      </w:r>
      <w:r w:rsidR="00AD5F88">
        <w:t>sulla</w:t>
      </w:r>
      <w:r>
        <w:t xml:space="preserve"> questione che legittima l’operato del Comune di Brescia al pari dell’operato di tantissimi altri comuni e enti locali che hanno impostato il nuovo prelievo con queste logiche.</w:t>
      </w:r>
    </w:p>
    <w:p w14:paraId="3E903EFE" w14:textId="77777777" w:rsidR="007F0ADA" w:rsidRDefault="007F0ADA" w:rsidP="00A15E21">
      <w:pPr>
        <w:jc w:val="both"/>
      </w:pPr>
    </w:p>
    <w:p w14:paraId="695025D8" w14:textId="313C3015" w:rsidR="007F0ADA" w:rsidRDefault="007F0ADA" w:rsidP="00A15E21">
      <w:pPr>
        <w:jc w:val="both"/>
      </w:pPr>
      <w:r>
        <w:t>Allegato: sentenza TAR Brescia</w:t>
      </w:r>
    </w:p>
    <w:p w14:paraId="5428961C" w14:textId="77777777" w:rsidR="00FE20F3" w:rsidRPr="00FE20F3" w:rsidRDefault="00FE20F3" w:rsidP="00A15E21">
      <w:pPr>
        <w:jc w:val="both"/>
      </w:pPr>
    </w:p>
    <w:sectPr w:rsidR="00FE20F3" w:rsidRPr="00FE20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27"/>
    <w:rsid w:val="002D280C"/>
    <w:rsid w:val="002D2F59"/>
    <w:rsid w:val="003A6B70"/>
    <w:rsid w:val="003C2CC7"/>
    <w:rsid w:val="005F4349"/>
    <w:rsid w:val="007F0ADA"/>
    <w:rsid w:val="00821D77"/>
    <w:rsid w:val="00823433"/>
    <w:rsid w:val="00891274"/>
    <w:rsid w:val="00982427"/>
    <w:rsid w:val="00A1434A"/>
    <w:rsid w:val="00A15E21"/>
    <w:rsid w:val="00A82448"/>
    <w:rsid w:val="00AD5F88"/>
    <w:rsid w:val="00B238EB"/>
    <w:rsid w:val="00BC7219"/>
    <w:rsid w:val="00BD2150"/>
    <w:rsid w:val="00C2208D"/>
    <w:rsid w:val="00C323BB"/>
    <w:rsid w:val="00CF2CDB"/>
    <w:rsid w:val="00D57989"/>
    <w:rsid w:val="00EE0F6D"/>
    <w:rsid w:val="00FE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0DD62"/>
  <w15:chartTrackingRefBased/>
  <w15:docId w15:val="{F11D3362-4D0C-44B1-A14E-61767A60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9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Merciari</cp:lastModifiedBy>
  <cp:revision>16</cp:revision>
  <dcterms:created xsi:type="dcterms:W3CDTF">2023-07-10T15:19:00Z</dcterms:created>
  <dcterms:modified xsi:type="dcterms:W3CDTF">2023-07-16T21:45:00Z</dcterms:modified>
</cp:coreProperties>
</file>