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4E1EF" w14:textId="6E3D057B" w:rsidR="000E136F" w:rsidRDefault="004D46B3">
      <w:r>
        <w:t xml:space="preserve">Titolo: </w:t>
      </w:r>
      <w:r w:rsidR="00763C72">
        <w:t xml:space="preserve">Analisi </w:t>
      </w:r>
      <w:r w:rsidR="0017438D">
        <w:t>degli operatori del</w:t>
      </w:r>
      <w:r>
        <w:t xml:space="preserve"> servizio idrico integrato </w:t>
      </w:r>
      <w:r w:rsidR="00D66CF9">
        <w:t>– Parte 2</w:t>
      </w:r>
    </w:p>
    <w:p w14:paraId="705CCAED" w14:textId="62E5885E" w:rsidR="004D46B3" w:rsidRDefault="004D46B3">
      <w:r>
        <w:t>Di Alessandro Merciari</w:t>
      </w:r>
    </w:p>
    <w:p w14:paraId="08238A6E" w14:textId="77777777" w:rsidR="004D46B3" w:rsidRDefault="004D46B3"/>
    <w:p w14:paraId="19E7DAC4" w14:textId="52097410" w:rsidR="00E66B23" w:rsidRDefault="00E66B23" w:rsidP="007043DC">
      <w:pPr>
        <w:jc w:val="both"/>
      </w:pPr>
      <w:r>
        <w:t xml:space="preserve">Proseguiamo con l’analisi delle aziende che erogano il servizio idrico nel territorio italiano. </w:t>
      </w:r>
      <w:r w:rsidR="00F44B63">
        <w:t>Il</w:t>
      </w:r>
      <w:r>
        <w:t xml:space="preserve"> settore </w:t>
      </w:r>
      <w:r w:rsidR="00F44B63">
        <w:t>che tra tutti i</w:t>
      </w:r>
      <w:r>
        <w:t xml:space="preserve"> servizi pubblici </w:t>
      </w:r>
      <w:r w:rsidR="00F44B63">
        <w:t xml:space="preserve">è probabilmente il più </w:t>
      </w:r>
      <w:r>
        <w:t>delicato riguard</w:t>
      </w:r>
      <w:r w:rsidR="00F44B63">
        <w:t xml:space="preserve">ando </w:t>
      </w:r>
      <w:r>
        <w:t>un elemento vitale come l’acqua potabile.</w:t>
      </w:r>
    </w:p>
    <w:p w14:paraId="17EB80C6" w14:textId="4F38900E" w:rsidR="00E66B23" w:rsidRDefault="00E66B23" w:rsidP="007043DC">
      <w:pPr>
        <w:jc w:val="both"/>
      </w:pPr>
      <w:r>
        <w:t xml:space="preserve">L’approccio </w:t>
      </w:r>
      <w:r w:rsidR="00F44B63">
        <w:t>dell’analisi</w:t>
      </w:r>
      <w:r>
        <w:t xml:space="preserve"> è legato al corretto pagamento dello speciale canone previsto </w:t>
      </w:r>
      <w:r w:rsidR="00F44B63">
        <w:t>all’interno della</w:t>
      </w:r>
      <w:r>
        <w:t xml:space="preserve"> disciplina CUP al comma 831, </w:t>
      </w:r>
      <w:r w:rsidR="006E4AD7">
        <w:t>art</w:t>
      </w:r>
      <w:r>
        <w:t xml:space="preserve">. 1 della legge 160/2019, che vuole il versamento per le occupazioni di suolo e sottosuolo </w:t>
      </w:r>
      <w:r w:rsidR="00F44B63">
        <w:t xml:space="preserve">pubblico </w:t>
      </w:r>
      <w:r>
        <w:t>realizzate con le condutture e infrastrutture dedicate all’erogazione del servizio di rete</w:t>
      </w:r>
      <w:r w:rsidR="007043DC">
        <w:t>.</w:t>
      </w:r>
    </w:p>
    <w:p w14:paraId="3D2BD8B2" w14:textId="3B22EB6E" w:rsidR="007043DC" w:rsidRDefault="007043DC" w:rsidP="007043DC">
      <w:pPr>
        <w:jc w:val="both"/>
      </w:pPr>
      <w:r>
        <w:t xml:space="preserve">Abbiamo visto con </w:t>
      </w:r>
      <w:r w:rsidR="00F44B63">
        <w:t xml:space="preserve">il </w:t>
      </w:r>
      <w:r>
        <w:t>precedent</w:t>
      </w:r>
      <w:r w:rsidR="00F44B63">
        <w:t>e</w:t>
      </w:r>
      <w:r>
        <w:t xml:space="preserve"> approfondiment</w:t>
      </w:r>
      <w:r w:rsidR="00F44B63">
        <w:t>o</w:t>
      </w:r>
      <w:r>
        <w:t xml:space="preserve"> come, sia il Legislatore sia la recente giurisprudenza, faccia rientrare nell’ambito applicativo, due servizi collegati al ciclo idrico integrato, ovvero il servizio di fornitura dell’acqua potabile e quello di rete fognaria.</w:t>
      </w:r>
    </w:p>
    <w:p w14:paraId="71B5B5EB" w14:textId="2B9AD420" w:rsidR="007043DC" w:rsidRDefault="007043DC" w:rsidP="007043DC">
      <w:pPr>
        <w:jc w:val="both"/>
      </w:pPr>
      <w:r>
        <w:t xml:space="preserve">Gli operatori che gestiscono nei 62 </w:t>
      </w:r>
      <w:r w:rsidRPr="007043DC">
        <w:t>ambiti territoriali ottimali (ATO)</w:t>
      </w:r>
      <w:r>
        <w:t xml:space="preserve"> il servizio per </w:t>
      </w:r>
      <w:r w:rsidR="006E4AD7">
        <w:t>i circa</w:t>
      </w:r>
      <w:r>
        <w:t xml:space="preserve"> 8mila comuni italiani, </w:t>
      </w:r>
      <w:r w:rsidR="00F44B63">
        <w:t xml:space="preserve">salvo </w:t>
      </w:r>
      <w:r>
        <w:t>i casi di gestione del servizio in economia, dovranno versare il Canone per i servizi di rete, sulla base del criterio di calcolo e della tariffa fissata dal comma 831 e aggiornata annualmente in base all’indice ISTAT.</w:t>
      </w:r>
      <w:r w:rsidR="0077741E">
        <w:t xml:space="preserve"> Si tratta di oltre 200 società il cui capitale può essere interamente pubblico, misto o privato. In ogni caso soggette al pagamento del canone per i servizi di rete.</w:t>
      </w:r>
    </w:p>
    <w:p w14:paraId="66D95F59" w14:textId="4E7C5CAC" w:rsidR="0077741E" w:rsidRDefault="007043DC" w:rsidP="007043DC">
      <w:pPr>
        <w:jc w:val="both"/>
      </w:pPr>
      <w:r>
        <w:t xml:space="preserve">Nel primo </w:t>
      </w:r>
      <w:r w:rsidR="00F44B63">
        <w:t>contributo</w:t>
      </w:r>
      <w:r>
        <w:t xml:space="preserve"> </w:t>
      </w:r>
      <w:r w:rsidR="00F44B63">
        <w:t>avevamo</w:t>
      </w:r>
      <w:r>
        <w:t xml:space="preserve"> analizzato l’organizzazione del servizio idrico in due regioni, il Veneto</w:t>
      </w:r>
      <w:r w:rsidR="0077741E">
        <w:t>, con 13 società che operano nel territorio delle 6 Province più la Citta Metropolitana di Venezia</w:t>
      </w:r>
      <w:r>
        <w:t xml:space="preserve"> e la Campania</w:t>
      </w:r>
      <w:r w:rsidR="0077741E">
        <w:t xml:space="preserve"> con le sue  21 società distribuite in 5 Province</w:t>
      </w:r>
      <w:r>
        <w:t xml:space="preserve">. </w:t>
      </w:r>
    </w:p>
    <w:p w14:paraId="4E5E98E5" w14:textId="68B0EF4E" w:rsidR="007043DC" w:rsidRDefault="007043DC" w:rsidP="007043DC">
      <w:pPr>
        <w:jc w:val="both"/>
      </w:pPr>
      <w:r>
        <w:t xml:space="preserve">Con questa seconda parte proseguiamo l’analisi scegliendo </w:t>
      </w:r>
      <w:r w:rsidR="006E4AD7">
        <w:t xml:space="preserve">altre </w:t>
      </w:r>
      <w:r>
        <w:t>3 regioni</w:t>
      </w:r>
      <w:r w:rsidR="006E4AD7">
        <w:t>:</w:t>
      </w:r>
      <w:r w:rsidR="00CB7A10">
        <w:t xml:space="preserve"> Lombardia, Lazio e Puglia. Tre realtà rappresentative rispettivamente del nord, centro e sud d’Italia. Dall’analisi degli operatori presenti in queste regioni capiremo se quanto già elaborato per Veneto e Campania trova conferma.</w:t>
      </w:r>
    </w:p>
    <w:p w14:paraId="59847872" w14:textId="77777777" w:rsidR="0034708E" w:rsidRDefault="0034708E" w:rsidP="005D20BB">
      <w:pPr>
        <w:pStyle w:val="Nessunaspaziatura"/>
        <w:jc w:val="both"/>
      </w:pPr>
    </w:p>
    <w:p w14:paraId="19A9B4E3" w14:textId="22000A1A" w:rsidR="0034708E" w:rsidRDefault="0034708E" w:rsidP="0034708E">
      <w:pPr>
        <w:jc w:val="both"/>
        <w:rPr>
          <w:b/>
          <w:bCs/>
        </w:rPr>
      </w:pPr>
      <w:r w:rsidRPr="0034708E">
        <w:rPr>
          <w:b/>
          <w:bCs/>
        </w:rPr>
        <w:t>Case study</w:t>
      </w:r>
      <w:r>
        <w:rPr>
          <w:b/>
          <w:bCs/>
        </w:rPr>
        <w:t xml:space="preserve"> </w:t>
      </w:r>
      <w:r w:rsidR="006E4AD7">
        <w:rPr>
          <w:b/>
          <w:bCs/>
        </w:rPr>
        <w:t xml:space="preserve">- </w:t>
      </w:r>
      <w:r>
        <w:rPr>
          <w:b/>
          <w:bCs/>
        </w:rPr>
        <w:t xml:space="preserve">Regione </w:t>
      </w:r>
      <w:r w:rsidR="00CB7A10">
        <w:rPr>
          <w:b/>
          <w:bCs/>
        </w:rPr>
        <w:t>Lombardia</w:t>
      </w:r>
    </w:p>
    <w:p w14:paraId="1D5079C5" w14:textId="491F804B" w:rsidR="00CB7A10" w:rsidRDefault="00CB7A10" w:rsidP="0034708E">
      <w:pPr>
        <w:jc w:val="both"/>
      </w:pPr>
      <w:r w:rsidRPr="00CB7A10">
        <w:t>La Lombardia, con i suoi 1.502 comuni è la regione più popolosa d’Italia con quasi 10 milioni di abitanti.</w:t>
      </w:r>
      <w:r>
        <w:t xml:space="preserve"> Per l’analisi che ci riguarda rappresenta quindi un campione particolarmente rilevante, stimando una presenza di utenze attive per la fornitura di acqua potabile e di rete fognaria decisamente superiore a qualunque altra regione.</w:t>
      </w:r>
    </w:p>
    <w:p w14:paraId="32562E94" w14:textId="55C4958D" w:rsidR="00CB7A10" w:rsidRDefault="00CB7A10" w:rsidP="0034708E">
      <w:pPr>
        <w:jc w:val="both"/>
      </w:pPr>
      <w:r>
        <w:t xml:space="preserve">In un contesto così grande solo 44 </w:t>
      </w:r>
      <w:r w:rsidR="006E390F">
        <w:t xml:space="preserve">sono </w:t>
      </w:r>
      <w:r>
        <w:t xml:space="preserve">i Comuni </w:t>
      </w:r>
      <w:r w:rsidR="006E390F">
        <w:t>che</w:t>
      </w:r>
      <w:r>
        <w:t xml:space="preserve"> gestiscono il servizio di distribuzione dell’acqua potabile in economia. Una percentuale </w:t>
      </w:r>
      <w:r w:rsidR="006E4AD7">
        <w:t>prossima allo zero</w:t>
      </w:r>
      <w:r>
        <w:t xml:space="preserve"> rispetto ai volu</w:t>
      </w:r>
      <w:r w:rsidR="0053372D">
        <w:t>m</w:t>
      </w:r>
      <w:r>
        <w:t xml:space="preserve">i di utenze gestite da soggetti economici. In Lombardia </w:t>
      </w:r>
      <w:r w:rsidR="006E4AD7">
        <w:t xml:space="preserve">infatti </w:t>
      </w:r>
      <w:r>
        <w:t>operano 21 società accreditate nel portale di ARERA come distributori del servizio di rete</w:t>
      </w:r>
      <w:r w:rsidR="00AC18D9">
        <w:t>:</w:t>
      </w:r>
    </w:p>
    <w:p w14:paraId="1B22D883" w14:textId="35D03866" w:rsidR="00AC18D9" w:rsidRDefault="00AC18D9" w:rsidP="00AC18D9">
      <w:pPr>
        <w:pStyle w:val="Nessunaspaziatura"/>
      </w:pPr>
      <w:r>
        <w:t>A2a Ciclo Idrico</w:t>
      </w:r>
      <w:r w:rsidR="005B2247">
        <w:t>: società che serve 88 comuni della provincia di Brescia</w:t>
      </w:r>
    </w:p>
    <w:p w14:paraId="22D8CB92" w14:textId="60A6D320" w:rsidR="00AC18D9" w:rsidRDefault="00AC18D9" w:rsidP="00AC18D9">
      <w:pPr>
        <w:pStyle w:val="Nessunaspaziatura"/>
      </w:pPr>
      <w:proofErr w:type="spellStart"/>
      <w:r>
        <w:t>Abm</w:t>
      </w:r>
      <w:proofErr w:type="spellEnd"/>
      <w:r>
        <w:t xml:space="preserve"> Next Srl</w:t>
      </w:r>
      <w:r w:rsidR="005B2247">
        <w:t>: società che serve 1 comune della provincia di Bergamo</w:t>
      </w:r>
    </w:p>
    <w:p w14:paraId="7206596E" w14:textId="26BDA8A3" w:rsidR="00AC18D9" w:rsidRDefault="00AC18D9" w:rsidP="00AC18D9">
      <w:pPr>
        <w:pStyle w:val="Nessunaspaziatura"/>
      </w:pPr>
      <w:r>
        <w:t>Acque Bresciane Srl</w:t>
      </w:r>
      <w:r w:rsidR="005B2247">
        <w:t>: società che serve 100 comuni della provincia di Brescia</w:t>
      </w:r>
    </w:p>
    <w:p w14:paraId="78A1D668" w14:textId="328F0683" w:rsidR="00AC18D9" w:rsidRDefault="00AC18D9" w:rsidP="00AC18D9">
      <w:pPr>
        <w:pStyle w:val="Nessunaspaziatura"/>
      </w:pPr>
      <w:r>
        <w:t>Alfa S.R.L.</w:t>
      </w:r>
      <w:r w:rsidR="005B2247">
        <w:t>: società che serve 101 comuni della provincia di Varese, 1 della prov. di Como, 1 della prov. di Milano, 1 della prov. di Monza</w:t>
      </w:r>
    </w:p>
    <w:p w14:paraId="73AB40F3" w14:textId="7F9DB880" w:rsidR="00AC18D9" w:rsidRDefault="00AC18D9" w:rsidP="00AC18D9">
      <w:pPr>
        <w:pStyle w:val="Nessunaspaziatura"/>
      </w:pPr>
      <w:r>
        <w:t>Aqua Seprio Servizi Srl</w:t>
      </w:r>
      <w:r w:rsidR="005B2247">
        <w:t>: società che serve 3 comuni della provincia di Como</w:t>
      </w:r>
    </w:p>
    <w:p w14:paraId="0BE79D25" w14:textId="0F302777" w:rsidR="00AC18D9" w:rsidRDefault="00AC18D9" w:rsidP="00AC18D9">
      <w:pPr>
        <w:pStyle w:val="Nessunaspaziatura"/>
      </w:pPr>
      <w:r>
        <w:t>Brianzacque Srl</w:t>
      </w:r>
      <w:r w:rsidR="005B2247">
        <w:t>: società che serve 55 comuni della provincia di Monza</w:t>
      </w:r>
    </w:p>
    <w:p w14:paraId="4F845973" w14:textId="277D8DB3" w:rsidR="00AC18D9" w:rsidRDefault="00AC18D9" w:rsidP="00AC18D9">
      <w:pPr>
        <w:pStyle w:val="Nessunaspaziatura"/>
      </w:pPr>
      <w:r>
        <w:t>Cap Holding S.P.A</w:t>
      </w:r>
      <w:r w:rsidR="005B2247">
        <w:t xml:space="preserve">: società che serve 132 comuni della provincia di Milano, 1 della prov. di Pavia, 1 della prov. di Varese </w:t>
      </w:r>
    </w:p>
    <w:p w14:paraId="236875C8" w14:textId="117139D1" w:rsidR="00AC18D9" w:rsidRDefault="00AC18D9" w:rsidP="00AC18D9">
      <w:pPr>
        <w:pStyle w:val="Nessunaspaziatura"/>
      </w:pPr>
      <w:r>
        <w:t>Como Acqua S.R.L.</w:t>
      </w:r>
      <w:r w:rsidR="005B2247">
        <w:t>: società che serve 141 comuni della provincia di Como</w:t>
      </w:r>
    </w:p>
    <w:p w14:paraId="797B4DCC" w14:textId="7AA5CABC" w:rsidR="00AC18D9" w:rsidRDefault="00AC18D9" w:rsidP="00AC18D9">
      <w:pPr>
        <w:pStyle w:val="Nessunaspaziatura"/>
      </w:pPr>
      <w:r>
        <w:t>Lario Reti Holding</w:t>
      </w:r>
      <w:r w:rsidR="005B2247">
        <w:t>: società che serve 84 comuni della provincia di Lecco</w:t>
      </w:r>
    </w:p>
    <w:p w14:paraId="0A648AA4" w14:textId="39CF24CC" w:rsidR="00AC18D9" w:rsidRDefault="00AC18D9" w:rsidP="00AC18D9">
      <w:pPr>
        <w:pStyle w:val="Nessunaspaziatura"/>
      </w:pPr>
      <w:proofErr w:type="spellStart"/>
      <w:r>
        <w:t>Lereti</w:t>
      </w:r>
      <w:proofErr w:type="spellEnd"/>
      <w:r>
        <w:t xml:space="preserve"> S.P.A.</w:t>
      </w:r>
      <w:r w:rsidR="005B2247">
        <w:t>: società che serve 34 comuni della provincia di Varese e 2 della prov. di Como</w:t>
      </w:r>
    </w:p>
    <w:p w14:paraId="4E276F0C" w14:textId="44C05031" w:rsidR="00AC18D9" w:rsidRDefault="00AC18D9" w:rsidP="00AC18D9">
      <w:pPr>
        <w:pStyle w:val="Nessunaspaziatura"/>
      </w:pPr>
      <w:r>
        <w:lastRenderedPageBreak/>
        <w:t>Mm S.P.A.</w:t>
      </w:r>
      <w:r w:rsidR="005B2247">
        <w:t>: società che serve 4 comuni della provincia di Milano</w:t>
      </w:r>
    </w:p>
    <w:p w14:paraId="59DC0569" w14:textId="09A9A735" w:rsidR="00AC18D9" w:rsidRDefault="00AC18D9" w:rsidP="00AC18D9">
      <w:pPr>
        <w:pStyle w:val="Nessunaspaziatura"/>
      </w:pPr>
      <w:r>
        <w:t>Padania Acque S.P.A.</w:t>
      </w:r>
      <w:r w:rsidR="005B2247">
        <w:t>: società che serve 113 comuni della provincia di Cremona</w:t>
      </w:r>
    </w:p>
    <w:p w14:paraId="68C8761E" w14:textId="7CE89AE3" w:rsidR="00AC18D9" w:rsidRDefault="00AC18D9" w:rsidP="00AC18D9">
      <w:pPr>
        <w:pStyle w:val="Nessunaspaziatura"/>
      </w:pPr>
      <w:r>
        <w:t>Pavia Acque S.C.A.R.L.</w:t>
      </w:r>
      <w:r w:rsidR="005B2247">
        <w:t>: società che serve 186 comuni della provincia di Pavia</w:t>
      </w:r>
    </w:p>
    <w:p w14:paraId="6D684918" w14:textId="2AB5CBCF" w:rsidR="00AC18D9" w:rsidRDefault="00AC18D9" w:rsidP="00AC18D9">
      <w:pPr>
        <w:pStyle w:val="Nessunaspaziatura"/>
      </w:pPr>
      <w:r>
        <w:t xml:space="preserve">Realizzazione E Gestione Servizi Pubblici Locali Spa, Per Brevità </w:t>
      </w:r>
      <w:proofErr w:type="spellStart"/>
      <w:r>
        <w:t>Cogeide</w:t>
      </w:r>
      <w:proofErr w:type="spellEnd"/>
      <w:r>
        <w:t xml:space="preserve"> Spa</w:t>
      </w:r>
      <w:r w:rsidR="005B2247">
        <w:t>: società che serve 15 comuni della provincia di Bergamo</w:t>
      </w:r>
    </w:p>
    <w:p w14:paraId="54C902A5" w14:textId="18EC5C13" w:rsidR="00AC18D9" w:rsidRDefault="00AC18D9" w:rsidP="00AC18D9">
      <w:pPr>
        <w:pStyle w:val="Nessunaspaziatura"/>
      </w:pPr>
      <w:proofErr w:type="spellStart"/>
      <w:r>
        <w:t>S.Ec.Am</w:t>
      </w:r>
      <w:proofErr w:type="spellEnd"/>
      <w:r>
        <w:t>. S.P.A.</w:t>
      </w:r>
      <w:r w:rsidR="00DA0E9E">
        <w:t>: società che serve 77 comuni della provincia di Sondrio</w:t>
      </w:r>
    </w:p>
    <w:p w14:paraId="3E77678E" w14:textId="7359DFD0" w:rsidR="00AC18D9" w:rsidRDefault="00AC18D9" w:rsidP="00AC18D9">
      <w:pPr>
        <w:pStyle w:val="Nessunaspaziatura"/>
      </w:pPr>
      <w:r>
        <w:t>Sebino Servizi Srl</w:t>
      </w:r>
      <w:r w:rsidR="00DA0E9E">
        <w:t>: società che serve 1 comune della provincia di Brescia</w:t>
      </w:r>
    </w:p>
    <w:p w14:paraId="05CC96D8" w14:textId="4E325CD9" w:rsidR="00AC18D9" w:rsidRDefault="00AC18D9" w:rsidP="00AC18D9">
      <w:pPr>
        <w:pStyle w:val="Nessunaspaziatura"/>
      </w:pPr>
      <w:proofErr w:type="spellStart"/>
      <w:r>
        <w:t>Sicam</w:t>
      </w:r>
      <w:proofErr w:type="spellEnd"/>
      <w:r>
        <w:t xml:space="preserve"> Srl Con Socio Unico</w:t>
      </w:r>
      <w:r w:rsidR="00DA0E9E">
        <w:t>: società che serve 18 comuni della provincia di Mantova</w:t>
      </w:r>
    </w:p>
    <w:p w14:paraId="14C3914C" w14:textId="6371EE45" w:rsidR="00AC18D9" w:rsidRDefault="00AC18D9" w:rsidP="00AC18D9">
      <w:pPr>
        <w:pStyle w:val="Nessunaspaziatura"/>
      </w:pPr>
      <w:proofErr w:type="spellStart"/>
      <w:r>
        <w:t>Societa'</w:t>
      </w:r>
      <w:proofErr w:type="spellEnd"/>
      <w:r>
        <w:t xml:space="preserve"> Acqua Lodigiana Srl</w:t>
      </w:r>
      <w:r w:rsidR="00DA0E9E">
        <w:t>: società che serve 60  comuni della provincia di Lodi</w:t>
      </w:r>
    </w:p>
    <w:p w14:paraId="7879E834" w14:textId="2D917631" w:rsidR="00AC18D9" w:rsidRDefault="00AC18D9" w:rsidP="00AC18D9">
      <w:pPr>
        <w:pStyle w:val="Nessunaspaziatura"/>
      </w:pPr>
      <w:proofErr w:type="spellStart"/>
      <w:r>
        <w:t>Uniacque</w:t>
      </w:r>
      <w:proofErr w:type="spellEnd"/>
      <w:r>
        <w:t xml:space="preserve"> Spa</w:t>
      </w:r>
      <w:r w:rsidR="00DA0E9E">
        <w:t>: società che serve 216 comuni della provincia di Bergamo</w:t>
      </w:r>
    </w:p>
    <w:p w14:paraId="44531B20" w14:textId="77777777" w:rsidR="006E4AD7" w:rsidRDefault="006E4AD7" w:rsidP="00AC18D9">
      <w:pPr>
        <w:pStyle w:val="Nessunaspaziatura"/>
      </w:pPr>
    </w:p>
    <w:p w14:paraId="3362F458" w14:textId="72992CCD" w:rsidR="006E4AD7" w:rsidRDefault="00FE0751" w:rsidP="005B2247">
      <w:pPr>
        <w:pStyle w:val="Nessunaspaziatura"/>
        <w:jc w:val="both"/>
      </w:pPr>
      <w:r>
        <w:t xml:space="preserve">Tutte </w:t>
      </w:r>
      <w:r w:rsidR="005B2247">
        <w:t xml:space="preserve">le </w:t>
      </w:r>
      <w:r>
        <w:t xml:space="preserve">aziende </w:t>
      </w:r>
      <w:r w:rsidR="005B2247">
        <w:t xml:space="preserve">che operano in Lombardia sono </w:t>
      </w:r>
      <w:r>
        <w:t xml:space="preserve">organizzate come società di capitali che devono corrispondere il </w:t>
      </w:r>
      <w:r w:rsidR="005B2247">
        <w:t>c</w:t>
      </w:r>
      <w:r>
        <w:t xml:space="preserve">anone per i servizi di rete ai Comuni e alle Province dei territori in cui erogano i servizi di acqua potabile e fognatura. </w:t>
      </w:r>
    </w:p>
    <w:p w14:paraId="27A430BC" w14:textId="7B5C44C6" w:rsidR="006E390F" w:rsidRDefault="006E390F" w:rsidP="005B2247">
      <w:pPr>
        <w:pStyle w:val="Nessunaspaziatura"/>
        <w:jc w:val="both"/>
      </w:pPr>
      <w:r>
        <w:t>Quante di queste stanno effettivamente versando il Canone ai comuni?</w:t>
      </w:r>
    </w:p>
    <w:p w14:paraId="7A57E9AF" w14:textId="5E956161" w:rsidR="00FE0751" w:rsidRDefault="006E390F" w:rsidP="00FE0751">
      <w:pPr>
        <w:pStyle w:val="Nessunaspaziatura"/>
        <w:jc w:val="both"/>
      </w:pPr>
      <w:r>
        <w:t>Non</w:t>
      </w:r>
      <w:r w:rsidR="00FE0751">
        <w:t xml:space="preserve"> tutte</w:t>
      </w:r>
      <w:r>
        <w:t xml:space="preserve">, alcune di queste si </w:t>
      </w:r>
      <w:proofErr w:type="spellStart"/>
      <w:r w:rsidR="00FE0751">
        <w:t>ritenen</w:t>
      </w:r>
      <w:r>
        <w:t>gono</w:t>
      </w:r>
      <w:proofErr w:type="spellEnd"/>
      <w:r w:rsidR="00FE0751">
        <w:t xml:space="preserve"> escluse dall’</w:t>
      </w:r>
      <w:r w:rsidR="005B2247">
        <w:t>ambito</w:t>
      </w:r>
      <w:r w:rsidR="00FE0751">
        <w:t xml:space="preserve"> applicativo, fondamentalmente per effetto delle disposizioni contenute nelle lettere A e D del comma 833 art. 1 della Legge 160/2019 e per effetto di accordi contrattuali definiti all’interno dei capitolati di servizio.</w:t>
      </w:r>
    </w:p>
    <w:p w14:paraId="10E454E7" w14:textId="77777777" w:rsidR="005B2247" w:rsidRDefault="005B2247" w:rsidP="00FE0751">
      <w:pPr>
        <w:pStyle w:val="Nessunaspaziatura"/>
        <w:jc w:val="both"/>
      </w:pPr>
    </w:p>
    <w:p w14:paraId="7B661464" w14:textId="77732AF6" w:rsidR="00FE0751" w:rsidRPr="00CB7A10" w:rsidRDefault="00FE0751" w:rsidP="00FE0751">
      <w:pPr>
        <w:pStyle w:val="Nessunaspaziatura"/>
        <w:jc w:val="both"/>
      </w:pPr>
      <w:r>
        <w:t xml:space="preserve">Abbiamo già avuto modo di analizzare queste ipotesi, giungendo alla conclusione che in nessun caso possono trovare applicazione. L’ipotesi della lettera a) del comma 833 </w:t>
      </w:r>
      <w:r w:rsidR="005B2247">
        <w:t xml:space="preserve">infatti </w:t>
      </w:r>
      <w:r>
        <w:t xml:space="preserve">richiede requisiti soggettivi che mancano in tutte queste realtà societarie; l’ipotesi della successiva lettera d) manca per l’impossibilità di formazione della condizione necessaria, ovvero la devoluzione gratuita dell’infrastruttura al Comune, ipotesi non concretamente verificabile dal momento che la rete idrica nasce già pubblica senza alcuna necessità di devoluzione da parte del gestore di turno; infine l’ipotesi di esenzione riportata nello specifico rapporto contrattuale tra l’ente e la società </w:t>
      </w:r>
      <w:r w:rsidR="00D6274F">
        <w:t>sarebbe, anche se fosse in qualche modo prevista, del tutto illegittima e priva di effetti non rispettando il principio di indisponibilità previsto nel nostro ordinamento in relazione alle pretese fiscali, locali ed erariali.</w:t>
      </w:r>
    </w:p>
    <w:p w14:paraId="05FEC3C9" w14:textId="77777777" w:rsidR="0034708E" w:rsidRDefault="0034708E" w:rsidP="005D20BB">
      <w:pPr>
        <w:pStyle w:val="Nessunaspaziatura"/>
        <w:jc w:val="both"/>
      </w:pPr>
    </w:p>
    <w:p w14:paraId="4F28B2E9" w14:textId="2DC70731" w:rsidR="00CB7A10" w:rsidRDefault="00CB7A10" w:rsidP="00CB7A10">
      <w:pPr>
        <w:jc w:val="both"/>
        <w:rPr>
          <w:b/>
          <w:bCs/>
        </w:rPr>
      </w:pPr>
      <w:r w:rsidRPr="0034708E">
        <w:rPr>
          <w:b/>
          <w:bCs/>
        </w:rPr>
        <w:t>Case study</w:t>
      </w:r>
      <w:r>
        <w:rPr>
          <w:b/>
          <w:bCs/>
        </w:rPr>
        <w:t xml:space="preserve"> Regione Lazio</w:t>
      </w:r>
    </w:p>
    <w:p w14:paraId="23B6538A" w14:textId="18442830" w:rsidR="00DA0E9E" w:rsidRDefault="00DA0E9E" w:rsidP="00CB7A10">
      <w:pPr>
        <w:jc w:val="both"/>
      </w:pPr>
      <w:r>
        <w:t>Nella regione Lazio su 378 comuni complessivi sono 24 quelli gestiti in economia, gli altri sono tutti riconducibili a 8 società</w:t>
      </w:r>
      <w:r w:rsidR="00B633C6">
        <w:t>:</w:t>
      </w:r>
    </w:p>
    <w:p w14:paraId="237E9548" w14:textId="0C114620" w:rsidR="00DA0E9E" w:rsidRDefault="00977C7F" w:rsidP="00977C7F">
      <w:pPr>
        <w:pStyle w:val="Nessunaspaziatura"/>
      </w:pPr>
      <w:r w:rsidRPr="00977C7F">
        <w:t>ACEA ATO 5 SPA</w:t>
      </w:r>
      <w:r>
        <w:t xml:space="preserve"> società che serve 83 comuni della provincia di Frosinone e 1 di Latina</w:t>
      </w:r>
    </w:p>
    <w:p w14:paraId="0A63CE64" w14:textId="00B3C821" w:rsidR="00977C7F" w:rsidRDefault="00977C7F" w:rsidP="00977C7F">
      <w:pPr>
        <w:pStyle w:val="Nessunaspaziatura"/>
      </w:pPr>
      <w:r w:rsidRPr="00977C7F">
        <w:t>ACEA ATO2 S.P.A.</w:t>
      </w:r>
      <w:r>
        <w:t xml:space="preserve"> società che serve 102 comuni della provincia di Roma, 1 </w:t>
      </w:r>
      <w:r w:rsidR="00B633C6">
        <w:t>di</w:t>
      </w:r>
      <w:r>
        <w:t xml:space="preserve"> Frosinone e 2 di Viterbo </w:t>
      </w:r>
    </w:p>
    <w:p w14:paraId="6EF95F07" w14:textId="60A4CB28" w:rsidR="00977C7F" w:rsidRDefault="00977C7F" w:rsidP="00977C7F">
      <w:pPr>
        <w:pStyle w:val="Nessunaspaziatura"/>
      </w:pPr>
      <w:r w:rsidRPr="00977C7F">
        <w:t>Acqua Pubblica Sabina S.P.A.</w:t>
      </w:r>
      <w:r>
        <w:t xml:space="preserve"> </w:t>
      </w:r>
      <w:r w:rsidRPr="00977C7F">
        <w:t xml:space="preserve">società che serve </w:t>
      </w:r>
      <w:r>
        <w:t>59</w:t>
      </w:r>
      <w:r w:rsidRPr="00977C7F">
        <w:t xml:space="preserve"> comuni della provincia di R</w:t>
      </w:r>
      <w:r>
        <w:t>ieti</w:t>
      </w:r>
      <w:r w:rsidR="00B633C6">
        <w:t xml:space="preserve"> e</w:t>
      </w:r>
      <w:r w:rsidRPr="00977C7F">
        <w:t xml:space="preserve"> </w:t>
      </w:r>
      <w:r>
        <w:t>8</w:t>
      </w:r>
      <w:r w:rsidRPr="00977C7F">
        <w:t xml:space="preserve"> </w:t>
      </w:r>
      <w:r w:rsidR="00B633C6">
        <w:t xml:space="preserve">di </w:t>
      </w:r>
      <w:r>
        <w:t>Roma</w:t>
      </w:r>
    </w:p>
    <w:p w14:paraId="2EC2DCEB" w14:textId="5342AB34" w:rsidR="00977C7F" w:rsidRPr="00977C7F" w:rsidRDefault="00694A2B" w:rsidP="00977C7F">
      <w:pPr>
        <w:pStyle w:val="Nessunaspaziatura"/>
      </w:pPr>
      <w:r w:rsidRPr="00694A2B">
        <w:t>ACQUALATINA SPA</w:t>
      </w:r>
      <w:r w:rsidR="00B633C6">
        <w:t xml:space="preserve"> </w:t>
      </w:r>
      <w:r w:rsidR="00B633C6" w:rsidRPr="00977C7F">
        <w:t xml:space="preserve">società che serve </w:t>
      </w:r>
      <w:r w:rsidR="00B633C6">
        <w:t>32</w:t>
      </w:r>
      <w:r w:rsidR="00B633C6" w:rsidRPr="00977C7F">
        <w:t xml:space="preserve"> comuni della provincia di</w:t>
      </w:r>
      <w:r w:rsidR="00B633C6">
        <w:t xml:space="preserve"> Latina, 4 di Frosinone e 2 di Roma</w:t>
      </w:r>
    </w:p>
    <w:p w14:paraId="7D02EF55" w14:textId="642F227C" w:rsidR="00977C7F" w:rsidRDefault="00694A2B" w:rsidP="00977C7F">
      <w:pPr>
        <w:spacing w:after="0" w:line="240" w:lineRule="auto"/>
        <w:jc w:val="both"/>
        <w:rPr>
          <w:rFonts w:ascii="Calibri" w:eastAsia="Times New Roman" w:hAnsi="Calibri" w:cs="Calibri"/>
          <w:kern w:val="0"/>
          <w:sz w:val="20"/>
          <w:szCs w:val="20"/>
          <w:lang w:eastAsia="it-IT"/>
          <w14:ligatures w14:val="none"/>
        </w:rPr>
      </w:pPr>
      <w:r w:rsidRPr="00694A2B">
        <w:rPr>
          <w:rFonts w:ascii="Calibri" w:eastAsia="Times New Roman" w:hAnsi="Calibri" w:cs="Calibri"/>
          <w:kern w:val="0"/>
          <w:sz w:val="20"/>
          <w:szCs w:val="20"/>
          <w:lang w:eastAsia="it-IT"/>
          <w14:ligatures w14:val="none"/>
        </w:rPr>
        <w:t>AMEA S.P.A.</w:t>
      </w:r>
      <w:r w:rsidR="00B633C6">
        <w:rPr>
          <w:rFonts w:ascii="Calibri" w:eastAsia="Times New Roman" w:hAnsi="Calibri" w:cs="Calibri"/>
          <w:kern w:val="0"/>
          <w:sz w:val="20"/>
          <w:szCs w:val="20"/>
          <w:lang w:eastAsia="it-IT"/>
          <w14:ligatures w14:val="none"/>
        </w:rPr>
        <w:t xml:space="preserve"> </w:t>
      </w:r>
      <w:r w:rsidR="00B633C6" w:rsidRPr="00977C7F">
        <w:t xml:space="preserve">società che serve </w:t>
      </w:r>
      <w:r w:rsidR="00B633C6">
        <w:t>2</w:t>
      </w:r>
      <w:r w:rsidR="00B633C6" w:rsidRPr="00977C7F">
        <w:t xml:space="preserve"> comuni della provincia di</w:t>
      </w:r>
      <w:r w:rsidR="00B633C6">
        <w:t xml:space="preserve"> Frosinone</w:t>
      </w:r>
    </w:p>
    <w:p w14:paraId="04D09377" w14:textId="4D7FA854" w:rsidR="00694A2B" w:rsidRDefault="00694A2B" w:rsidP="00977C7F">
      <w:pPr>
        <w:spacing w:after="0" w:line="240" w:lineRule="auto"/>
        <w:jc w:val="both"/>
        <w:rPr>
          <w:rFonts w:ascii="Calibri" w:eastAsia="Times New Roman" w:hAnsi="Calibri" w:cs="Calibri"/>
          <w:kern w:val="0"/>
          <w:sz w:val="20"/>
          <w:szCs w:val="20"/>
          <w:lang w:eastAsia="it-IT"/>
          <w14:ligatures w14:val="none"/>
        </w:rPr>
      </w:pPr>
      <w:r w:rsidRPr="00694A2B">
        <w:rPr>
          <w:rFonts w:ascii="Calibri" w:eastAsia="Times New Roman" w:hAnsi="Calibri" w:cs="Calibri"/>
          <w:kern w:val="0"/>
          <w:sz w:val="20"/>
          <w:szCs w:val="20"/>
          <w:lang w:eastAsia="it-IT"/>
          <w14:ligatures w14:val="none"/>
        </w:rPr>
        <w:t>IDRICA</w:t>
      </w:r>
      <w:r w:rsidR="00B633C6">
        <w:rPr>
          <w:rFonts w:ascii="Calibri" w:eastAsia="Times New Roman" w:hAnsi="Calibri" w:cs="Calibri"/>
          <w:kern w:val="0"/>
          <w:sz w:val="20"/>
          <w:szCs w:val="20"/>
          <w:lang w:eastAsia="it-IT"/>
          <w14:ligatures w14:val="none"/>
        </w:rPr>
        <w:t xml:space="preserve"> </w:t>
      </w:r>
      <w:r w:rsidR="00B633C6" w:rsidRPr="00977C7F">
        <w:t xml:space="preserve">società che serve </w:t>
      </w:r>
      <w:r w:rsidR="00B633C6">
        <w:t>1</w:t>
      </w:r>
      <w:r w:rsidR="00B633C6" w:rsidRPr="00977C7F">
        <w:t xml:space="preserve"> comun</w:t>
      </w:r>
      <w:r w:rsidR="00B633C6">
        <w:t>e</w:t>
      </w:r>
      <w:r w:rsidR="00B633C6" w:rsidRPr="00977C7F">
        <w:t xml:space="preserve"> della provincia di</w:t>
      </w:r>
      <w:r w:rsidR="00B633C6">
        <w:t xml:space="preserve"> Roma</w:t>
      </w:r>
    </w:p>
    <w:p w14:paraId="1C7E1AC8" w14:textId="4C5446F0" w:rsidR="00B633C6" w:rsidRPr="00977C7F" w:rsidRDefault="00694A2B" w:rsidP="00B633C6">
      <w:pPr>
        <w:pStyle w:val="Nessunaspaziatura"/>
      </w:pPr>
      <w:r w:rsidRPr="00694A2B">
        <w:rPr>
          <w:rFonts w:ascii="Calibri" w:eastAsia="Times New Roman" w:hAnsi="Calibri" w:cs="Calibri"/>
          <w:kern w:val="0"/>
          <w:sz w:val="20"/>
          <w:szCs w:val="20"/>
          <w:lang w:eastAsia="it-IT"/>
          <w14:ligatures w14:val="none"/>
        </w:rPr>
        <w:t>TALETE S.P.A.</w:t>
      </w:r>
      <w:r w:rsidR="00B633C6">
        <w:rPr>
          <w:rFonts w:ascii="Calibri" w:eastAsia="Times New Roman" w:hAnsi="Calibri" w:cs="Calibri"/>
          <w:kern w:val="0"/>
          <w:sz w:val="20"/>
          <w:szCs w:val="20"/>
          <w:lang w:eastAsia="it-IT"/>
          <w14:ligatures w14:val="none"/>
        </w:rPr>
        <w:t xml:space="preserve"> </w:t>
      </w:r>
      <w:r w:rsidR="00B633C6" w:rsidRPr="00977C7F">
        <w:t xml:space="preserve">società che serve </w:t>
      </w:r>
      <w:r w:rsidR="00B633C6">
        <w:t>48</w:t>
      </w:r>
      <w:r w:rsidR="00B633C6" w:rsidRPr="00977C7F">
        <w:t xml:space="preserve"> comuni della provincia di</w:t>
      </w:r>
      <w:r w:rsidR="00B633C6">
        <w:t xml:space="preserve"> </w:t>
      </w:r>
      <w:r w:rsidR="00B633C6">
        <w:t xml:space="preserve">Viterbo e </w:t>
      </w:r>
      <w:r w:rsidR="00B633C6">
        <w:t xml:space="preserve"> </w:t>
      </w:r>
      <w:r w:rsidR="00B633C6">
        <w:t>3</w:t>
      </w:r>
      <w:r w:rsidR="00B633C6">
        <w:t xml:space="preserve"> di Roma</w:t>
      </w:r>
    </w:p>
    <w:p w14:paraId="164EB436" w14:textId="2CD62A7F" w:rsidR="00694A2B" w:rsidRPr="00977C7F" w:rsidRDefault="00694A2B" w:rsidP="00977C7F">
      <w:pPr>
        <w:spacing w:after="0" w:line="240" w:lineRule="auto"/>
        <w:jc w:val="both"/>
        <w:rPr>
          <w:rFonts w:ascii="Calibri" w:eastAsia="Times New Roman" w:hAnsi="Calibri" w:cs="Calibri"/>
          <w:kern w:val="0"/>
          <w:sz w:val="20"/>
          <w:szCs w:val="20"/>
          <w:lang w:eastAsia="it-IT"/>
          <w14:ligatures w14:val="none"/>
        </w:rPr>
      </w:pPr>
    </w:p>
    <w:p w14:paraId="07A17A40" w14:textId="680B005C" w:rsidR="00CB7A10" w:rsidRDefault="00B633C6" w:rsidP="00CB7A10">
      <w:pPr>
        <w:jc w:val="both"/>
      </w:pPr>
      <w:r>
        <w:t xml:space="preserve">Le otto società sono tenute al pagamento del CUP a favore dei Comuni e delle Province servite. Abbiamo nel Lazio due società del gruppo ACEA, società quotata in Borsa con capitale </w:t>
      </w:r>
      <w:r w:rsidR="007F72B9">
        <w:t>sociale</w:t>
      </w:r>
      <w:r>
        <w:t xml:space="preserve"> misto, pubblico e privato. Soggetto che a tutti gli effetti rientra nell’ambito applicativo dell’entrata locale prevista al comma 831 della Legge 160/2019.</w:t>
      </w:r>
      <w:r w:rsidR="00C26958">
        <w:t xml:space="preserve"> Le altre sei, si dividono in società a capitale interamente pubblico e società private.</w:t>
      </w:r>
    </w:p>
    <w:p w14:paraId="3B4228DA" w14:textId="77777777" w:rsidR="00C26958" w:rsidRDefault="00C26958" w:rsidP="00CB7A10">
      <w:pPr>
        <w:jc w:val="both"/>
        <w:rPr>
          <w:b/>
          <w:bCs/>
        </w:rPr>
      </w:pPr>
    </w:p>
    <w:p w14:paraId="59849C9E" w14:textId="00AA4BE3" w:rsidR="00CB7A10" w:rsidRDefault="00CB7A10" w:rsidP="00CB7A10">
      <w:pPr>
        <w:jc w:val="both"/>
        <w:rPr>
          <w:b/>
          <w:bCs/>
        </w:rPr>
      </w:pPr>
      <w:r w:rsidRPr="0034708E">
        <w:rPr>
          <w:b/>
          <w:bCs/>
        </w:rPr>
        <w:t>Case study</w:t>
      </w:r>
      <w:r>
        <w:rPr>
          <w:b/>
          <w:bCs/>
        </w:rPr>
        <w:t xml:space="preserve"> Regione Puglia</w:t>
      </w:r>
    </w:p>
    <w:p w14:paraId="784A7918" w14:textId="5F8F2040" w:rsidR="008F502E" w:rsidRPr="0093361E" w:rsidRDefault="008F502E" w:rsidP="0093361E">
      <w:pPr>
        <w:pStyle w:val="Nessunaspaziatura"/>
        <w:jc w:val="both"/>
      </w:pPr>
      <w:r>
        <w:t xml:space="preserve">Nella regione </w:t>
      </w:r>
      <w:r>
        <w:t>Puglia</w:t>
      </w:r>
      <w:r>
        <w:t xml:space="preserve"> </w:t>
      </w:r>
      <w:r w:rsidR="00093CCF">
        <w:t>nei</w:t>
      </w:r>
      <w:r>
        <w:t xml:space="preserve"> </w:t>
      </w:r>
      <w:r>
        <w:t>257</w:t>
      </w:r>
      <w:r>
        <w:t xml:space="preserve"> comuni complessivi </w:t>
      </w:r>
      <w:r>
        <w:t xml:space="preserve">distribuiti in 6 Province, sono solo 11 </w:t>
      </w:r>
      <w:r>
        <w:t xml:space="preserve">quelli gestiti in economia, gli altri </w:t>
      </w:r>
      <w:r>
        <w:t xml:space="preserve">246 </w:t>
      </w:r>
      <w:r>
        <w:t xml:space="preserve">sono tutti riconducibili a </w:t>
      </w:r>
      <w:r w:rsidRPr="008F502E">
        <w:t>ACQUEDOTTO PUGLIESE SPA</w:t>
      </w:r>
      <w:r w:rsidRPr="0093361E">
        <w:t xml:space="preserve"> </w:t>
      </w:r>
      <w:r w:rsidR="005D07ED" w:rsidRPr="0093361E">
        <w:t xml:space="preserve">salvo 28 enti gestiti dal </w:t>
      </w:r>
      <w:r w:rsidR="00093CCF" w:rsidRPr="0093361E">
        <w:t xml:space="preserve"> </w:t>
      </w:r>
      <w:r w:rsidRPr="008F502E">
        <w:t>CONSORZIO DI BONIFICA TERRE D'APULIA</w:t>
      </w:r>
      <w:r w:rsidRPr="0093361E">
        <w:t xml:space="preserve"> </w:t>
      </w:r>
      <w:r w:rsidR="00093CCF" w:rsidRPr="0093361E">
        <w:t>distribuiti nelle province di Bari (18), Taranto (6) e Barletta (4).</w:t>
      </w:r>
    </w:p>
    <w:p w14:paraId="16D0BECE" w14:textId="5094B99F" w:rsidR="008F502E" w:rsidRPr="0093361E" w:rsidRDefault="00093CCF" w:rsidP="0093361E">
      <w:pPr>
        <w:pStyle w:val="Nessunaspaziatura"/>
        <w:jc w:val="both"/>
      </w:pPr>
      <w:r w:rsidRPr="0093361E">
        <w:lastRenderedPageBreak/>
        <w:t>Acquedotto Pugliese S.p.A., società totalmente partecipata dalla Regione Puglia, è titolare della concessione per il Servizio Idrico Integrato nei comuni della Puglia e in alcuni comuni della Campania.</w:t>
      </w:r>
    </w:p>
    <w:p w14:paraId="5D904C4C" w14:textId="74444B02" w:rsidR="00593E0E" w:rsidRPr="0093361E" w:rsidRDefault="00593E0E" w:rsidP="0093361E">
      <w:pPr>
        <w:pStyle w:val="Nessunaspaziatura"/>
        <w:jc w:val="both"/>
      </w:pPr>
      <w:r w:rsidRPr="0093361E">
        <w:t>È la società che prioritariamente gestisce il servizio idrico nella regione Puglia e la sua organizzazione giuridica la esclude dai benefici previsti alla lettera A del comma 833 della Legge 160/2019, così che dovrà rispondere del pagamento del Canone per i Servizi di rete erogati (acqua potabile e fognatura) a favore dei 260 Comuni gestiti e delle 7 Province.</w:t>
      </w:r>
    </w:p>
    <w:p w14:paraId="6D899729" w14:textId="77777777" w:rsidR="0093361E" w:rsidRPr="0093361E" w:rsidRDefault="0093361E" w:rsidP="0093361E">
      <w:pPr>
        <w:pStyle w:val="Nessunaspaziatura"/>
        <w:jc w:val="both"/>
      </w:pPr>
    </w:p>
    <w:p w14:paraId="1598E6BC" w14:textId="2EC03ACB" w:rsidR="00593E0E" w:rsidRPr="0093361E" w:rsidRDefault="0093361E" w:rsidP="0093361E">
      <w:pPr>
        <w:pStyle w:val="Nessunaspaziatura"/>
        <w:jc w:val="both"/>
      </w:pPr>
      <w:r w:rsidRPr="0093361E">
        <w:t>Per questo dovrà</w:t>
      </w:r>
      <w:r w:rsidR="00593E0E" w:rsidRPr="0093361E">
        <w:t xml:space="preserve"> essere attenzionata da parte degli enti </w:t>
      </w:r>
      <w:r w:rsidRPr="0093361E">
        <w:t xml:space="preserve">locali, </w:t>
      </w:r>
      <w:r w:rsidR="00593E0E" w:rsidRPr="0093361E">
        <w:t>chiamati a verificare la corretta liquidazione del Canone per tutte le annualità di riferimento, prima secondo il regime TOSAP/COSAP poi, dal 2021, secondo il regime CUP</w:t>
      </w:r>
      <w:r w:rsidRPr="0093361E">
        <w:t>.</w:t>
      </w:r>
    </w:p>
    <w:p w14:paraId="498BA1AD" w14:textId="66F8A034" w:rsidR="0093361E" w:rsidRDefault="0093361E" w:rsidP="0093361E">
      <w:pPr>
        <w:pStyle w:val="Nessunaspaziatura"/>
        <w:jc w:val="both"/>
      </w:pPr>
      <w:r w:rsidRPr="0093361E">
        <w:t xml:space="preserve">Acquedotto Pugliese S.p.A. gestisce </w:t>
      </w:r>
      <w:r w:rsidRPr="0093361E">
        <w:t xml:space="preserve"> oltre 1 milione</w:t>
      </w:r>
      <w:r w:rsidRPr="0093361E">
        <w:t xml:space="preserve"> di</w:t>
      </w:r>
      <w:r w:rsidRPr="0093361E">
        <w:t xml:space="preserve"> utenze allacciate </w:t>
      </w:r>
      <w:r w:rsidRPr="0093361E">
        <w:t xml:space="preserve">ai due servizi, </w:t>
      </w:r>
      <w:r w:rsidRPr="0093361E">
        <w:t>garant</w:t>
      </w:r>
      <w:r w:rsidRPr="0093361E">
        <w:t>endo</w:t>
      </w:r>
      <w:r w:rsidRPr="0093361E">
        <w:t xml:space="preserve"> l'accesso all'acqua ad oltre 4 milioni di abitanti della Puglia e della provincia di Avellino.</w:t>
      </w:r>
    </w:p>
    <w:p w14:paraId="3A77C88A" w14:textId="77777777" w:rsidR="0093361E" w:rsidRDefault="0093361E" w:rsidP="0093361E">
      <w:pPr>
        <w:pStyle w:val="Nessunaspaziatura"/>
        <w:jc w:val="both"/>
      </w:pPr>
    </w:p>
    <w:p w14:paraId="7D7A8802" w14:textId="5F297665" w:rsidR="0093361E" w:rsidRPr="0093361E" w:rsidRDefault="0093361E" w:rsidP="0093361E">
      <w:pPr>
        <w:pStyle w:val="Nessunaspaziatura"/>
        <w:jc w:val="both"/>
      </w:pPr>
      <w:r>
        <w:t xml:space="preserve">In conclusione, anche l’analisi della gestione del servizio idrico nelle regioni di Lombardia, Lazio e Puglia, così come già analizzato per le regioni di Veneto e Campania, porta a ritenere come la netta maggioranza delle reti idriche sia gestita da società di capitali che saranno così chiamate a versare il Canone ex comma 831 a favore delle amministrazioni locali sui cui territori vengono erogati i servizi alle utenze finali. </w:t>
      </w:r>
    </w:p>
    <w:p w14:paraId="02A7124D" w14:textId="77777777" w:rsidR="00093CCF" w:rsidRPr="0093361E" w:rsidRDefault="00093CCF" w:rsidP="0093361E">
      <w:pPr>
        <w:pStyle w:val="Nessunaspaziatura"/>
        <w:jc w:val="both"/>
      </w:pPr>
    </w:p>
    <w:p w14:paraId="67041D5D" w14:textId="77777777" w:rsidR="00093CCF" w:rsidRPr="0093361E" w:rsidRDefault="00093CCF" w:rsidP="0093361E">
      <w:pPr>
        <w:pStyle w:val="Nessunaspaziatura"/>
        <w:jc w:val="both"/>
      </w:pPr>
    </w:p>
    <w:p w14:paraId="72BFD9BC" w14:textId="77777777" w:rsidR="008F502E" w:rsidRPr="0093361E" w:rsidRDefault="008F502E" w:rsidP="0093361E">
      <w:pPr>
        <w:pStyle w:val="Nessunaspaziatura"/>
        <w:jc w:val="both"/>
      </w:pPr>
    </w:p>
    <w:p w14:paraId="7C54BA86" w14:textId="77777777" w:rsidR="00CB7A10" w:rsidRPr="0093361E" w:rsidRDefault="00CB7A10" w:rsidP="0093361E">
      <w:pPr>
        <w:pStyle w:val="Nessunaspaziatura"/>
        <w:jc w:val="both"/>
      </w:pPr>
    </w:p>
    <w:p w14:paraId="7D8A41E4" w14:textId="77777777" w:rsidR="004F252B" w:rsidRDefault="004F252B" w:rsidP="005D20BB">
      <w:pPr>
        <w:pStyle w:val="Nessunaspaziatura"/>
        <w:jc w:val="both"/>
      </w:pPr>
    </w:p>
    <w:p w14:paraId="36B44BD3" w14:textId="2A07DF73" w:rsidR="00BA6F2E" w:rsidRDefault="00BA6F2E" w:rsidP="001926D2">
      <w:pPr>
        <w:pStyle w:val="Nessunaspaziatura"/>
        <w:jc w:val="both"/>
      </w:pPr>
    </w:p>
    <w:sectPr w:rsidR="00BA6F2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72223"/>
    <w:multiLevelType w:val="hybridMultilevel"/>
    <w:tmpl w:val="21A6698A"/>
    <w:lvl w:ilvl="0" w:tplc="31FE435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5CE62C3A"/>
    <w:multiLevelType w:val="multilevel"/>
    <w:tmpl w:val="C018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0262338">
    <w:abstractNumId w:val="1"/>
  </w:num>
  <w:num w:numId="2" w16cid:durableId="1835490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C05"/>
    <w:rsid w:val="00023767"/>
    <w:rsid w:val="000320E1"/>
    <w:rsid w:val="00051880"/>
    <w:rsid w:val="00065462"/>
    <w:rsid w:val="00071EE1"/>
    <w:rsid w:val="00093CCF"/>
    <w:rsid w:val="00095289"/>
    <w:rsid w:val="000E136F"/>
    <w:rsid w:val="0017438D"/>
    <w:rsid w:val="001926D2"/>
    <w:rsid w:val="0019653F"/>
    <w:rsid w:val="001B36A4"/>
    <w:rsid w:val="002113CB"/>
    <w:rsid w:val="002156D0"/>
    <w:rsid w:val="002310EB"/>
    <w:rsid w:val="0024766C"/>
    <w:rsid w:val="00254ED0"/>
    <w:rsid w:val="0027601B"/>
    <w:rsid w:val="002A007C"/>
    <w:rsid w:val="002B6D50"/>
    <w:rsid w:val="002E44F3"/>
    <w:rsid w:val="002F6E70"/>
    <w:rsid w:val="00311065"/>
    <w:rsid w:val="0032641A"/>
    <w:rsid w:val="00330511"/>
    <w:rsid w:val="0034708E"/>
    <w:rsid w:val="00375F46"/>
    <w:rsid w:val="003774ED"/>
    <w:rsid w:val="003C1F5E"/>
    <w:rsid w:val="003C6C7D"/>
    <w:rsid w:val="0042310D"/>
    <w:rsid w:val="00446D8C"/>
    <w:rsid w:val="0047617D"/>
    <w:rsid w:val="004B4A18"/>
    <w:rsid w:val="004C3754"/>
    <w:rsid w:val="004D46B3"/>
    <w:rsid w:val="004F252B"/>
    <w:rsid w:val="004F64DC"/>
    <w:rsid w:val="0053372D"/>
    <w:rsid w:val="00533EB8"/>
    <w:rsid w:val="00544F26"/>
    <w:rsid w:val="00573251"/>
    <w:rsid w:val="00593E0E"/>
    <w:rsid w:val="005A0718"/>
    <w:rsid w:val="005B2247"/>
    <w:rsid w:val="005B5A52"/>
    <w:rsid w:val="005D07ED"/>
    <w:rsid w:val="005D20BB"/>
    <w:rsid w:val="00663946"/>
    <w:rsid w:val="0068153A"/>
    <w:rsid w:val="00694A2B"/>
    <w:rsid w:val="006A21D9"/>
    <w:rsid w:val="006C1C05"/>
    <w:rsid w:val="006E390F"/>
    <w:rsid w:val="006E4AD7"/>
    <w:rsid w:val="00701CEA"/>
    <w:rsid w:val="007043DC"/>
    <w:rsid w:val="007171F8"/>
    <w:rsid w:val="00763C72"/>
    <w:rsid w:val="0077741E"/>
    <w:rsid w:val="007D2003"/>
    <w:rsid w:val="007E2705"/>
    <w:rsid w:val="007F72B9"/>
    <w:rsid w:val="00821542"/>
    <w:rsid w:val="00861047"/>
    <w:rsid w:val="00863E22"/>
    <w:rsid w:val="00890028"/>
    <w:rsid w:val="00897712"/>
    <w:rsid w:val="008D3644"/>
    <w:rsid w:val="008E03D3"/>
    <w:rsid w:val="008F502E"/>
    <w:rsid w:val="00903AB1"/>
    <w:rsid w:val="0093361E"/>
    <w:rsid w:val="00977C7F"/>
    <w:rsid w:val="009D6F7D"/>
    <w:rsid w:val="00A0129B"/>
    <w:rsid w:val="00A6149F"/>
    <w:rsid w:val="00A719A0"/>
    <w:rsid w:val="00A7457D"/>
    <w:rsid w:val="00A80568"/>
    <w:rsid w:val="00A93389"/>
    <w:rsid w:val="00AA06A4"/>
    <w:rsid w:val="00AC18D9"/>
    <w:rsid w:val="00AC3ACB"/>
    <w:rsid w:val="00AE102A"/>
    <w:rsid w:val="00AE125E"/>
    <w:rsid w:val="00B633C6"/>
    <w:rsid w:val="00B6370C"/>
    <w:rsid w:val="00B6431D"/>
    <w:rsid w:val="00BA6440"/>
    <w:rsid w:val="00BA6F2E"/>
    <w:rsid w:val="00BD124E"/>
    <w:rsid w:val="00C26958"/>
    <w:rsid w:val="00C47AB2"/>
    <w:rsid w:val="00C61C23"/>
    <w:rsid w:val="00C666DB"/>
    <w:rsid w:val="00CB141F"/>
    <w:rsid w:val="00CB7A10"/>
    <w:rsid w:val="00CD0573"/>
    <w:rsid w:val="00CF2FA5"/>
    <w:rsid w:val="00CF5098"/>
    <w:rsid w:val="00D10596"/>
    <w:rsid w:val="00D6274F"/>
    <w:rsid w:val="00D66CF9"/>
    <w:rsid w:val="00D80D4A"/>
    <w:rsid w:val="00D85215"/>
    <w:rsid w:val="00D86268"/>
    <w:rsid w:val="00D86400"/>
    <w:rsid w:val="00DA0E9E"/>
    <w:rsid w:val="00DC3CB4"/>
    <w:rsid w:val="00E31F8B"/>
    <w:rsid w:val="00E47B9E"/>
    <w:rsid w:val="00E60489"/>
    <w:rsid w:val="00E66B23"/>
    <w:rsid w:val="00EF1344"/>
    <w:rsid w:val="00F010B0"/>
    <w:rsid w:val="00F06961"/>
    <w:rsid w:val="00F269A7"/>
    <w:rsid w:val="00F44B63"/>
    <w:rsid w:val="00F61D3D"/>
    <w:rsid w:val="00F71849"/>
    <w:rsid w:val="00FA681D"/>
    <w:rsid w:val="00FC509E"/>
    <w:rsid w:val="00FC6D14"/>
    <w:rsid w:val="00FE0751"/>
    <w:rsid w:val="00FE5F12"/>
    <w:rsid w:val="00FF3CF9"/>
    <w:rsid w:val="00FF418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CEA16"/>
  <w15:chartTrackingRefBased/>
  <w15:docId w15:val="{0AFC178E-8EB5-48EE-8D10-AA8289D01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C1C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6C1C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6C1C05"/>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6C1C05"/>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6C1C05"/>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6C1C0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C1C0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C1C0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C1C0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C1C05"/>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6C1C05"/>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6C1C05"/>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6C1C05"/>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6C1C05"/>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6C1C0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C1C0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C1C0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C1C05"/>
    <w:rPr>
      <w:rFonts w:eastAsiaTheme="majorEastAsia" w:cstheme="majorBidi"/>
      <w:color w:val="272727" w:themeColor="text1" w:themeTint="D8"/>
    </w:rPr>
  </w:style>
  <w:style w:type="paragraph" w:styleId="Titolo">
    <w:name w:val="Title"/>
    <w:basedOn w:val="Normale"/>
    <w:next w:val="Normale"/>
    <w:link w:val="TitoloCarattere"/>
    <w:uiPriority w:val="10"/>
    <w:qFormat/>
    <w:rsid w:val="006C1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C1C0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C1C0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C1C0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C1C0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C1C05"/>
    <w:rPr>
      <w:i/>
      <w:iCs/>
      <w:color w:val="404040" w:themeColor="text1" w:themeTint="BF"/>
    </w:rPr>
  </w:style>
  <w:style w:type="paragraph" w:styleId="Paragrafoelenco">
    <w:name w:val="List Paragraph"/>
    <w:basedOn w:val="Normale"/>
    <w:uiPriority w:val="34"/>
    <w:qFormat/>
    <w:rsid w:val="006C1C05"/>
    <w:pPr>
      <w:ind w:left="720"/>
      <w:contextualSpacing/>
    </w:pPr>
  </w:style>
  <w:style w:type="character" w:styleId="Enfasiintensa">
    <w:name w:val="Intense Emphasis"/>
    <w:basedOn w:val="Carpredefinitoparagrafo"/>
    <w:uiPriority w:val="21"/>
    <w:qFormat/>
    <w:rsid w:val="006C1C05"/>
    <w:rPr>
      <w:i/>
      <w:iCs/>
      <w:color w:val="2F5496" w:themeColor="accent1" w:themeShade="BF"/>
    </w:rPr>
  </w:style>
  <w:style w:type="paragraph" w:styleId="Citazioneintensa">
    <w:name w:val="Intense Quote"/>
    <w:basedOn w:val="Normale"/>
    <w:next w:val="Normale"/>
    <w:link w:val="CitazioneintensaCarattere"/>
    <w:uiPriority w:val="30"/>
    <w:qFormat/>
    <w:rsid w:val="006C1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6C1C05"/>
    <w:rPr>
      <w:i/>
      <w:iCs/>
      <w:color w:val="2F5496" w:themeColor="accent1" w:themeShade="BF"/>
    </w:rPr>
  </w:style>
  <w:style w:type="character" w:styleId="Riferimentointenso">
    <w:name w:val="Intense Reference"/>
    <w:basedOn w:val="Carpredefinitoparagrafo"/>
    <w:uiPriority w:val="32"/>
    <w:qFormat/>
    <w:rsid w:val="006C1C05"/>
    <w:rPr>
      <w:b/>
      <w:bCs/>
      <w:smallCaps/>
      <w:color w:val="2F5496" w:themeColor="accent1" w:themeShade="BF"/>
      <w:spacing w:val="5"/>
    </w:rPr>
  </w:style>
  <w:style w:type="character" w:styleId="Collegamentoipertestuale">
    <w:name w:val="Hyperlink"/>
    <w:basedOn w:val="Carpredefinitoparagrafo"/>
    <w:uiPriority w:val="99"/>
    <w:unhideWhenUsed/>
    <w:rsid w:val="00C47AB2"/>
    <w:rPr>
      <w:color w:val="0563C1" w:themeColor="hyperlink"/>
      <w:u w:val="single"/>
    </w:rPr>
  </w:style>
  <w:style w:type="character" w:styleId="Menzionenonrisolta">
    <w:name w:val="Unresolved Mention"/>
    <w:basedOn w:val="Carpredefinitoparagrafo"/>
    <w:uiPriority w:val="99"/>
    <w:semiHidden/>
    <w:unhideWhenUsed/>
    <w:rsid w:val="00C47AB2"/>
    <w:rPr>
      <w:color w:val="605E5C"/>
      <w:shd w:val="clear" w:color="auto" w:fill="E1DFDD"/>
    </w:rPr>
  </w:style>
  <w:style w:type="paragraph" w:styleId="Nessunaspaziatura">
    <w:name w:val="No Spacing"/>
    <w:uiPriority w:val="1"/>
    <w:qFormat/>
    <w:rsid w:val="002760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795159">
      <w:bodyDiv w:val="1"/>
      <w:marLeft w:val="0"/>
      <w:marRight w:val="0"/>
      <w:marTop w:val="0"/>
      <w:marBottom w:val="0"/>
      <w:divBdr>
        <w:top w:val="none" w:sz="0" w:space="0" w:color="auto"/>
        <w:left w:val="none" w:sz="0" w:space="0" w:color="auto"/>
        <w:bottom w:val="none" w:sz="0" w:space="0" w:color="auto"/>
        <w:right w:val="none" w:sz="0" w:space="0" w:color="auto"/>
      </w:divBdr>
    </w:div>
    <w:div w:id="510529701">
      <w:bodyDiv w:val="1"/>
      <w:marLeft w:val="0"/>
      <w:marRight w:val="0"/>
      <w:marTop w:val="0"/>
      <w:marBottom w:val="0"/>
      <w:divBdr>
        <w:top w:val="none" w:sz="0" w:space="0" w:color="auto"/>
        <w:left w:val="none" w:sz="0" w:space="0" w:color="auto"/>
        <w:bottom w:val="none" w:sz="0" w:space="0" w:color="auto"/>
        <w:right w:val="none" w:sz="0" w:space="0" w:color="auto"/>
      </w:divBdr>
    </w:div>
    <w:div w:id="605039977">
      <w:bodyDiv w:val="1"/>
      <w:marLeft w:val="0"/>
      <w:marRight w:val="0"/>
      <w:marTop w:val="0"/>
      <w:marBottom w:val="0"/>
      <w:divBdr>
        <w:top w:val="none" w:sz="0" w:space="0" w:color="auto"/>
        <w:left w:val="none" w:sz="0" w:space="0" w:color="auto"/>
        <w:bottom w:val="none" w:sz="0" w:space="0" w:color="auto"/>
        <w:right w:val="none" w:sz="0" w:space="0" w:color="auto"/>
      </w:divBdr>
    </w:div>
    <w:div w:id="706444313">
      <w:bodyDiv w:val="1"/>
      <w:marLeft w:val="0"/>
      <w:marRight w:val="0"/>
      <w:marTop w:val="0"/>
      <w:marBottom w:val="0"/>
      <w:divBdr>
        <w:top w:val="none" w:sz="0" w:space="0" w:color="auto"/>
        <w:left w:val="none" w:sz="0" w:space="0" w:color="auto"/>
        <w:bottom w:val="none" w:sz="0" w:space="0" w:color="auto"/>
        <w:right w:val="none" w:sz="0" w:space="0" w:color="auto"/>
      </w:divBdr>
    </w:div>
    <w:div w:id="757555823">
      <w:bodyDiv w:val="1"/>
      <w:marLeft w:val="0"/>
      <w:marRight w:val="0"/>
      <w:marTop w:val="0"/>
      <w:marBottom w:val="0"/>
      <w:divBdr>
        <w:top w:val="none" w:sz="0" w:space="0" w:color="auto"/>
        <w:left w:val="none" w:sz="0" w:space="0" w:color="auto"/>
        <w:bottom w:val="none" w:sz="0" w:space="0" w:color="auto"/>
        <w:right w:val="none" w:sz="0" w:space="0" w:color="auto"/>
      </w:divBdr>
    </w:div>
    <w:div w:id="855460169">
      <w:bodyDiv w:val="1"/>
      <w:marLeft w:val="0"/>
      <w:marRight w:val="0"/>
      <w:marTop w:val="0"/>
      <w:marBottom w:val="0"/>
      <w:divBdr>
        <w:top w:val="none" w:sz="0" w:space="0" w:color="auto"/>
        <w:left w:val="none" w:sz="0" w:space="0" w:color="auto"/>
        <w:bottom w:val="none" w:sz="0" w:space="0" w:color="auto"/>
        <w:right w:val="none" w:sz="0" w:space="0" w:color="auto"/>
      </w:divBdr>
    </w:div>
    <w:div w:id="971908370">
      <w:bodyDiv w:val="1"/>
      <w:marLeft w:val="0"/>
      <w:marRight w:val="0"/>
      <w:marTop w:val="0"/>
      <w:marBottom w:val="0"/>
      <w:divBdr>
        <w:top w:val="none" w:sz="0" w:space="0" w:color="auto"/>
        <w:left w:val="none" w:sz="0" w:space="0" w:color="auto"/>
        <w:bottom w:val="none" w:sz="0" w:space="0" w:color="auto"/>
        <w:right w:val="none" w:sz="0" w:space="0" w:color="auto"/>
      </w:divBdr>
    </w:div>
    <w:div w:id="993528906">
      <w:bodyDiv w:val="1"/>
      <w:marLeft w:val="0"/>
      <w:marRight w:val="0"/>
      <w:marTop w:val="0"/>
      <w:marBottom w:val="0"/>
      <w:divBdr>
        <w:top w:val="none" w:sz="0" w:space="0" w:color="auto"/>
        <w:left w:val="none" w:sz="0" w:space="0" w:color="auto"/>
        <w:bottom w:val="none" w:sz="0" w:space="0" w:color="auto"/>
        <w:right w:val="none" w:sz="0" w:space="0" w:color="auto"/>
      </w:divBdr>
    </w:div>
    <w:div w:id="1156070136">
      <w:bodyDiv w:val="1"/>
      <w:marLeft w:val="0"/>
      <w:marRight w:val="0"/>
      <w:marTop w:val="0"/>
      <w:marBottom w:val="0"/>
      <w:divBdr>
        <w:top w:val="none" w:sz="0" w:space="0" w:color="auto"/>
        <w:left w:val="none" w:sz="0" w:space="0" w:color="auto"/>
        <w:bottom w:val="none" w:sz="0" w:space="0" w:color="auto"/>
        <w:right w:val="none" w:sz="0" w:space="0" w:color="auto"/>
      </w:divBdr>
    </w:div>
    <w:div w:id="1334845557">
      <w:bodyDiv w:val="1"/>
      <w:marLeft w:val="0"/>
      <w:marRight w:val="0"/>
      <w:marTop w:val="0"/>
      <w:marBottom w:val="0"/>
      <w:divBdr>
        <w:top w:val="none" w:sz="0" w:space="0" w:color="auto"/>
        <w:left w:val="none" w:sz="0" w:space="0" w:color="auto"/>
        <w:bottom w:val="none" w:sz="0" w:space="0" w:color="auto"/>
        <w:right w:val="none" w:sz="0" w:space="0" w:color="auto"/>
      </w:divBdr>
    </w:div>
    <w:div w:id="2022974451">
      <w:bodyDiv w:val="1"/>
      <w:marLeft w:val="0"/>
      <w:marRight w:val="0"/>
      <w:marTop w:val="0"/>
      <w:marBottom w:val="0"/>
      <w:divBdr>
        <w:top w:val="none" w:sz="0" w:space="0" w:color="auto"/>
        <w:left w:val="none" w:sz="0" w:space="0" w:color="auto"/>
        <w:bottom w:val="none" w:sz="0" w:space="0" w:color="auto"/>
        <w:right w:val="none" w:sz="0" w:space="0" w:color="auto"/>
      </w:divBdr>
    </w:div>
    <w:div w:id="214207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1683</TotalTime>
  <Pages>3</Pages>
  <Words>1308</Words>
  <Characters>7458</Characters>
  <Application>Microsoft Office Word</Application>
  <DocSecurity>0</DocSecurity>
  <Lines>62</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alessandro merciari</cp:lastModifiedBy>
  <cp:revision>52</cp:revision>
  <dcterms:created xsi:type="dcterms:W3CDTF">2025-01-26T07:19:00Z</dcterms:created>
  <dcterms:modified xsi:type="dcterms:W3CDTF">2025-02-17T11:51:00Z</dcterms:modified>
</cp:coreProperties>
</file>