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B2DF0E" w14:textId="5BEA3D61" w:rsidR="00060149" w:rsidRDefault="00E5313A">
      <w:r>
        <w:t>Titolo:</w:t>
      </w:r>
      <w:r w:rsidR="00A02B84">
        <w:t xml:space="preserve"> </w:t>
      </w:r>
      <w:r w:rsidR="00A02B84" w:rsidRPr="00A02B84">
        <w:t xml:space="preserve">Ancora una sentenza sull'applicazione del canone non </w:t>
      </w:r>
      <w:proofErr w:type="spellStart"/>
      <w:r w:rsidR="00A02B84" w:rsidRPr="00A02B84">
        <w:t>ricognitorio</w:t>
      </w:r>
      <w:proofErr w:type="spellEnd"/>
      <w:r w:rsidR="00A02B84" w:rsidRPr="00A02B84">
        <w:t xml:space="preserve"> ex articolo 27 Codice della Strada</w:t>
      </w:r>
    </w:p>
    <w:p w14:paraId="7C4E70DD" w14:textId="1486E370" w:rsidR="00E5313A" w:rsidRDefault="00E5313A">
      <w:r>
        <w:t>di Alessandro Merciari</w:t>
      </w:r>
    </w:p>
    <w:p w14:paraId="67489190" w14:textId="5447190F" w:rsidR="00E5313A" w:rsidRDefault="00166705" w:rsidP="00166705">
      <w:pPr>
        <w:jc w:val="both"/>
      </w:pPr>
      <w:proofErr w:type="gramStart"/>
      <w:r>
        <w:t>E’</w:t>
      </w:r>
      <w:proofErr w:type="gramEnd"/>
      <w:r>
        <w:t xml:space="preserve"> di recente pubblicazione una sentenza del Giudice di Pace del tribunale di Belluno nella quale viene sposata </w:t>
      </w:r>
      <w:r w:rsidR="004A6CC8">
        <w:t xml:space="preserve">integralmente </w:t>
      </w:r>
      <w:r>
        <w:t>la linea tenuta dalla nostra piattaforma</w:t>
      </w:r>
      <w:r w:rsidR="004A6CC8">
        <w:t xml:space="preserve"> con l’articolo di </w:t>
      </w:r>
      <w:r w:rsidR="004A6CC8" w:rsidRPr="004A6CC8">
        <w:t xml:space="preserve">Pratica Amministrativa </w:t>
      </w:r>
      <w:r w:rsidR="004A6CC8">
        <w:t>pubblicato lo scorso</w:t>
      </w:r>
      <w:r w:rsidR="004A6CC8" w:rsidRPr="004A6CC8">
        <w:t xml:space="preserve"> 6 giugno 2023</w:t>
      </w:r>
      <w:r>
        <w:t xml:space="preserve"> in ordine alla legittima applicazione del Canone </w:t>
      </w:r>
      <w:r w:rsidRPr="00166705">
        <w:t xml:space="preserve">non </w:t>
      </w:r>
      <w:proofErr w:type="spellStart"/>
      <w:r w:rsidRPr="00166705">
        <w:t>ricognitorio</w:t>
      </w:r>
      <w:proofErr w:type="spellEnd"/>
      <w:r w:rsidRPr="00166705">
        <w:t xml:space="preserve"> ex articolo 27</w:t>
      </w:r>
      <w:r w:rsidR="004A6CC8">
        <w:t xml:space="preserve"> </w:t>
      </w:r>
      <w:r w:rsidRPr="00166705">
        <w:t>del Codice della Strada</w:t>
      </w:r>
      <w:r w:rsidR="004A6CC8">
        <w:t xml:space="preserve">. </w:t>
      </w:r>
      <w:r>
        <w:t>in tutte quelle situazioni dove l’ente proprietario della strada non è il soggetto attivo della nuova entrata patrimoniale.</w:t>
      </w:r>
    </w:p>
    <w:p w14:paraId="09CD15CE" w14:textId="1F073225" w:rsidR="004A6CC8" w:rsidRDefault="004A6CC8" w:rsidP="00A02B84">
      <w:pPr>
        <w:jc w:val="both"/>
        <w:rPr>
          <w:i/>
          <w:iCs/>
        </w:rPr>
      </w:pPr>
      <w:r w:rsidRPr="004A6CC8">
        <w:t>L</w:t>
      </w:r>
      <w:r w:rsidR="00E5313A" w:rsidRPr="004A6CC8">
        <w:t xml:space="preserve">’applicazione del canone non </w:t>
      </w:r>
      <w:proofErr w:type="spellStart"/>
      <w:r w:rsidR="00E5313A" w:rsidRPr="004A6CC8">
        <w:t>ricognitorio</w:t>
      </w:r>
      <w:proofErr w:type="spellEnd"/>
      <w:r w:rsidR="00E5313A" w:rsidRPr="004A6CC8">
        <w:t xml:space="preserve"> </w:t>
      </w:r>
      <w:r w:rsidRPr="004A6CC8">
        <w:t xml:space="preserve">previsto dal </w:t>
      </w:r>
      <w:r w:rsidR="00E5313A" w:rsidRPr="004A6CC8">
        <w:t>Codice della Strada, continu</w:t>
      </w:r>
      <w:r w:rsidRPr="004A6CC8">
        <w:t xml:space="preserve">a infatti </w:t>
      </w:r>
      <w:r w:rsidR="00E5313A" w:rsidRPr="004A6CC8">
        <w:t xml:space="preserve">a essere legittimamente applicato tutte le volte che un ente proprietario della strada </w:t>
      </w:r>
      <w:r w:rsidR="005C39CB">
        <w:t>è</w:t>
      </w:r>
      <w:r w:rsidR="00E5313A" w:rsidRPr="004A6CC8">
        <w:t xml:space="preserve"> chiamato a rilasciare un provvedimento in ordine all’uso o all’occupazione di una strada di sua proprietà, salvo </w:t>
      </w:r>
      <w:r w:rsidR="005C39CB">
        <w:t>per quei</w:t>
      </w:r>
      <w:r w:rsidR="00E5313A" w:rsidRPr="004A6CC8">
        <w:t xml:space="preserve"> casi in cui la </w:t>
      </w:r>
      <w:r w:rsidR="005C39CB">
        <w:t>non</w:t>
      </w:r>
      <w:r w:rsidR="00E5313A" w:rsidRPr="004A6CC8">
        <w:t xml:space="preserve"> non </w:t>
      </w:r>
      <w:r w:rsidR="005C39CB">
        <w:t>ha</w:t>
      </w:r>
      <w:r w:rsidR="00E5313A" w:rsidRPr="004A6CC8">
        <w:t xml:space="preserve"> individuato l’ente stesso quale soggetto </w:t>
      </w:r>
      <w:r w:rsidR="00E5313A" w:rsidRPr="005C39CB">
        <w:t>attivo del Canone Unico Patrimoniale.</w:t>
      </w:r>
      <w:r w:rsidR="00E5313A" w:rsidRPr="00E5313A">
        <w:rPr>
          <w:i/>
          <w:iCs/>
        </w:rPr>
        <w:t xml:space="preserve"> </w:t>
      </w:r>
    </w:p>
    <w:p w14:paraId="71284836" w14:textId="31360F49" w:rsidR="00E5313A" w:rsidRDefault="00E5313A" w:rsidP="00A02B84">
      <w:pPr>
        <w:jc w:val="both"/>
      </w:pPr>
      <w:r w:rsidRPr="004A6CC8">
        <w:t xml:space="preserve">Questa </w:t>
      </w:r>
      <w:r w:rsidR="005C39CB">
        <w:t>linea interpretativa che per primi abbiamo seguito,</w:t>
      </w:r>
      <w:r w:rsidRPr="004A6CC8">
        <w:t xml:space="preserve"> consente agli enti </w:t>
      </w:r>
      <w:r w:rsidR="005C39CB">
        <w:t xml:space="preserve">territoriali </w:t>
      </w:r>
      <w:r w:rsidRPr="004A6CC8">
        <w:t xml:space="preserve">di dare continuità alla propria attività in relazione a ciò che avveniva ante introduzione Canone Unico, e soprattutto non genera </w:t>
      </w:r>
      <w:r w:rsidR="005C39CB">
        <w:t xml:space="preserve">quelle imbarazzanti </w:t>
      </w:r>
      <w:r w:rsidRPr="004A6CC8">
        <w:t xml:space="preserve">sovrapposizioni di competenze tra enti </w:t>
      </w:r>
      <w:r w:rsidR="005C39CB">
        <w:t xml:space="preserve">pubblici </w:t>
      </w:r>
      <w:r w:rsidRPr="004A6CC8">
        <w:t>diversi in relazione alle medesime occupazioni o esposizioni pubblicitarie.</w:t>
      </w:r>
    </w:p>
    <w:p w14:paraId="389DA489" w14:textId="3D31A2F1" w:rsidR="004A6CC8" w:rsidRDefault="005C39CB" w:rsidP="00A02B84">
      <w:pPr>
        <w:jc w:val="both"/>
      </w:pPr>
      <w:r>
        <w:t>Questo è certamente</w:t>
      </w:r>
      <w:r w:rsidR="004A6CC8">
        <w:t xml:space="preserve"> uno dei passaggi più delicati della nuova disciplina</w:t>
      </w:r>
      <w:r>
        <w:t>, quello che maggiormente</w:t>
      </w:r>
      <w:r w:rsidR="004A6CC8">
        <w:t xml:space="preserve"> ha generato contrasti e incomprensioni tra enti locali</w:t>
      </w:r>
      <w:r>
        <w:t xml:space="preserve"> negli ultimi anni</w:t>
      </w:r>
      <w:r w:rsidR="004A6CC8">
        <w:t xml:space="preserve">, </w:t>
      </w:r>
      <w:r>
        <w:t xml:space="preserve">andando in conflitto </w:t>
      </w:r>
      <w:r w:rsidR="004A6CC8">
        <w:t>sulle corrette competenze di ciascuno nell’ambito dei propri territori.</w:t>
      </w:r>
    </w:p>
    <w:p w14:paraId="4F5F7DE6" w14:textId="1FB6EAE5" w:rsidR="00AC6D87" w:rsidRDefault="004A6CC8" w:rsidP="00A02B84">
      <w:pPr>
        <w:jc w:val="both"/>
      </w:pPr>
      <w:r>
        <w:t xml:space="preserve">Complice una norma non chiara nell’attribuire la soggettività attiva tra Comuni, </w:t>
      </w:r>
      <w:r w:rsidR="00AC6D87">
        <w:t>P</w:t>
      </w:r>
      <w:r>
        <w:t xml:space="preserve">rovince e Città Metropolitane, abbiamo </w:t>
      </w:r>
      <w:r w:rsidR="00FA60F6">
        <w:t xml:space="preserve">infatti </w:t>
      </w:r>
      <w:r>
        <w:t xml:space="preserve">assistito più volte a sovrapposizioni tra enti impositori </w:t>
      </w:r>
      <w:r w:rsidR="00FA60F6">
        <w:t>arrivando a rivolgere</w:t>
      </w:r>
      <w:r w:rsidR="00AC6D87">
        <w:t>,</w:t>
      </w:r>
      <w:r>
        <w:t xml:space="preserve"> a malcapitati utenti</w:t>
      </w:r>
      <w:r w:rsidR="00AC6D87">
        <w:t>,</w:t>
      </w:r>
      <w:r>
        <w:t xml:space="preserve"> doppie richieste di pagamento </w:t>
      </w:r>
      <w:r w:rsidR="00FA60F6">
        <w:t xml:space="preserve">della stessa natura e </w:t>
      </w:r>
      <w:r>
        <w:t>per lo stesso oggetto impositivo</w:t>
      </w:r>
      <w:r w:rsidR="00AC6D87">
        <w:t xml:space="preserve">. </w:t>
      </w:r>
    </w:p>
    <w:p w14:paraId="23D4F088" w14:textId="77777777" w:rsidR="00FA60F6" w:rsidRDefault="00AC6D87" w:rsidP="00A02B84">
      <w:pPr>
        <w:jc w:val="both"/>
      </w:pPr>
      <w:r>
        <w:t xml:space="preserve">Problematica </w:t>
      </w:r>
      <w:r w:rsidR="00FA60F6">
        <w:t>diffusa soprattutto</w:t>
      </w:r>
      <w:r>
        <w:t xml:space="preserve"> per gli impianti pubblicitari collocati o posizionati in vista di strade provinciali, regionali o statali, correnti sia all’interno che all’esterno di centri abitati.</w:t>
      </w:r>
    </w:p>
    <w:p w14:paraId="4A8B71A4" w14:textId="48C0F59D" w:rsidR="00AC6D87" w:rsidRDefault="006F4B1F" w:rsidP="00A02B84">
      <w:pPr>
        <w:jc w:val="both"/>
      </w:pPr>
      <w:r>
        <w:t>Per queste fattispecie, d</w:t>
      </w:r>
      <w:r w:rsidR="00FA60F6">
        <w:t>a una parte vediamo come il</w:t>
      </w:r>
      <w:r w:rsidR="00AC6D87">
        <w:t xml:space="preserve"> presupposto del Canone Unico </w:t>
      </w:r>
      <w:r>
        <w:t>si forma</w:t>
      </w:r>
      <w:r w:rsidR="002B2112">
        <w:t xml:space="preserve"> sempre</w:t>
      </w:r>
      <w:r w:rsidR="004B707B">
        <w:t>,</w:t>
      </w:r>
      <w:r>
        <w:t xml:space="preserve">  </w:t>
      </w:r>
      <w:r w:rsidR="00AC6D87">
        <w:t>per l</w:t>
      </w:r>
      <w:r>
        <w:t>a</w:t>
      </w:r>
      <w:r w:rsidR="00AC6D87">
        <w:t xml:space="preserve"> diffusion</w:t>
      </w:r>
      <w:r>
        <w:t>e</w:t>
      </w:r>
      <w:r w:rsidR="00AC6D87">
        <w:t xml:space="preserve"> pubblicitari</w:t>
      </w:r>
      <w:r>
        <w:t xml:space="preserve">a, a </w:t>
      </w:r>
      <w:r w:rsidR="004B707B">
        <w:t xml:space="preserve">esclusivo </w:t>
      </w:r>
      <w:r>
        <w:t>appannaggio</w:t>
      </w:r>
      <w:r w:rsidR="00AC6D87">
        <w:t xml:space="preserve"> dei Comuni, </w:t>
      </w:r>
      <w:r w:rsidR="00FA60F6">
        <w:t xml:space="preserve">dall’altra </w:t>
      </w:r>
      <w:r>
        <w:t xml:space="preserve">invece </w:t>
      </w:r>
      <w:r w:rsidR="00FA60F6">
        <w:t xml:space="preserve">troviamo il diverso ente </w:t>
      </w:r>
      <w:r>
        <w:t>proprietario della strada</w:t>
      </w:r>
      <w:r w:rsidR="00FA60F6">
        <w:t>,</w:t>
      </w:r>
      <w:r w:rsidR="00AC6D87">
        <w:t xml:space="preserve"> chiamato a rilasciare l’autorizzazione o il nulla osta all’installazione, </w:t>
      </w:r>
      <w:r w:rsidR="00FA60F6">
        <w:t xml:space="preserve">a cui dovrà essere garantita </w:t>
      </w:r>
      <w:r w:rsidR="00AC6D87">
        <w:t xml:space="preserve">la possibilità di richiedere il </w:t>
      </w:r>
      <w:r w:rsidR="00FA60F6">
        <w:t xml:space="preserve">pagamento del </w:t>
      </w:r>
      <w:r w:rsidR="00AC6D87">
        <w:t xml:space="preserve">canone non </w:t>
      </w:r>
      <w:proofErr w:type="spellStart"/>
      <w:r w:rsidR="00AC6D87">
        <w:t>ricognitorio</w:t>
      </w:r>
      <w:proofErr w:type="spellEnd"/>
      <w:r w:rsidR="00AC6D87">
        <w:t xml:space="preserve"> ex articolo 27, </w:t>
      </w:r>
      <w:r>
        <w:t>tutte le volte che non si realizza a suo favore il</w:t>
      </w:r>
      <w:r w:rsidR="00AC6D87">
        <w:t xml:space="preserve"> </w:t>
      </w:r>
      <w:r>
        <w:t xml:space="preserve">diverso </w:t>
      </w:r>
      <w:r w:rsidR="00AC6D87">
        <w:t>presupposto applicativo CUP</w:t>
      </w:r>
      <w:r>
        <w:t xml:space="preserve"> per l’occupazione del suolo pubblico</w:t>
      </w:r>
      <w:r w:rsidR="00AC6D87">
        <w:t xml:space="preserve">. </w:t>
      </w:r>
    </w:p>
    <w:p w14:paraId="1FC0F218" w14:textId="13C37758" w:rsidR="004A6CC8" w:rsidRDefault="00FA60F6" w:rsidP="00A02B84">
      <w:pPr>
        <w:jc w:val="both"/>
      </w:pPr>
      <w:r>
        <w:t>Non resta quindi</w:t>
      </w:r>
      <w:r w:rsidR="004B707B">
        <w:t>, per questi casi,</w:t>
      </w:r>
      <w:r>
        <w:t xml:space="preserve"> che </w:t>
      </w:r>
      <w:r w:rsidR="004B707B">
        <w:t>confermare</w:t>
      </w:r>
      <w:r>
        <w:t xml:space="preserve"> </w:t>
      </w:r>
      <w:r w:rsidR="004B707B">
        <w:t>come legittima</w:t>
      </w:r>
      <w:r>
        <w:t xml:space="preserve"> l</w:t>
      </w:r>
      <w:r w:rsidR="00AC6D87">
        <w:t>a coesistenza dei due canoni</w:t>
      </w:r>
      <w:r>
        <w:t xml:space="preserve"> previsti da</w:t>
      </w:r>
      <w:r w:rsidR="00AC6D87">
        <w:t xml:space="preserve">l Legislatore, </w:t>
      </w:r>
      <w:r>
        <w:t>con conseguente</w:t>
      </w:r>
      <w:r w:rsidR="00AC6D87">
        <w:t xml:space="preserve"> duplice prelievo </w:t>
      </w:r>
      <w:r w:rsidR="004B707B">
        <w:t xml:space="preserve">previsto </w:t>
      </w:r>
      <w:r w:rsidR="00AC6D87">
        <w:t>per l’installazione di mezzi pubblicitari collocati su strade non comunali</w:t>
      </w:r>
      <w:r w:rsidR="002B2112">
        <w:t xml:space="preserve"> o in vista di esse</w:t>
      </w:r>
      <w:r w:rsidR="00AC6D87">
        <w:t xml:space="preserve">. </w:t>
      </w:r>
    </w:p>
    <w:p w14:paraId="53BCCC90" w14:textId="77777777" w:rsidR="002B2112" w:rsidRDefault="002B2112" w:rsidP="00A02B84">
      <w:pPr>
        <w:jc w:val="both"/>
      </w:pPr>
    </w:p>
    <w:p w14:paraId="3B7FB1A3" w14:textId="5D3E6195" w:rsidR="002B2112" w:rsidRPr="004A6CC8" w:rsidRDefault="002B2112" w:rsidP="00A02B84">
      <w:pPr>
        <w:jc w:val="both"/>
      </w:pPr>
      <w:r>
        <w:t xml:space="preserve">Allegata sentenza </w:t>
      </w:r>
      <w:proofErr w:type="spellStart"/>
      <w:r>
        <w:t>GdP</w:t>
      </w:r>
      <w:proofErr w:type="spellEnd"/>
      <w:r>
        <w:t xml:space="preserve"> Belluno</w:t>
      </w:r>
    </w:p>
    <w:sectPr w:rsidR="002B2112" w:rsidRPr="004A6CC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A7D"/>
    <w:rsid w:val="00060149"/>
    <w:rsid w:val="00166705"/>
    <w:rsid w:val="00233A7D"/>
    <w:rsid w:val="002B2112"/>
    <w:rsid w:val="004A6CC8"/>
    <w:rsid w:val="004B707B"/>
    <w:rsid w:val="005C39CB"/>
    <w:rsid w:val="006F4B1F"/>
    <w:rsid w:val="00A02B84"/>
    <w:rsid w:val="00AC6D87"/>
    <w:rsid w:val="00C91A66"/>
    <w:rsid w:val="00DA0CEA"/>
    <w:rsid w:val="00E5313A"/>
    <w:rsid w:val="00FA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2DFA4"/>
  <w15:chartTrackingRefBased/>
  <w15:docId w15:val="{4EFBD359-688F-48BA-93DA-62EA286C4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7</cp:revision>
  <dcterms:created xsi:type="dcterms:W3CDTF">2024-09-16T13:00:00Z</dcterms:created>
  <dcterms:modified xsi:type="dcterms:W3CDTF">2024-09-18T14:54:00Z</dcterms:modified>
</cp:coreProperties>
</file>