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174B1" w14:textId="0346D8C9" w:rsidR="00450A09" w:rsidRDefault="00AE62B6">
      <w:r>
        <w:t>Raccolta di riflessioni sulla disciplina del Canone Unico Patrimoniale e Canone Mercatale</w:t>
      </w:r>
    </w:p>
    <w:p w14:paraId="4FF74AB8" w14:textId="7FF4D280" w:rsidR="00AE62B6" w:rsidRDefault="00AE62B6" w:rsidP="00351377">
      <w:pPr>
        <w:jc w:val="both"/>
      </w:pPr>
      <w:r>
        <w:t xml:space="preserve">A distanza di </w:t>
      </w:r>
      <w:r w:rsidR="00B8448B">
        <w:t xml:space="preserve">quasi </w:t>
      </w:r>
      <w:r>
        <w:t xml:space="preserve">due anni dalla loro introduzione nel sistema delle entrate degli Enti Locali, alla luce delle esperienze </w:t>
      </w:r>
      <w:r w:rsidR="00B8448B">
        <w:t>condivise e di</w:t>
      </w:r>
      <w:r w:rsidR="00466B5E">
        <w:t xml:space="preserve"> gestione nei singoli contesti territoriali,</w:t>
      </w:r>
      <w:r>
        <w:t xml:space="preserve"> proponiamo una serie di riflessioni dedicate ad ogni disposizione contenuta nella </w:t>
      </w:r>
      <w:r w:rsidR="00466B5E">
        <w:t xml:space="preserve">sezione della </w:t>
      </w:r>
      <w:r>
        <w:t>Legge 160 del 2019</w:t>
      </w:r>
      <w:r w:rsidR="00B8448B">
        <w:t xml:space="preserve">. </w:t>
      </w:r>
    </w:p>
    <w:p w14:paraId="23611D2F" w14:textId="2CF3C550" w:rsidR="00486A23" w:rsidRDefault="00466B5E" w:rsidP="00351377">
      <w:pPr>
        <w:jc w:val="both"/>
      </w:pPr>
      <w:r>
        <w:t xml:space="preserve">Una raccolta </w:t>
      </w:r>
      <w:r w:rsidR="00486A23">
        <w:t>di 33 documenti, uno per ciascun comma,</w:t>
      </w:r>
      <w:r w:rsidR="00B8448B">
        <w:t xml:space="preserve"> </w:t>
      </w:r>
      <w:r w:rsidR="00B8448B">
        <w:t>dal  816 al 847</w:t>
      </w:r>
      <w:r w:rsidR="00B8448B">
        <w:t xml:space="preserve">, </w:t>
      </w:r>
      <w:r w:rsidR="00486A23">
        <w:t xml:space="preserve"> </w:t>
      </w:r>
      <w:r>
        <w:t>che potrà rivelarsi utile nel quadro complessivo della disciplina</w:t>
      </w:r>
      <w:r w:rsidR="00486A23">
        <w:t xml:space="preserve">, ma anche per </w:t>
      </w:r>
      <w:r>
        <w:t>affrontare singole questioni ancore aperte</w:t>
      </w:r>
      <w:r w:rsidR="00486A23">
        <w:t>.</w:t>
      </w:r>
    </w:p>
    <w:p w14:paraId="4427C085" w14:textId="27514068" w:rsidR="00466B5E" w:rsidRPr="00351377" w:rsidRDefault="00486A23">
      <w:pPr>
        <w:rPr>
          <w:b/>
          <w:bCs/>
        </w:rPr>
      </w:pPr>
      <w:r w:rsidRPr="00351377">
        <w:rPr>
          <w:b/>
          <w:bCs/>
        </w:rPr>
        <w:t>Articolo 1 Legge 160/2019</w:t>
      </w:r>
      <w:r w:rsidR="00466B5E" w:rsidRPr="00351377">
        <w:rPr>
          <w:b/>
          <w:bCs/>
        </w:rPr>
        <w:t xml:space="preserve"> </w:t>
      </w:r>
      <w:r w:rsidRPr="00351377">
        <w:rPr>
          <w:b/>
          <w:bCs/>
        </w:rPr>
        <w:t>- comma 816</w:t>
      </w:r>
    </w:p>
    <w:p w14:paraId="7320AA26" w14:textId="5BAF22E6" w:rsidR="00486A23" w:rsidRDefault="00486A23" w:rsidP="00486A23">
      <w:pPr>
        <w:jc w:val="both"/>
        <w:rPr>
          <w:i/>
          <w:iCs/>
        </w:rPr>
      </w:pPr>
      <w:r w:rsidRPr="00486A23">
        <w:rPr>
          <w:i/>
          <w:iCs/>
        </w:rPr>
        <w:t>A decorrere dal 2021 il canone patrimoniale di concessione, autorizzazione o esposizione pubblicitaria, ai fini di cui al presente comma e ai commi da 817 a 836, denominato «canone», e' istituito dai comuni, dalle province e dalle citta' metropolitane, di seguito denominati «enti», e sostituisce: la tassa per l'occupazione di spazi ed aree pubbliche, il canone per l'occupazione di spazi ed aree pubbliche, l'imposta comunale sulla pubblicita' e il diritto sulle pubbliche affissioni, il canone per l'installazione dei mezzi pubblicitari e il canone di cui all'articolo 27, commi 7 e 8, del codice della strada, di cui al decreto legislativo 30 aprile 1992, n. 285, limitatamente alle strade di pertinenza dei comuni e delle province. Il canone e' comunque comprensivo di qualunque canone ricognitorio o concessorio previsto da norme di legge e dai regolamenti comunali e provinciali, fatti salvi quelli connessi a prestazioni di servizi.</w:t>
      </w:r>
    </w:p>
    <w:p w14:paraId="43583C8E" w14:textId="6C3CCDB0" w:rsidR="00616987" w:rsidRPr="00616987" w:rsidRDefault="00B8448B" w:rsidP="00486A23">
      <w:pPr>
        <w:jc w:val="both"/>
      </w:pPr>
      <w:r>
        <w:t>Ecco il primo comma con il quale il Legislatore ha introdotto la disciplina del CUP, il canone unico patrimoniale. In questi primi anni di gestione dell’entrata ci siamo spesso imbattuti sul contenuto letterale del comma. Nel primo anno abbiamo assistito ad una immediata criticità…</w:t>
      </w:r>
    </w:p>
    <w:sectPr w:rsidR="00616987" w:rsidRPr="0061698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9"/>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09"/>
    <w:rsid w:val="00351377"/>
    <w:rsid w:val="00450A09"/>
    <w:rsid w:val="00466B5E"/>
    <w:rsid w:val="00486A23"/>
    <w:rsid w:val="00616987"/>
    <w:rsid w:val="00AE62B6"/>
    <w:rsid w:val="00B844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C73DF"/>
  <w15:chartTrackingRefBased/>
  <w15:docId w15:val="{8D28E6C8-1D1E-4628-AA5E-42065B4F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275</Words>
  <Characters>1573</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2022-10-23T09:21:00Z</dcterms:created>
  <dcterms:modified xsi:type="dcterms:W3CDTF">2022-10-23T16:43:00Z</dcterms:modified>
</cp:coreProperties>
</file>