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D675D" w14:textId="26E3A228" w:rsidR="006672EA" w:rsidRDefault="00C73E47">
      <w:r>
        <w:t xml:space="preserve">Titolo: </w:t>
      </w:r>
      <w:r w:rsidRPr="00C73E47">
        <w:t>CUP - illegittime le esenzioni non previste per legge o regolamento</w:t>
      </w:r>
    </w:p>
    <w:p w14:paraId="2896C0B7" w14:textId="13F2825D" w:rsidR="00C73E47" w:rsidRDefault="00C73E47">
      <w:r>
        <w:t>Di Alessandro Merciari</w:t>
      </w:r>
    </w:p>
    <w:p w14:paraId="2E506E00" w14:textId="1C67F7FC" w:rsidR="00870912" w:rsidRDefault="00870912" w:rsidP="00870912">
      <w:pPr>
        <w:jc w:val="both"/>
      </w:pPr>
      <w:r>
        <w:t xml:space="preserve">Con l’approfondimento odierno </w:t>
      </w:r>
      <w:r w:rsidR="006B4BB1">
        <w:t>analizziamo</w:t>
      </w:r>
      <w:r>
        <w:t xml:space="preserve"> una problematica </w:t>
      </w:r>
      <w:r w:rsidR="006B4BB1">
        <w:t xml:space="preserve">sempre più frequente nella gestione delle concessioni di suolo pubblico per finalità </w:t>
      </w:r>
      <w:r w:rsidR="006B4BB1" w:rsidRPr="006B4BB1">
        <w:rPr>
          <w:i/>
          <w:iCs/>
        </w:rPr>
        <w:t>di pubblico interesse</w:t>
      </w:r>
      <w:r>
        <w:t xml:space="preserve">, allorquando </w:t>
      </w:r>
      <w:r w:rsidR="006B4BB1">
        <w:t xml:space="preserve">vengono raggiunti accordi contrattuali con soggetti giuridici ai quali </w:t>
      </w:r>
      <w:r w:rsidR="00CB6FBB">
        <w:t>sono</w:t>
      </w:r>
      <w:r w:rsidR="006B4BB1">
        <w:t xml:space="preserve"> concesse speciali agevolazioni</w:t>
      </w:r>
      <w:r>
        <w:t xml:space="preserve">. Situazioni particolari, che spesso coinvolgono le aziende che erogano i servizi di rete, dove viene disposta un’esenzione </w:t>
      </w:r>
      <w:r w:rsidRPr="006B4BB1">
        <w:rPr>
          <w:i/>
          <w:iCs/>
        </w:rPr>
        <w:t>ad personam</w:t>
      </w:r>
      <w:r>
        <w:t xml:space="preserve"> all’interno dei disciplinari o capitolati che regolano il rapporto tra il soggetto che eroga la prestazione e </w:t>
      </w:r>
      <w:r w:rsidR="002D0EE9">
        <w:t xml:space="preserve">gli </w:t>
      </w:r>
      <w:r>
        <w:t>ent</w:t>
      </w:r>
      <w:r w:rsidR="002D0EE9">
        <w:t>i</w:t>
      </w:r>
      <w:r>
        <w:t xml:space="preserve"> territorial</w:t>
      </w:r>
      <w:r w:rsidR="002D0EE9">
        <w:t>i</w:t>
      </w:r>
      <w:r>
        <w:t xml:space="preserve"> </w:t>
      </w:r>
      <w:r w:rsidR="002D0EE9">
        <w:t>su cui si sviluppa l’infrastruttura</w:t>
      </w:r>
      <w:r>
        <w:t>.</w:t>
      </w:r>
    </w:p>
    <w:p w14:paraId="2D886AAD" w14:textId="630E224E" w:rsidR="00870912" w:rsidRDefault="00870912" w:rsidP="00870912">
      <w:pPr>
        <w:jc w:val="both"/>
      </w:pPr>
      <w:r>
        <w:t xml:space="preserve">Quante volte abbiamo visto disporre l’esenzione per l’occupazione di suolo pubblico realizzata </w:t>
      </w:r>
      <w:r w:rsidR="002D0EE9">
        <w:t>con</w:t>
      </w:r>
      <w:r>
        <w:t xml:space="preserve"> </w:t>
      </w:r>
      <w:r w:rsidR="002D0EE9">
        <w:t>installazioni necessarie all’erogazione di servizi</w:t>
      </w:r>
      <w:r>
        <w:t xml:space="preserve">? Pensiamo ad esempio alle colonnine per le ricariche elettriche dei veicoli, o alle condutture per l’erogazione dei pubblici servizi di rete. Le aziende incaricate di svolgere l’attività </w:t>
      </w:r>
      <w:r w:rsidR="00CB6FBB">
        <w:t>si rendono</w:t>
      </w:r>
      <w:r>
        <w:t xml:space="preserve"> </w:t>
      </w:r>
      <w:r w:rsidR="002D0EE9">
        <w:t xml:space="preserve">disponibili ad </w:t>
      </w:r>
      <w:r>
        <w:t>investire sul territorio chied</w:t>
      </w:r>
      <w:r w:rsidR="00CB6FBB">
        <w:t>endo tuttavia</w:t>
      </w:r>
      <w:r w:rsidR="002D0EE9">
        <w:t xml:space="preserve"> </w:t>
      </w:r>
      <w:r>
        <w:t>l’esonero dal prelievo sul suolo pubblico</w:t>
      </w:r>
      <w:r w:rsidR="00CB6FBB">
        <w:t xml:space="preserve">. Richiesta </w:t>
      </w:r>
      <w:r w:rsidR="002D0EE9">
        <w:t>che i</w:t>
      </w:r>
      <w:r>
        <w:t xml:space="preserve">n diversi casi </w:t>
      </w:r>
      <w:r w:rsidR="00CB6FBB">
        <w:t>viene concordata</w:t>
      </w:r>
      <w:r>
        <w:t xml:space="preserve"> </w:t>
      </w:r>
      <w:r w:rsidR="002D0EE9">
        <w:t xml:space="preserve">grazie a specifiche clausole inserite </w:t>
      </w:r>
      <w:r>
        <w:t>nel rapporto contrattuale</w:t>
      </w:r>
      <w:r w:rsidR="002D0EE9">
        <w:t>.</w:t>
      </w:r>
      <w:r>
        <w:t xml:space="preserve"> </w:t>
      </w:r>
    </w:p>
    <w:p w14:paraId="6B655269" w14:textId="5B5FFD9A" w:rsidR="00E5584E" w:rsidRDefault="00870912" w:rsidP="00870912">
      <w:pPr>
        <w:jc w:val="both"/>
      </w:pPr>
      <w:r>
        <w:t xml:space="preserve">Ma è legittima questa procedura? </w:t>
      </w:r>
      <w:r w:rsidR="002D0EE9">
        <w:t>Può trovare applicazione un’esenzione</w:t>
      </w:r>
      <w:r w:rsidR="00E5584E">
        <w:t xml:space="preserve"> disposta al di fuori dalle ipotesi previste dal Legislatore o </w:t>
      </w:r>
      <w:r w:rsidR="002D0EE9">
        <w:t>di quelle disposte dal Regolamento</w:t>
      </w:r>
      <w:r w:rsidR="00E5584E">
        <w:t xml:space="preserve"> Comunale</w:t>
      </w:r>
      <w:r w:rsidR="001610E0">
        <w:t xml:space="preserve"> o Provinciale</w:t>
      </w:r>
      <w:r w:rsidR="002D0EE9">
        <w:t xml:space="preserve">? La risposta non può che essere negativa, sia in </w:t>
      </w:r>
      <w:r w:rsidR="00E5584E">
        <w:t>materia</w:t>
      </w:r>
      <w:r w:rsidR="00EA1E66">
        <w:t xml:space="preserve"> </w:t>
      </w:r>
      <w:r w:rsidR="002354A9">
        <w:t>di</w:t>
      </w:r>
      <w:r w:rsidR="00E5584E">
        <w:t xml:space="preserve"> Canone Unico</w:t>
      </w:r>
      <w:r w:rsidR="002354A9">
        <w:t xml:space="preserve"> patrimoniale, </w:t>
      </w:r>
      <w:r w:rsidR="002D0EE9">
        <w:t xml:space="preserve">che di qualsiasi altra entrata </w:t>
      </w:r>
      <w:r w:rsidR="002354A9">
        <w:t>di carattere fiscale, tributari</w:t>
      </w:r>
      <w:r w:rsidR="002D0EE9">
        <w:t>a</w:t>
      </w:r>
      <w:r w:rsidR="002354A9">
        <w:t xml:space="preserve"> e non.</w:t>
      </w:r>
    </w:p>
    <w:p w14:paraId="5304FFB0" w14:textId="5446F3C0" w:rsidR="00E5584E" w:rsidRPr="00E5584E" w:rsidRDefault="00E5584E" w:rsidP="002D0EE9">
      <w:pPr>
        <w:jc w:val="both"/>
      </w:pPr>
      <w:r>
        <w:t>Q</w:t>
      </w:r>
      <w:r w:rsidRPr="00E5584E">
        <w:t xml:space="preserve">ualunque iniziativa adottata dagli enti, deve sempre, affidarsi alle disposizioni di Legge e Regolamento, </w:t>
      </w:r>
      <w:r w:rsidR="002D0EE9">
        <w:t xml:space="preserve">rispettando </w:t>
      </w:r>
      <w:r w:rsidRPr="00E5584E">
        <w:t xml:space="preserve">gli equilibri finanziari dell’Ente stesso, oltre che garantire </w:t>
      </w:r>
      <w:r w:rsidR="002D0EE9">
        <w:t xml:space="preserve">la salvaguardia </w:t>
      </w:r>
      <w:r w:rsidRPr="00E5584E">
        <w:t>dei principi che rimandano al “beneficio economico” di colui che effettua l’occupazione e al “sacrificio che si impone alla collettività”</w:t>
      </w:r>
      <w:r w:rsidR="001610E0">
        <w:t>.</w:t>
      </w:r>
    </w:p>
    <w:p w14:paraId="45806FAF" w14:textId="472B24D8" w:rsidR="00E5584E" w:rsidRDefault="00E5584E" w:rsidP="00382FFE">
      <w:pPr>
        <w:jc w:val="both"/>
      </w:pPr>
      <w:r w:rsidRPr="00E5584E">
        <w:t xml:space="preserve">È chiaro quindi che le disposizioni di agevolazioni, che </w:t>
      </w:r>
      <w:r w:rsidR="001610E0">
        <w:t>hanno</w:t>
      </w:r>
      <w:r w:rsidRPr="00E5584E">
        <w:t xml:space="preserve"> carattere generale, devono sempre </w:t>
      </w:r>
      <w:r w:rsidR="00A06341" w:rsidRPr="00E5584E">
        <w:t xml:space="preserve">trovare </w:t>
      </w:r>
      <w:r w:rsidRPr="00E5584E">
        <w:t>spazio all’interno dello strumento regolamentare che, in ossequio al comma 821 della Legge 160/2019, conterrà la specifica disciplina di ciascun Comune, Provincia o Città Metropolitana, adottando soluzioni nel rispetto dei principi di gradualità e proporzionalità delle tariffe e delle richieste di pagamento.</w:t>
      </w:r>
    </w:p>
    <w:p w14:paraId="0A46ACF3" w14:textId="7E2E8D58" w:rsidR="00382FFE" w:rsidRDefault="00EA1E66" w:rsidP="00EA1E66">
      <w:pPr>
        <w:jc w:val="both"/>
      </w:pPr>
      <w:r w:rsidRPr="00E5584E">
        <w:t>È</w:t>
      </w:r>
      <w:r>
        <w:t xml:space="preserve"> pacifico che un eventuale esonero (totale o parziale) dal pagamento del canone unico patrimoniale per una singola e determinata situazione, comporterebbe una diretta diminuzione delle entrate del bilancio dell'Ente territoriale, in violazione della disciplina recata dalla Legge n. 160/2019. Peraltro un esonero eccezionale legato ad un particolare evento, si tradurrebbe in un vantaggio solo per alcune categorie di soggetti, realizzando così una ingiustificata disparità di trattamento e vanificando il fine che ha animato il Legislatore nell’emanazione della disciplina sul canone unico patrimoniale.</w:t>
      </w:r>
    </w:p>
    <w:p w14:paraId="6C3AD523" w14:textId="797B7188" w:rsidR="003368E5" w:rsidRDefault="000F23CE" w:rsidP="00EA1E66">
      <w:pPr>
        <w:jc w:val="both"/>
      </w:pPr>
      <w:r w:rsidRPr="000F23CE">
        <w:t xml:space="preserve">Non rientra </w:t>
      </w:r>
      <w:r w:rsidR="002354A9">
        <w:t xml:space="preserve">infatti </w:t>
      </w:r>
      <w:r w:rsidR="001610E0" w:rsidRPr="000F23CE">
        <w:t>nella disponibilità</w:t>
      </w:r>
      <w:r w:rsidRPr="000F23CE">
        <w:t xml:space="preserve"> dell’Amministrazione Comunale il concedere riduzione o esenzioni in materia </w:t>
      </w:r>
      <w:r>
        <w:t>fiscale</w:t>
      </w:r>
      <w:r w:rsidRPr="000F23CE">
        <w:t xml:space="preserve"> a singoli contribuenti</w:t>
      </w:r>
      <w:r w:rsidR="002D0EE9">
        <w:t>,</w:t>
      </w:r>
      <w:r w:rsidRPr="000F23CE">
        <w:t xml:space="preserve"> anche nell’ipotesi in cui dall’operazione</w:t>
      </w:r>
      <w:r w:rsidR="002354A9">
        <w:t xml:space="preserve"> </w:t>
      </w:r>
      <w:r w:rsidR="001610E0">
        <w:t xml:space="preserve">la </w:t>
      </w:r>
      <w:r w:rsidR="002354A9">
        <w:t>stessa</w:t>
      </w:r>
      <w:r w:rsidRPr="000F23CE">
        <w:t xml:space="preserve"> l’Amministrazione</w:t>
      </w:r>
      <w:r w:rsidR="001610E0">
        <w:t xml:space="preserve"> locale</w:t>
      </w:r>
      <w:r w:rsidRPr="000F23CE">
        <w:t xml:space="preserve"> </w:t>
      </w:r>
      <w:r w:rsidR="001610E0">
        <w:t xml:space="preserve">ne </w:t>
      </w:r>
      <w:r w:rsidRPr="000F23CE">
        <w:t>tragga vantaggio</w:t>
      </w:r>
      <w:r w:rsidR="00CB6FBB">
        <w:t xml:space="preserve"> (vedi investimenti sulle infrastrutture promesse dalle aziende)</w:t>
      </w:r>
      <w:r w:rsidRPr="000F23CE">
        <w:t>.</w:t>
      </w:r>
    </w:p>
    <w:p w14:paraId="2E6C3233" w14:textId="0AAC6CE5" w:rsidR="00CC1555" w:rsidRDefault="00CC1555" w:rsidP="00EA1E66">
      <w:pPr>
        <w:jc w:val="both"/>
      </w:pPr>
      <w:r>
        <w:t xml:space="preserve">Vengono sempre rispettati in materia di CUP, così come con i precedenti prelievi, questi principi di carattere generale? Quante volte le Amministrazioni locali concedono esenzioni per specifiche iniziative? In quante occasioni vengono riconosciute agevolazioni in sede contrattuale che non trovano </w:t>
      </w:r>
      <w:r w:rsidR="0052428D">
        <w:t xml:space="preserve">rispondenza </w:t>
      </w:r>
      <w:r>
        <w:t>nel Regolamento?</w:t>
      </w:r>
    </w:p>
    <w:p w14:paraId="52D17CF2" w14:textId="4044CD17" w:rsidR="000F23CE" w:rsidRDefault="00CC1555" w:rsidP="00EA1E66">
      <w:pPr>
        <w:jc w:val="both"/>
      </w:pPr>
      <w:r>
        <w:t xml:space="preserve">In più occasione abbiamo letto pareri e sentenze </w:t>
      </w:r>
      <w:r w:rsidR="00A06341">
        <w:t xml:space="preserve">rispettivamente </w:t>
      </w:r>
      <w:r>
        <w:t xml:space="preserve">di Corte dei Conti e Corte di Cassazione che riconducono sempre al rispetto delle regole, evidenziando </w:t>
      </w:r>
      <w:r w:rsidR="0052428D">
        <w:t xml:space="preserve">come </w:t>
      </w:r>
      <w:r w:rsidR="002D0EE9">
        <w:t>un’esenzione</w:t>
      </w:r>
      <w:r w:rsidR="000F23CE">
        <w:t xml:space="preserve"> disposta all’interno di un accordo contrattuale </w:t>
      </w:r>
      <w:r w:rsidR="0052428D">
        <w:t>risult</w:t>
      </w:r>
      <w:r w:rsidR="0044060F">
        <w:t>i</w:t>
      </w:r>
      <w:r w:rsidR="000F23CE" w:rsidRPr="000F23CE">
        <w:t xml:space="preserve"> illegittima, </w:t>
      </w:r>
      <w:r w:rsidR="001610E0">
        <w:t xml:space="preserve">e </w:t>
      </w:r>
      <w:r w:rsidR="001610E0" w:rsidRPr="000F23CE">
        <w:t>in</w:t>
      </w:r>
      <w:r w:rsidR="000F23CE" w:rsidRPr="000F23CE">
        <w:t xml:space="preserve"> contrasto con il principio di legalità in materia </w:t>
      </w:r>
      <w:r w:rsidR="000F23CE">
        <w:t>fiscale</w:t>
      </w:r>
      <w:r w:rsidR="000F23CE" w:rsidRPr="000F23CE">
        <w:t xml:space="preserve"> che </w:t>
      </w:r>
      <w:r w:rsidRPr="000F23CE">
        <w:t>prevede la</w:t>
      </w:r>
      <w:r w:rsidR="000F23CE" w:rsidRPr="000F23CE">
        <w:t xml:space="preserve"> indisponibilità da parte di alcun soggetto di accordare trattamenti agevolativi personalizzati.</w:t>
      </w:r>
    </w:p>
    <w:p w14:paraId="710F93C9" w14:textId="6759B1C4" w:rsidR="001430FA" w:rsidRPr="001430FA" w:rsidRDefault="00CC1555" w:rsidP="001430FA">
      <w:pPr>
        <w:jc w:val="both"/>
      </w:pPr>
      <w:r w:rsidRPr="00CC1555">
        <w:lastRenderedPageBreak/>
        <w:t>Il</w:t>
      </w:r>
      <w:r w:rsidR="001430FA" w:rsidRPr="00CC1555">
        <w:t xml:space="preserve"> </w:t>
      </w:r>
      <w:r w:rsidR="001430FA" w:rsidRPr="00CB6FBB">
        <w:rPr>
          <w:i/>
          <w:iCs/>
        </w:rPr>
        <w:t>principio di indisponibilità</w:t>
      </w:r>
      <w:r w:rsidR="001430FA" w:rsidRPr="001430FA">
        <w:t xml:space="preserve"> </w:t>
      </w:r>
      <w:r w:rsidR="001430FA">
        <w:t>conosciuto in materia tributaria</w:t>
      </w:r>
      <w:r>
        <w:t xml:space="preserve">, è </w:t>
      </w:r>
      <w:r w:rsidR="001430FA" w:rsidRPr="001430FA">
        <w:t xml:space="preserve">un principio immanente nel nostro sistema di regole </w:t>
      </w:r>
      <w:r w:rsidR="001430FA">
        <w:t>fiscali che</w:t>
      </w:r>
      <w:r w:rsidR="001430FA" w:rsidRPr="001430FA">
        <w:t xml:space="preserve"> trova fondamento nel Regio Decreto 23 maggio 1924 n. 827, contenente il Regolamento per l’amministrazione del patrimonio e per la contabilità dello Stato.</w:t>
      </w:r>
      <w:r w:rsidR="001610E0">
        <w:t xml:space="preserve"> </w:t>
      </w:r>
      <w:r w:rsidR="001430FA" w:rsidRPr="001430FA">
        <w:t>L’art. 49 del citato Regolamento prevede che: </w:t>
      </w:r>
      <w:r w:rsidR="001430FA" w:rsidRPr="001430FA">
        <w:rPr>
          <w:i/>
          <w:iCs/>
        </w:rPr>
        <w:t>“Nei contratti non si può convenire esenzione da qualsiasi specie di imposte o tasse vigenti all’epoca della loro stipulazione”</w:t>
      </w:r>
      <w:r w:rsidR="001430FA" w:rsidRPr="001430FA">
        <w:t>.</w:t>
      </w:r>
    </w:p>
    <w:p w14:paraId="7DA57955" w14:textId="77777777" w:rsidR="001430FA" w:rsidRPr="001430FA" w:rsidRDefault="001430FA" w:rsidP="001430FA">
      <w:pPr>
        <w:jc w:val="both"/>
      </w:pPr>
      <w:r w:rsidRPr="001430FA">
        <w:t>Si tratta quindi di un principio che pone un chiaro ed inderogabile limite all’esercizio dell’amministrazione finanziaria: non è possibile - come recita testualmente il Regolamento – concordare una esenzione (totale o parziale) da qualunque tipologia di imposte o tasse, rendendosi perciò indisponibile la pretesa tributaria.</w:t>
      </w:r>
    </w:p>
    <w:p w14:paraId="502CA0B2" w14:textId="1C1B9363" w:rsidR="001430FA" w:rsidRPr="001430FA" w:rsidRDefault="001430FA" w:rsidP="001430FA">
      <w:pPr>
        <w:jc w:val="both"/>
      </w:pPr>
      <w:r w:rsidRPr="001430FA">
        <w:t>L’indisponibilità della pretesa tributaria, quindi, è ispirata e attuata nel pieno rispetto del principio di legalità dell’azione amministrativa e vede in ambito tributario il proprio corollario nell’art. 23 della Costituzione, secondo cui: </w:t>
      </w:r>
      <w:r w:rsidRPr="001430FA">
        <w:rPr>
          <w:i/>
          <w:iCs/>
        </w:rPr>
        <w:t>“Nessuna prestazione personale o patrimoniale può essere imposta se non in base alla legge”</w:t>
      </w:r>
      <w:r w:rsidRPr="001430FA">
        <w:t>. Infatti, dalla riserva di legge ivi espressa discende che sulla debenza e sull’ammontare dei tributi a carico dei contribuenti non è possibile alcuna decisione discrezionale dell’amministrazione finanziaria, posto che l’azione amministrativa su tali profili è vincolata</w:t>
      </w:r>
      <w:r w:rsidR="001610E0">
        <w:t>.</w:t>
      </w:r>
    </w:p>
    <w:p w14:paraId="5B1DBF61" w14:textId="6023623E" w:rsidR="001430FA" w:rsidRPr="001430FA" w:rsidRDefault="001430FA" w:rsidP="001430FA">
      <w:pPr>
        <w:jc w:val="both"/>
      </w:pPr>
      <w:r w:rsidRPr="001430FA">
        <w:t xml:space="preserve">In altri termini, l’indisponibilità della pretesa </w:t>
      </w:r>
      <w:r>
        <w:t>fiscale</w:t>
      </w:r>
      <w:r w:rsidRPr="001430FA">
        <w:t xml:space="preserve"> si esprime con l'affermazione secondo cui il credito erariale ha il suo fondamento giuridico nella legge, in modo che una volta accertati i fatti ed applicate ad essi le norme, all’Amministrazione non restano spazi per privilegiare o sacrificare qualcuno degli interessi privati in conflitto. </w:t>
      </w:r>
    </w:p>
    <w:p w14:paraId="4343B8B1" w14:textId="23558FD6" w:rsidR="00853F6A" w:rsidRPr="00853F6A" w:rsidRDefault="00853F6A" w:rsidP="00853F6A">
      <w:pPr>
        <w:jc w:val="both"/>
      </w:pPr>
      <w:r w:rsidRPr="00853F6A">
        <w:t xml:space="preserve">Come rammentato dalla Corte dei Conti, la concreta regolamentazione da parte del singolo comune, oltre che </w:t>
      </w:r>
      <w:r w:rsidR="001610E0" w:rsidRPr="00853F6A">
        <w:t>aderente alle</w:t>
      </w:r>
      <w:r w:rsidRPr="00853F6A">
        <w:t xml:space="preserve"> prescrizioni legislative, non può che essere ispirata dall’esigenza di </w:t>
      </w:r>
      <w:r w:rsidR="00CA0915" w:rsidRPr="00853F6A">
        <w:t>perseguire l’interesse</w:t>
      </w:r>
      <w:r w:rsidRPr="00853F6A">
        <w:t xml:space="preserve"> pubblico della comunità amministrata.</w:t>
      </w:r>
    </w:p>
    <w:p w14:paraId="4BD46E4A" w14:textId="70E35893" w:rsidR="00853F6A" w:rsidRPr="001610E0" w:rsidRDefault="00853F6A" w:rsidP="00EA1E66">
      <w:pPr>
        <w:jc w:val="both"/>
        <w:rPr>
          <w:u w:val="single"/>
        </w:rPr>
      </w:pPr>
      <w:r w:rsidRPr="00853F6A">
        <w:t>Con l’ordinanza 18171/2022, la Corte di Cassazione ha statuito che un Comune non può rinunciare alla riscossione del COSAP in quanto l’obbligazione deriva dall’occupazione del suolo pubblico</w:t>
      </w:r>
      <w:r>
        <w:t xml:space="preserve">, Nella sentenza si legge: </w:t>
      </w:r>
      <w:r w:rsidRPr="00853F6A">
        <w:t>“</w:t>
      </w:r>
      <w:r>
        <w:t>…</w:t>
      </w:r>
      <w:r w:rsidRPr="00853F6A">
        <w:rPr>
          <w:i/>
          <w:iCs/>
        </w:rPr>
        <w:t xml:space="preserve">il diritto al canone </w:t>
      </w:r>
      <w:proofErr w:type="spellStart"/>
      <w:r w:rsidRPr="00853F6A">
        <w:rPr>
          <w:i/>
          <w:iCs/>
        </w:rPr>
        <w:t>Osap</w:t>
      </w:r>
      <w:proofErr w:type="spellEnd"/>
      <w:r w:rsidRPr="00853F6A">
        <w:rPr>
          <w:i/>
          <w:iCs/>
        </w:rPr>
        <w:t xml:space="preserve"> trova la sua fonte nel provvedimento concessorio, ma non può essere considerato oggetto di trattativa privata: l’obbligazione di corrispondere il canone nasce (non con l’accertamento, ma) con l’occupazione del demanio pubblico, con o senza titolo; ed </w:t>
      </w:r>
      <w:r w:rsidRPr="001610E0">
        <w:rPr>
          <w:i/>
          <w:iCs/>
          <w:u w:val="single"/>
        </w:rPr>
        <w:t xml:space="preserve">il diritto al canone </w:t>
      </w:r>
      <w:proofErr w:type="spellStart"/>
      <w:r w:rsidRPr="001610E0">
        <w:rPr>
          <w:i/>
          <w:iCs/>
          <w:u w:val="single"/>
        </w:rPr>
        <w:t>Osap</w:t>
      </w:r>
      <w:proofErr w:type="spellEnd"/>
      <w:r w:rsidRPr="001610E0">
        <w:rPr>
          <w:i/>
          <w:iCs/>
          <w:u w:val="single"/>
        </w:rPr>
        <w:t xml:space="preserve"> e la sua determinazione non possono essere oggetto di rinuncia</w:t>
      </w:r>
      <w:r w:rsidRPr="001610E0">
        <w:rPr>
          <w:u w:val="single"/>
        </w:rPr>
        <w:t>”.</w:t>
      </w:r>
    </w:p>
    <w:p w14:paraId="7753623D" w14:textId="70D4C414" w:rsidR="00A95753" w:rsidRPr="00A95753" w:rsidRDefault="001610E0" w:rsidP="00A95753">
      <w:pPr>
        <w:jc w:val="both"/>
      </w:pPr>
      <w:r w:rsidRPr="001610E0">
        <w:t xml:space="preserve">Sul tema troviamo molte pronunce e pareri della Corte dei Conti che </w:t>
      </w:r>
      <w:r w:rsidR="00CA0915" w:rsidRPr="001610E0">
        <w:t>ribadiscono</w:t>
      </w:r>
      <w:r w:rsidRPr="001610E0">
        <w:t xml:space="preserve"> in ogni occasione l’applicazione dei principi di indisponibilità e legalità.</w:t>
      </w:r>
      <w:r>
        <w:t xml:space="preserve"> Tra queste ricordiamo il parere della </w:t>
      </w:r>
      <w:r w:rsidR="00A95753" w:rsidRPr="00A95753">
        <w:t xml:space="preserve">Corte Conti Lombardia – Parere </w:t>
      </w:r>
      <w:r>
        <w:t xml:space="preserve">numero </w:t>
      </w:r>
      <w:r w:rsidR="00A95753" w:rsidRPr="00A95753">
        <w:t>140 del 9</w:t>
      </w:r>
      <w:r>
        <w:t xml:space="preserve"> maggio </w:t>
      </w:r>
      <w:r w:rsidR="00CA0915" w:rsidRPr="00A95753">
        <w:t xml:space="preserve">2018 </w:t>
      </w:r>
      <w:r w:rsidR="00CA0915">
        <w:t>nel</w:t>
      </w:r>
      <w:r>
        <w:t xml:space="preserve"> quale i Giudici contabili scrivono: </w:t>
      </w:r>
      <w:r w:rsidR="00A95753" w:rsidRPr="00A95753">
        <w:rPr>
          <w:i/>
          <w:iCs/>
        </w:rPr>
        <w:t>“Secondo l’impostazione dottrinaria e giurisprudenziale tradizionale, nel nostro ordinamento vige il principio dell’indisponibilità dell’obbligazione tributaria, in primo luogo quale corollario del principio di legalità, in connessione quindi alla natura vincolata dell’azione amministrativa in materia tributaria. Tale assunto si fonda sull’articolo 23 della Costituzione, secondo il quale nessuna prestazione personale o patrimoniale può essere imposta se non in base alla legge. Pertanto, secondo questa impostazione, la necessaria previsione dell’obbligazione tributaria in disposizioni imperative, vincolanti sia per i soggetti passivi del tributo che per l’Ente impositore, comporta il necessario esercizio, da parte di quest’ultimo, dei poteri conferitigli, senza esercizio alcuno di discrezionalità.</w:t>
      </w:r>
      <w:r>
        <w:rPr>
          <w:i/>
          <w:iCs/>
        </w:rPr>
        <w:t xml:space="preserve"> </w:t>
      </w:r>
      <w:r w:rsidR="00A95753" w:rsidRPr="00A95753">
        <w:rPr>
          <w:i/>
          <w:iCs/>
          <w:u w:val="single"/>
        </w:rPr>
        <w:t>Pertanto, lo Stato e gli altri enti pubblici che operano quali enti impositori non hanno facoltà di rinunciare a tributi o di accordare ai singoli esenzioni o agevolazioni non previste dalla legge.”</w:t>
      </w:r>
    </w:p>
    <w:p w14:paraId="779B4472" w14:textId="080AE53C" w:rsidR="00A95753" w:rsidRDefault="001610E0" w:rsidP="00763426">
      <w:pPr>
        <w:jc w:val="both"/>
      </w:pPr>
      <w:r>
        <w:t xml:space="preserve">In </w:t>
      </w:r>
      <w:r w:rsidR="00373D8D">
        <w:t>materia</w:t>
      </w:r>
      <w:r>
        <w:t xml:space="preserve"> di Canone Unico, con</w:t>
      </w:r>
      <w:r w:rsidR="0052428D">
        <w:t xml:space="preserve"> particolare</w:t>
      </w:r>
      <w:r>
        <w:t xml:space="preserve"> riferimento a</w:t>
      </w:r>
      <w:r w:rsidR="00C16093">
        <w:t>lle</w:t>
      </w:r>
      <w:r>
        <w:t xml:space="preserve"> occupazioni realizzate da aziende per l’erogazione di pubblici servizi, regolati con convenzioni e accordi contrattuali con le amministrazioni </w:t>
      </w:r>
      <w:r w:rsidR="00CA0915">
        <w:t>locali</w:t>
      </w:r>
      <w:r w:rsidR="00A06341">
        <w:t xml:space="preserve"> di un determinato ambito territoriale,</w:t>
      </w:r>
      <w:r w:rsidR="00CA0915">
        <w:t xml:space="preserve"> si</w:t>
      </w:r>
      <w:r w:rsidR="00763426">
        <w:t xml:space="preserve"> deve affermare </w:t>
      </w:r>
      <w:r w:rsidR="00CA0915">
        <w:t>come</w:t>
      </w:r>
      <w:r w:rsidR="00763426">
        <w:t xml:space="preserve"> non sia</w:t>
      </w:r>
      <w:r w:rsidR="0052428D">
        <w:t xml:space="preserve"> in nessun caso</w:t>
      </w:r>
      <w:r w:rsidR="00763426">
        <w:t xml:space="preserve"> possibile negoziare, da parte </w:t>
      </w:r>
      <w:r w:rsidR="00373D8D">
        <w:t>degli</w:t>
      </w:r>
      <w:r w:rsidR="00763426">
        <w:t xml:space="preserve"> </w:t>
      </w:r>
      <w:r w:rsidR="00C16093">
        <w:t xml:space="preserve">stessi </w:t>
      </w:r>
      <w:r w:rsidR="00763426">
        <w:t>enti impositori, la rinuncia a</w:t>
      </w:r>
      <w:r w:rsidR="00373D8D">
        <w:t xml:space="preserve">l canone, accordando </w:t>
      </w:r>
      <w:r w:rsidR="00763426">
        <w:t>a</w:t>
      </w:r>
      <w:r w:rsidR="00CA0915">
        <w:t xml:space="preserve">lle aziende </w:t>
      </w:r>
      <w:r w:rsidR="00763426">
        <w:t>esenzioni o agevolazioni non previste dalla legge,</w:t>
      </w:r>
      <w:r w:rsidR="00373D8D">
        <w:t xml:space="preserve"> anche </w:t>
      </w:r>
      <w:r w:rsidR="00C16093">
        <w:t xml:space="preserve">in quelle circostanze in cui la </w:t>
      </w:r>
      <w:r w:rsidR="00373D8D">
        <w:t xml:space="preserve">scelta </w:t>
      </w:r>
      <w:r w:rsidR="0052428D">
        <w:t>potrebbe garantire</w:t>
      </w:r>
      <w:r w:rsidR="00373D8D">
        <w:t xml:space="preserve"> </w:t>
      </w:r>
      <w:r w:rsidR="00C16093">
        <w:t xml:space="preserve">diversi </w:t>
      </w:r>
      <w:r w:rsidR="00373D8D">
        <w:t>benefici al</w:t>
      </w:r>
      <w:r w:rsidR="00C16093">
        <w:t xml:space="preserve">la Pubblica </w:t>
      </w:r>
      <w:r w:rsidR="00C16093">
        <w:lastRenderedPageBreak/>
        <w:t>Amministrazione</w:t>
      </w:r>
      <w:r w:rsidR="00CA0915">
        <w:t xml:space="preserve"> e al territorio </w:t>
      </w:r>
      <w:r w:rsidR="00C16093">
        <w:t xml:space="preserve">che governa, spesso bisognoso </w:t>
      </w:r>
      <w:r w:rsidR="00CA0915">
        <w:t xml:space="preserve">di </w:t>
      </w:r>
      <w:r w:rsidR="00C16093">
        <w:t xml:space="preserve">importanti </w:t>
      </w:r>
      <w:r w:rsidR="00CA0915">
        <w:t>investimenti sulle infrastrutture dedicate ai servizi di rete.</w:t>
      </w:r>
    </w:p>
    <w:sectPr w:rsidR="00A9575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A0D"/>
    <w:rsid w:val="000F23CE"/>
    <w:rsid w:val="001430FA"/>
    <w:rsid w:val="001610E0"/>
    <w:rsid w:val="001F58D4"/>
    <w:rsid w:val="00225A0D"/>
    <w:rsid w:val="002354A9"/>
    <w:rsid w:val="002D0EE9"/>
    <w:rsid w:val="003368E5"/>
    <w:rsid w:val="00356B35"/>
    <w:rsid w:val="00366798"/>
    <w:rsid w:val="00373D8D"/>
    <w:rsid w:val="00382FFE"/>
    <w:rsid w:val="00392254"/>
    <w:rsid w:val="003C708B"/>
    <w:rsid w:val="0044060F"/>
    <w:rsid w:val="0052428D"/>
    <w:rsid w:val="0053230B"/>
    <w:rsid w:val="006672EA"/>
    <w:rsid w:val="006B4BB1"/>
    <w:rsid w:val="00763426"/>
    <w:rsid w:val="007E7BEF"/>
    <w:rsid w:val="00853F6A"/>
    <w:rsid w:val="00870912"/>
    <w:rsid w:val="00A06341"/>
    <w:rsid w:val="00A95753"/>
    <w:rsid w:val="00AA1211"/>
    <w:rsid w:val="00C16093"/>
    <w:rsid w:val="00C73E47"/>
    <w:rsid w:val="00CA0915"/>
    <w:rsid w:val="00CB6FBB"/>
    <w:rsid w:val="00CC1555"/>
    <w:rsid w:val="00D867DC"/>
    <w:rsid w:val="00E5584E"/>
    <w:rsid w:val="00E66480"/>
    <w:rsid w:val="00E81BC4"/>
    <w:rsid w:val="00EA1E66"/>
    <w:rsid w:val="00F372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0E738"/>
  <w15:chartTrackingRefBased/>
  <w15:docId w15:val="{2DD00F27-CD23-4E4F-B4F9-E43651AC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25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225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225A0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225A0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225A0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225A0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25A0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25A0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25A0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25A0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225A0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225A0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225A0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225A0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225A0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25A0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25A0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25A0D"/>
    <w:rPr>
      <w:rFonts w:eastAsiaTheme="majorEastAsia" w:cstheme="majorBidi"/>
      <w:color w:val="272727" w:themeColor="text1" w:themeTint="D8"/>
    </w:rPr>
  </w:style>
  <w:style w:type="paragraph" w:styleId="Titolo">
    <w:name w:val="Title"/>
    <w:basedOn w:val="Normale"/>
    <w:next w:val="Normale"/>
    <w:link w:val="TitoloCarattere"/>
    <w:uiPriority w:val="10"/>
    <w:qFormat/>
    <w:rsid w:val="00225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25A0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25A0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25A0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25A0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25A0D"/>
    <w:rPr>
      <w:i/>
      <w:iCs/>
      <w:color w:val="404040" w:themeColor="text1" w:themeTint="BF"/>
    </w:rPr>
  </w:style>
  <w:style w:type="paragraph" w:styleId="Paragrafoelenco">
    <w:name w:val="List Paragraph"/>
    <w:basedOn w:val="Normale"/>
    <w:uiPriority w:val="34"/>
    <w:qFormat/>
    <w:rsid w:val="00225A0D"/>
    <w:pPr>
      <w:ind w:left="720"/>
      <w:contextualSpacing/>
    </w:pPr>
  </w:style>
  <w:style w:type="character" w:styleId="Enfasiintensa">
    <w:name w:val="Intense Emphasis"/>
    <w:basedOn w:val="Carpredefinitoparagrafo"/>
    <w:uiPriority w:val="21"/>
    <w:qFormat/>
    <w:rsid w:val="00225A0D"/>
    <w:rPr>
      <w:i/>
      <w:iCs/>
      <w:color w:val="2F5496" w:themeColor="accent1" w:themeShade="BF"/>
    </w:rPr>
  </w:style>
  <w:style w:type="paragraph" w:styleId="Citazioneintensa">
    <w:name w:val="Intense Quote"/>
    <w:basedOn w:val="Normale"/>
    <w:next w:val="Normale"/>
    <w:link w:val="CitazioneintensaCarattere"/>
    <w:uiPriority w:val="30"/>
    <w:qFormat/>
    <w:rsid w:val="00225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225A0D"/>
    <w:rPr>
      <w:i/>
      <w:iCs/>
      <w:color w:val="2F5496" w:themeColor="accent1" w:themeShade="BF"/>
    </w:rPr>
  </w:style>
  <w:style w:type="character" w:styleId="Riferimentointenso">
    <w:name w:val="Intense Reference"/>
    <w:basedOn w:val="Carpredefinitoparagrafo"/>
    <w:uiPriority w:val="32"/>
    <w:qFormat/>
    <w:rsid w:val="00225A0D"/>
    <w:rPr>
      <w:b/>
      <w:bCs/>
      <w:smallCaps/>
      <w:color w:val="2F5496" w:themeColor="accent1" w:themeShade="BF"/>
      <w:spacing w:val="5"/>
    </w:rPr>
  </w:style>
  <w:style w:type="paragraph" w:styleId="NormaleWeb">
    <w:name w:val="Normal (Web)"/>
    <w:basedOn w:val="Normale"/>
    <w:uiPriority w:val="99"/>
    <w:semiHidden/>
    <w:unhideWhenUsed/>
    <w:rsid w:val="001430FA"/>
    <w:rPr>
      <w:rFonts w:ascii="Times New Roman" w:hAnsi="Times New Roman" w:cs="Times New Roman"/>
      <w:sz w:val="24"/>
      <w:szCs w:val="24"/>
    </w:rPr>
  </w:style>
  <w:style w:type="character" w:styleId="Collegamentoipertestuale">
    <w:name w:val="Hyperlink"/>
    <w:basedOn w:val="Carpredefinitoparagrafo"/>
    <w:uiPriority w:val="99"/>
    <w:unhideWhenUsed/>
    <w:rsid w:val="001430FA"/>
    <w:rPr>
      <w:color w:val="0563C1" w:themeColor="hyperlink"/>
      <w:u w:val="single"/>
    </w:rPr>
  </w:style>
  <w:style w:type="character" w:styleId="Menzionenonrisolta">
    <w:name w:val="Unresolved Mention"/>
    <w:basedOn w:val="Carpredefinitoparagrafo"/>
    <w:uiPriority w:val="99"/>
    <w:semiHidden/>
    <w:unhideWhenUsed/>
    <w:rsid w:val="00143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193133">
      <w:bodyDiv w:val="1"/>
      <w:marLeft w:val="0"/>
      <w:marRight w:val="0"/>
      <w:marTop w:val="0"/>
      <w:marBottom w:val="0"/>
      <w:divBdr>
        <w:top w:val="none" w:sz="0" w:space="0" w:color="auto"/>
        <w:left w:val="none" w:sz="0" w:space="0" w:color="auto"/>
        <w:bottom w:val="none" w:sz="0" w:space="0" w:color="auto"/>
        <w:right w:val="none" w:sz="0" w:space="0" w:color="auto"/>
      </w:divBdr>
    </w:div>
    <w:div w:id="294918861">
      <w:bodyDiv w:val="1"/>
      <w:marLeft w:val="0"/>
      <w:marRight w:val="0"/>
      <w:marTop w:val="0"/>
      <w:marBottom w:val="0"/>
      <w:divBdr>
        <w:top w:val="none" w:sz="0" w:space="0" w:color="auto"/>
        <w:left w:val="none" w:sz="0" w:space="0" w:color="auto"/>
        <w:bottom w:val="none" w:sz="0" w:space="0" w:color="auto"/>
        <w:right w:val="none" w:sz="0" w:space="0" w:color="auto"/>
      </w:divBdr>
    </w:div>
    <w:div w:id="379325371">
      <w:bodyDiv w:val="1"/>
      <w:marLeft w:val="0"/>
      <w:marRight w:val="0"/>
      <w:marTop w:val="0"/>
      <w:marBottom w:val="0"/>
      <w:divBdr>
        <w:top w:val="none" w:sz="0" w:space="0" w:color="auto"/>
        <w:left w:val="none" w:sz="0" w:space="0" w:color="auto"/>
        <w:bottom w:val="none" w:sz="0" w:space="0" w:color="auto"/>
        <w:right w:val="none" w:sz="0" w:space="0" w:color="auto"/>
      </w:divBdr>
    </w:div>
    <w:div w:id="387727831">
      <w:bodyDiv w:val="1"/>
      <w:marLeft w:val="0"/>
      <w:marRight w:val="0"/>
      <w:marTop w:val="0"/>
      <w:marBottom w:val="0"/>
      <w:divBdr>
        <w:top w:val="none" w:sz="0" w:space="0" w:color="auto"/>
        <w:left w:val="none" w:sz="0" w:space="0" w:color="auto"/>
        <w:bottom w:val="none" w:sz="0" w:space="0" w:color="auto"/>
        <w:right w:val="none" w:sz="0" w:space="0" w:color="auto"/>
      </w:divBdr>
    </w:div>
    <w:div w:id="793214221">
      <w:bodyDiv w:val="1"/>
      <w:marLeft w:val="0"/>
      <w:marRight w:val="0"/>
      <w:marTop w:val="0"/>
      <w:marBottom w:val="0"/>
      <w:divBdr>
        <w:top w:val="none" w:sz="0" w:space="0" w:color="auto"/>
        <w:left w:val="none" w:sz="0" w:space="0" w:color="auto"/>
        <w:bottom w:val="none" w:sz="0" w:space="0" w:color="auto"/>
        <w:right w:val="none" w:sz="0" w:space="0" w:color="auto"/>
      </w:divBdr>
    </w:div>
    <w:div w:id="1032070134">
      <w:bodyDiv w:val="1"/>
      <w:marLeft w:val="0"/>
      <w:marRight w:val="0"/>
      <w:marTop w:val="0"/>
      <w:marBottom w:val="0"/>
      <w:divBdr>
        <w:top w:val="none" w:sz="0" w:space="0" w:color="auto"/>
        <w:left w:val="none" w:sz="0" w:space="0" w:color="auto"/>
        <w:bottom w:val="none" w:sz="0" w:space="0" w:color="auto"/>
        <w:right w:val="none" w:sz="0" w:space="0" w:color="auto"/>
      </w:divBdr>
    </w:div>
    <w:div w:id="1182863821">
      <w:bodyDiv w:val="1"/>
      <w:marLeft w:val="0"/>
      <w:marRight w:val="0"/>
      <w:marTop w:val="0"/>
      <w:marBottom w:val="0"/>
      <w:divBdr>
        <w:top w:val="none" w:sz="0" w:space="0" w:color="auto"/>
        <w:left w:val="none" w:sz="0" w:space="0" w:color="auto"/>
        <w:bottom w:val="none" w:sz="0" w:space="0" w:color="auto"/>
        <w:right w:val="none" w:sz="0" w:space="0" w:color="auto"/>
      </w:divBdr>
    </w:div>
    <w:div w:id="1275478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3</Pages>
  <Words>1283</Words>
  <Characters>7317</Characters>
  <Application>Microsoft Office Word</Application>
  <DocSecurity>0</DocSecurity>
  <Lines>60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17</cp:revision>
  <dcterms:created xsi:type="dcterms:W3CDTF">2025-02-01T09:55:00Z</dcterms:created>
  <dcterms:modified xsi:type="dcterms:W3CDTF">2025-02-08T11:51:00Z</dcterms:modified>
</cp:coreProperties>
</file>