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934B" w14:textId="023393A2" w:rsidR="00605CD0" w:rsidRDefault="004251FD">
      <w:r>
        <w:t>Titolo: CUP ancora incertezze sul giudice competente</w:t>
      </w:r>
      <w:r w:rsidR="002B57D5">
        <w:t xml:space="preserve">. </w:t>
      </w:r>
    </w:p>
    <w:p w14:paraId="0F51A3CE" w14:textId="04886660" w:rsidR="004251FD" w:rsidRDefault="004251FD" w:rsidP="004251FD">
      <w:pPr>
        <w:jc w:val="both"/>
      </w:pPr>
      <w:r>
        <w:t xml:space="preserve">Torna di attualità la questione della competenza </w:t>
      </w:r>
      <w:r w:rsidR="00AA1DF7">
        <w:t xml:space="preserve">giurisdizionale </w:t>
      </w:r>
      <w:r>
        <w:t>relativa il contenzioso della nuova entrata CUP, Canone Unico Patrimoniale</w:t>
      </w:r>
      <w:r w:rsidR="00517F53">
        <w:t>,</w:t>
      </w:r>
      <w:r>
        <w:t xml:space="preserve"> introdott</w:t>
      </w:r>
      <w:r w:rsidR="00517F53">
        <w:t>o</w:t>
      </w:r>
      <w:r>
        <w:t xml:space="preserve"> dal Legislatore a decorrere dal 2021 </w:t>
      </w:r>
      <w:r w:rsidR="00517F53">
        <w:t xml:space="preserve">per </w:t>
      </w:r>
      <w:r>
        <w:t xml:space="preserve">le occupazioni di suolo pubblico e </w:t>
      </w:r>
      <w:r w:rsidR="00517F53">
        <w:t>per</w:t>
      </w:r>
      <w:r w:rsidR="00D741AA">
        <w:t xml:space="preserve"> le esposizioni di</w:t>
      </w:r>
      <w:r w:rsidR="00517F53">
        <w:t xml:space="preserve"> mezzi pubblicitari</w:t>
      </w:r>
      <w:r w:rsidR="00D741AA">
        <w:t xml:space="preserve"> </w:t>
      </w:r>
      <w:r w:rsidR="00D741AA">
        <w:t>in sostituzione dei precedenti prelievi vigenti</w:t>
      </w:r>
      <w:r w:rsidR="00D741AA">
        <w:t xml:space="preserve"> fino al 2020.</w:t>
      </w:r>
    </w:p>
    <w:p w14:paraId="3A8E32E5" w14:textId="749CF303" w:rsidR="004251FD" w:rsidRDefault="004251FD" w:rsidP="00D741AA">
      <w:pPr>
        <w:jc w:val="both"/>
      </w:pPr>
      <w:r>
        <w:t xml:space="preserve">La Corte di Giustizia Tributaria di Milano ha recentemente emesso una sentenza avente ad oggetto una controversia riferita al </w:t>
      </w:r>
      <w:r w:rsidR="00AA1DF7">
        <w:t>C</w:t>
      </w:r>
      <w:r>
        <w:t>anone</w:t>
      </w:r>
      <w:r w:rsidR="00AA1DF7">
        <w:t xml:space="preserve"> Unico</w:t>
      </w:r>
      <w:r>
        <w:t xml:space="preserve"> dovuto per l’installazione di un impianto pubblicitario su strada provinciale</w:t>
      </w:r>
      <w:r w:rsidR="00517F53">
        <w:t xml:space="preserve"> (sez. 16 sentenza n. 260 del 27 gennaio 2023)</w:t>
      </w:r>
      <w:r w:rsidR="000B5A13">
        <w:t xml:space="preserve">. </w:t>
      </w:r>
      <w:r w:rsidR="00D741AA">
        <w:t>Nel contesto del ricorso, n</w:t>
      </w:r>
      <w:r w:rsidR="00AA1DF7">
        <w:t>essuno dei soggetti</w:t>
      </w:r>
      <w:r w:rsidR="00D741AA">
        <w:t xml:space="preserve"> </w:t>
      </w:r>
      <w:r w:rsidR="00AA1DF7">
        <w:t xml:space="preserve">ha </w:t>
      </w:r>
      <w:r w:rsidR="000B5A13">
        <w:t xml:space="preserve">eccepito </w:t>
      </w:r>
      <w:r w:rsidR="00AA1DF7">
        <w:t>il</w:t>
      </w:r>
      <w:r w:rsidR="000B5A13">
        <w:t xml:space="preserve"> vizio di competenza </w:t>
      </w:r>
      <w:r w:rsidR="00AA1DF7">
        <w:t xml:space="preserve">della </w:t>
      </w:r>
      <w:r w:rsidR="00D741AA">
        <w:t>C</w:t>
      </w:r>
      <w:r w:rsidR="00AA1DF7">
        <w:t xml:space="preserve">orte </w:t>
      </w:r>
      <w:r w:rsidR="000B5A13">
        <w:t>nel giudicare un ricorso riferito ad un</w:t>
      </w:r>
      <w:r w:rsidR="00AA1DF7">
        <w:t xml:space="preserve"> canone </w:t>
      </w:r>
      <w:r w:rsidR="000B5A13">
        <w:t xml:space="preserve">il cui nome stesso </w:t>
      </w:r>
      <w:r w:rsidR="00517F53">
        <w:t xml:space="preserve">ha portato in questi primi anni di disciplina </w:t>
      </w:r>
      <w:r w:rsidR="000B5A13">
        <w:t>a ritener</w:t>
      </w:r>
      <w:r w:rsidR="00AA1DF7">
        <w:t xml:space="preserve">lo estraneo </w:t>
      </w:r>
      <w:r w:rsidR="009F022D">
        <w:t>all’ambito dalle</w:t>
      </w:r>
      <w:r w:rsidR="00AA1DF7">
        <w:t xml:space="preserve"> entrate tributarie.</w:t>
      </w:r>
    </w:p>
    <w:p w14:paraId="7D9222BB" w14:textId="22275E23" w:rsidR="00517F53" w:rsidRDefault="00D741AA" w:rsidP="004251FD">
      <w:pPr>
        <w:jc w:val="both"/>
      </w:pPr>
      <w:r>
        <w:t>Già n</w:t>
      </w:r>
      <w:r w:rsidR="00517F53">
        <w:t xml:space="preserve">ei mesi scorsi si era aperto un acceso dibattito sulla </w:t>
      </w:r>
      <w:r w:rsidR="009F022D">
        <w:t xml:space="preserve">possibile </w:t>
      </w:r>
      <w:r w:rsidR="00517F53">
        <w:t>diversa natura delle due componenti del Canone Unico. L’entrata è infatti caratterizzata da due presupposti profondamente diversi</w:t>
      </w:r>
      <w:r>
        <w:t xml:space="preserve"> tra loro</w:t>
      </w:r>
      <w:r w:rsidR="00517F53">
        <w:t>, che il Legislatore ha cercato di tenere in qualche modo separati</w:t>
      </w:r>
      <w:r w:rsidR="002B57D5">
        <w:t>,</w:t>
      </w:r>
      <w:r w:rsidR="00517F53">
        <w:t xml:space="preserve"> seppur incardinati nella stessa disciplina. La componente legata all’occupazione del suolo pubblico e quella dedicata </w:t>
      </w:r>
      <w:r w:rsidR="0047758B">
        <w:t>alla diffusione</w:t>
      </w:r>
      <w:r w:rsidR="00572497">
        <w:t xml:space="preserve"> pubblicitaria vivono </w:t>
      </w:r>
      <w:r w:rsidR="009F022D">
        <w:t xml:space="preserve">una condizione di separazione di fatto seppur </w:t>
      </w:r>
      <w:r w:rsidR="00572497">
        <w:t>sotto lo stesso tetto.</w:t>
      </w:r>
    </w:p>
    <w:p w14:paraId="72F78903" w14:textId="756E47BA" w:rsidR="00572497" w:rsidRDefault="00572497" w:rsidP="004251FD">
      <w:pPr>
        <w:jc w:val="both"/>
      </w:pPr>
      <w:r>
        <w:t>Il Dipartimento del Ministero delle Finanze con una risposta a Telefisco del 31 gennaio 2022 sostenne che</w:t>
      </w:r>
      <w:r w:rsidRPr="00572497">
        <w:t xml:space="preserve"> </w:t>
      </w:r>
      <w:r>
        <w:t>entrambe le componenti del canone hanno natura patrimoniale, stante la chiara formulazione utilizzata dal Legislatore</w:t>
      </w:r>
      <w:r w:rsidR="0009263A">
        <w:t xml:space="preserve"> e </w:t>
      </w:r>
      <w:r w:rsidR="00D741AA">
        <w:t>considerato</w:t>
      </w:r>
      <w:r w:rsidR="0009263A">
        <w:t xml:space="preserve"> </w:t>
      </w:r>
      <w:r>
        <w:t xml:space="preserve">che all’interno della normativa non si rinvengono elementi tali da far </w:t>
      </w:r>
      <w:r w:rsidR="0009263A">
        <w:t>valutare</w:t>
      </w:r>
      <w:r>
        <w:t xml:space="preserve"> </w:t>
      </w:r>
      <w:r w:rsidR="00D741AA">
        <w:t xml:space="preserve">come </w:t>
      </w:r>
      <w:r>
        <w:t>diversa la natura giuridica della fattispecie di diffusione di messaggi pubblicitari.</w:t>
      </w:r>
    </w:p>
    <w:p w14:paraId="7B0A59F7" w14:textId="7FEF42B1" w:rsidR="00572497" w:rsidRDefault="00B37073" w:rsidP="004251FD">
      <w:pPr>
        <w:jc w:val="both"/>
      </w:pPr>
      <w:r>
        <w:t xml:space="preserve">Ma questa sbrigativa risposta del MEF non </w:t>
      </w:r>
      <w:r w:rsidR="002B57D5">
        <w:t>risolse</w:t>
      </w:r>
      <w:r>
        <w:t xml:space="preserve"> i dubbi sulla natura dell’entrata, tanto che molti hanno ritenuto di poter </w:t>
      </w:r>
      <w:r w:rsidR="0009263A">
        <w:t>mantenere</w:t>
      </w:r>
      <w:r>
        <w:t xml:space="preserve"> distinte</w:t>
      </w:r>
      <w:r w:rsidR="0009263A">
        <w:t xml:space="preserve"> le discipline del</w:t>
      </w:r>
      <w:r>
        <w:t>le due componenti</w:t>
      </w:r>
      <w:r w:rsidR="0009263A">
        <w:t>,</w:t>
      </w:r>
      <w:r>
        <w:t xml:space="preserve"> proprio per le caratteristiche </w:t>
      </w:r>
      <w:r w:rsidR="00D741AA">
        <w:t>intrinseche che le</w:t>
      </w:r>
      <w:r>
        <w:t xml:space="preserve"> due forme di prelievo</w:t>
      </w:r>
      <w:r w:rsidR="002B57D5" w:rsidRPr="002B57D5">
        <w:t xml:space="preserve"> </w:t>
      </w:r>
      <w:r w:rsidR="002B57D5">
        <w:t>hanno</w:t>
      </w:r>
      <w:r>
        <w:t>.</w:t>
      </w:r>
    </w:p>
    <w:p w14:paraId="462558D4" w14:textId="5659B969" w:rsidR="00DF7890" w:rsidRDefault="00B37073" w:rsidP="00B37073">
      <w:pPr>
        <w:jc w:val="both"/>
      </w:pPr>
      <w:r>
        <w:t xml:space="preserve">Che sia stata una forzatura quella di unire le due entrate basate su presupposti diversi </w:t>
      </w:r>
      <w:r w:rsidR="0047758B">
        <w:t>risult</w:t>
      </w:r>
      <w:r w:rsidR="0009263A">
        <w:t>ò</w:t>
      </w:r>
      <w:r w:rsidR="0047758B">
        <w:t xml:space="preserve"> </w:t>
      </w:r>
      <w:r>
        <w:t>evidente</w:t>
      </w:r>
      <w:r w:rsidR="002B57D5">
        <w:t xml:space="preserve"> fin da subito</w:t>
      </w:r>
      <w:r>
        <w:t xml:space="preserve">. </w:t>
      </w:r>
      <w:r w:rsidR="002B57D5">
        <w:t>Alcuni esperti ritengono</w:t>
      </w:r>
      <w:r w:rsidR="0009263A">
        <w:t xml:space="preserve"> ancora </w:t>
      </w:r>
      <w:r w:rsidR="00D741AA">
        <w:t>oggi che</w:t>
      </w:r>
      <w:r w:rsidR="002B57D5">
        <w:t xml:space="preserve"> </w:t>
      </w:r>
      <w:r w:rsidRPr="00B37073">
        <w:t>le esposizioni pubblicitarie</w:t>
      </w:r>
      <w:r w:rsidR="0009263A">
        <w:t>,</w:t>
      </w:r>
      <w:r w:rsidRPr="00B37073">
        <w:t xml:space="preserve"> </w:t>
      </w:r>
      <w:r w:rsidR="002B57D5">
        <w:t>essendo</w:t>
      </w:r>
      <w:r w:rsidRPr="00B37073">
        <w:t xml:space="preserve"> subordinate al rilascio di un mero atto autorizzatorio di controllo e non a un atto di concessione</w:t>
      </w:r>
      <w:r>
        <w:t xml:space="preserve"> come avviene per le occupazioni di suolo pubblico</w:t>
      </w:r>
      <w:r w:rsidR="002B57D5">
        <w:t xml:space="preserve">, </w:t>
      </w:r>
      <w:r w:rsidR="0047758B">
        <w:t>possa</w:t>
      </w:r>
      <w:r w:rsidR="00D741AA">
        <w:t>no essere</w:t>
      </w:r>
      <w:r w:rsidR="0047758B">
        <w:t xml:space="preserve"> </w:t>
      </w:r>
      <w:r w:rsidR="0009263A">
        <w:t>consider</w:t>
      </w:r>
      <w:r w:rsidR="00D741AA">
        <w:t>ate</w:t>
      </w:r>
      <w:r w:rsidR="0009263A">
        <w:t xml:space="preserve"> attratte ne</w:t>
      </w:r>
      <w:r w:rsidRPr="00B37073">
        <w:t>ll'ambito delle obbligazioni tributarie fondate sull'art. 53 della Costituzione</w:t>
      </w:r>
      <w:r w:rsidR="002B57D5">
        <w:t xml:space="preserve">. </w:t>
      </w:r>
    </w:p>
    <w:p w14:paraId="15EA1C87" w14:textId="0EDD4844" w:rsidR="00B37073" w:rsidRDefault="00DF7890" w:rsidP="00B37073">
      <w:pPr>
        <w:jc w:val="both"/>
      </w:pPr>
      <w:r>
        <w:t xml:space="preserve">Altri invece ritengono </w:t>
      </w:r>
      <w:r w:rsidR="0047758B">
        <w:t xml:space="preserve">che </w:t>
      </w:r>
      <w:r>
        <w:t xml:space="preserve">questa interpretazione </w:t>
      </w:r>
      <w:r w:rsidR="0047758B">
        <w:t xml:space="preserve">sia </w:t>
      </w:r>
      <w:r>
        <w:t xml:space="preserve">per certi aspetti ancora troppo ancorata alla disciplina della soppressa Imposta sulla Pubblicità. </w:t>
      </w:r>
    </w:p>
    <w:p w14:paraId="100E9B4D" w14:textId="45B9A033" w:rsidR="00DF7890" w:rsidRDefault="00DF7890" w:rsidP="00B37073">
      <w:pPr>
        <w:jc w:val="both"/>
      </w:pPr>
      <w:r>
        <w:t xml:space="preserve">In realtà, con la nuova disciplina del Canone Unico,  si può </w:t>
      </w:r>
      <w:r w:rsidR="0047758B">
        <w:t>tranquillamente</w:t>
      </w:r>
      <w:r>
        <w:t xml:space="preserve"> sostenere che, così come avviene per le occupazioni di suolo pubblico, l’atto amministrativo rilasciato dall’ente locale, costituisce una sorta di corrispettivo dovuto in cambio del diritto che l’amministrazione </w:t>
      </w:r>
      <w:r w:rsidR="008D37C4">
        <w:t xml:space="preserve">stessa </w:t>
      </w:r>
      <w:r>
        <w:t>concede a favore di un soggetto economico, che potrà quindi</w:t>
      </w:r>
      <w:r w:rsidR="0009263A">
        <w:t>, solo grazie alla specifica autorizzazione,</w:t>
      </w:r>
      <w:r>
        <w:t xml:space="preserve"> installare un mezzo pubblicitario, </w:t>
      </w:r>
      <w:r w:rsidR="00AE109B">
        <w:t xml:space="preserve">che sia visibile da luogo pubblico, aperto al pubblico o da tale luogo percepibile. Con questo percorso logico, si potrebbe sostenere </w:t>
      </w:r>
      <w:r w:rsidR="0009263A">
        <w:t xml:space="preserve">quindi la natura patrimoniale anche per la componente pubblicitaria. Vero è che </w:t>
      </w:r>
      <w:r w:rsidR="00D741AA">
        <w:t>risultano</w:t>
      </w:r>
      <w:r w:rsidR="0009263A">
        <w:t xml:space="preserve"> attratti nel presupposto anche mezzi e modalità di diffusione pubblicitaria per i quali non è richiesta alcuna autorizzazione, così che per queste tipologie, diventa difficile mantenere in piedi il ragionamento che porterebbe a considerare il prelievo extra tributario.</w:t>
      </w:r>
    </w:p>
    <w:p w14:paraId="6E5AD38A" w14:textId="62AE83A9" w:rsidR="0009263A" w:rsidRDefault="0009263A" w:rsidP="00B37073">
      <w:pPr>
        <w:jc w:val="both"/>
      </w:pPr>
      <w:r>
        <w:t>Come risolvere quindi</w:t>
      </w:r>
      <w:r w:rsidR="00D741AA">
        <w:t xml:space="preserve"> questa</w:t>
      </w:r>
      <w:r>
        <w:t xml:space="preserve"> incertezza che condiziona non poco l’attività di gestione dei soggetti attivi dell’entrata? Valutare la componente pubblicitaria come tributaria, comport</w:t>
      </w:r>
      <w:r w:rsidR="006D0F42">
        <w:t>erebbe</w:t>
      </w:r>
      <w:r>
        <w:t xml:space="preserve"> uno stravolgimento d</w:t>
      </w:r>
      <w:r w:rsidR="006D0F42">
        <w:t>ell’attività di accertamento, con conseguente necessità di riscrivere i provvedimenti, riconsiderare l’impianto sanzionatorio e le indicazioni circa l’autorità competente a cui rivolgere il ricorso.</w:t>
      </w:r>
      <w:r>
        <w:t xml:space="preserve"> </w:t>
      </w:r>
      <w:r w:rsidR="00F67019">
        <w:t>Senza contare il pericolo di vedersi annullare dei provvedimenti perché mal costruiti.</w:t>
      </w:r>
    </w:p>
    <w:p w14:paraId="711BFD62" w14:textId="61BD862F" w:rsidR="000B5A13" w:rsidRDefault="00C319F7" w:rsidP="004251FD">
      <w:pPr>
        <w:jc w:val="both"/>
      </w:pPr>
      <w:r>
        <w:lastRenderedPageBreak/>
        <w:t>Dunque, s</w:t>
      </w:r>
      <w:r w:rsidR="006D0F42">
        <w:t xml:space="preserve">enza uno specifico </w:t>
      </w:r>
      <w:r w:rsidR="006D0F42" w:rsidRPr="006D0F42">
        <w:t>intervento</w:t>
      </w:r>
      <w:r w:rsidR="006D0F42">
        <w:t xml:space="preserve"> </w:t>
      </w:r>
      <w:r w:rsidR="006D0F42" w:rsidRPr="006D0F42">
        <w:t xml:space="preserve">per via legislativa </w:t>
      </w:r>
      <w:r>
        <w:t>sarebbe imprudente</w:t>
      </w:r>
      <w:r w:rsidR="006D0F42">
        <w:t xml:space="preserve"> adottare </w:t>
      </w:r>
      <w:r w:rsidR="00A86B90">
        <w:t>nuove</w:t>
      </w:r>
      <w:r w:rsidR="006D0F42">
        <w:t xml:space="preserve"> interpretazioni</w:t>
      </w:r>
      <w:r w:rsidR="00A86B90">
        <w:t xml:space="preserve">, </w:t>
      </w:r>
      <w:r w:rsidR="006D0F42">
        <w:t>che</w:t>
      </w:r>
      <w:r w:rsidR="00A86B90">
        <w:t xml:space="preserve"> sortirebbero solo l’effetto di aggiungere ulteriore </w:t>
      </w:r>
      <w:r w:rsidR="001633A7">
        <w:t xml:space="preserve">confusione ad una </w:t>
      </w:r>
      <w:r w:rsidR="00A86B90">
        <w:t>disciplina</w:t>
      </w:r>
      <w:r w:rsidR="001633A7">
        <w:t xml:space="preserve"> che già </w:t>
      </w:r>
      <w:r>
        <w:t xml:space="preserve">presenta </w:t>
      </w:r>
      <w:r w:rsidR="001633A7">
        <w:t>molt</w:t>
      </w:r>
      <w:r w:rsidR="00F67019">
        <w:t xml:space="preserve">i interrogativi </w:t>
      </w:r>
      <w:r w:rsidR="00A86B90">
        <w:t xml:space="preserve">aperti </w:t>
      </w:r>
      <w:r w:rsidR="00F67019">
        <w:t xml:space="preserve">e </w:t>
      </w:r>
      <w:r w:rsidR="001633A7">
        <w:t xml:space="preserve">differenze </w:t>
      </w:r>
      <w:r w:rsidR="00A86B90">
        <w:t xml:space="preserve">di </w:t>
      </w:r>
      <w:r w:rsidR="00A86B90" w:rsidRPr="006D0F42">
        <w:t>comportamento</w:t>
      </w:r>
      <w:r w:rsidR="006D0F42" w:rsidRPr="006D0F42">
        <w:t xml:space="preserve"> </w:t>
      </w:r>
      <w:r>
        <w:t xml:space="preserve">anche </w:t>
      </w:r>
      <w:r w:rsidR="001633A7">
        <w:t xml:space="preserve">tra Enti Locali </w:t>
      </w:r>
      <w:r w:rsidR="00A86B90">
        <w:t>appartenenti allo stesso territorio.</w:t>
      </w:r>
      <w:r w:rsidR="001633A7">
        <w:t xml:space="preserve"> </w:t>
      </w:r>
    </w:p>
    <w:p w14:paraId="05381EDF" w14:textId="69386E5B" w:rsidR="004251FD" w:rsidRDefault="00A86B90" w:rsidP="004251FD">
      <w:pPr>
        <w:jc w:val="both"/>
      </w:pPr>
      <w:r>
        <w:t xml:space="preserve">Meglio </w:t>
      </w:r>
      <w:r w:rsidR="00C319F7">
        <w:t>pertanto</w:t>
      </w:r>
      <w:r>
        <w:t xml:space="preserve"> mantenere una linea più prudente, considerando entrambe le componenti</w:t>
      </w:r>
      <w:r w:rsidR="00C319F7">
        <w:t xml:space="preserve"> del Canone Unico </w:t>
      </w:r>
      <w:r>
        <w:t xml:space="preserve"> </w:t>
      </w:r>
      <w:r w:rsidR="00D741AA">
        <w:t xml:space="preserve">ancora </w:t>
      </w:r>
      <w:r>
        <w:t>come patrimoniali ed eventualmente richiamare negli Avvisi di Accertamento</w:t>
      </w:r>
      <w:r w:rsidR="00C319F7">
        <w:t>,</w:t>
      </w:r>
      <w:r>
        <w:t xml:space="preserve"> e nei conseguenti provvedimenti di riscossione, le diverse autorità a cui </w:t>
      </w:r>
      <w:r w:rsidR="00C319F7">
        <w:t xml:space="preserve">il contribuente riterrà corretto </w:t>
      </w:r>
      <w:r>
        <w:t xml:space="preserve">presentare </w:t>
      </w:r>
      <w:r w:rsidR="00C319F7">
        <w:t xml:space="preserve">il proprio </w:t>
      </w:r>
      <w:r>
        <w:t>ricorso, lasciando così l’iniziativa al</w:t>
      </w:r>
      <w:r w:rsidR="00C319F7">
        <w:t xml:space="preserve">la controparte </w:t>
      </w:r>
      <w:r>
        <w:t xml:space="preserve">che valuterà </w:t>
      </w:r>
      <w:r w:rsidR="00C319F7">
        <w:t>a quale organo di giustizia</w:t>
      </w:r>
      <w:r>
        <w:t xml:space="preserve"> </w:t>
      </w:r>
      <w:r w:rsidR="00C319F7">
        <w:t>rivolgersi</w:t>
      </w:r>
      <w:r w:rsidR="00D741AA">
        <w:t xml:space="preserve"> e adattare la propria difesa </w:t>
      </w:r>
      <w:r w:rsidR="003040C8">
        <w:t>a seconda dell’ambito. Un po' come successo nel contenzioso che ha visto una questione CUP andare davanti alla giustizia tributaria di Milano.</w:t>
      </w:r>
    </w:p>
    <w:sectPr w:rsidR="004251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50"/>
    <w:rsid w:val="0009263A"/>
    <w:rsid w:val="000B5A13"/>
    <w:rsid w:val="001633A7"/>
    <w:rsid w:val="002B57D5"/>
    <w:rsid w:val="003040C8"/>
    <w:rsid w:val="004251FD"/>
    <w:rsid w:val="0047758B"/>
    <w:rsid w:val="00517F53"/>
    <w:rsid w:val="00572497"/>
    <w:rsid w:val="00605CD0"/>
    <w:rsid w:val="006D0F42"/>
    <w:rsid w:val="00725150"/>
    <w:rsid w:val="008D37C4"/>
    <w:rsid w:val="009F022D"/>
    <w:rsid w:val="00A86B90"/>
    <w:rsid w:val="00AA1DF7"/>
    <w:rsid w:val="00AE109B"/>
    <w:rsid w:val="00B37073"/>
    <w:rsid w:val="00C319F7"/>
    <w:rsid w:val="00D741AA"/>
    <w:rsid w:val="00DF7890"/>
    <w:rsid w:val="00F6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C90F"/>
  <w15:chartTrackingRefBased/>
  <w15:docId w15:val="{0FCF12B0-767A-419C-8BE0-D78F7C0E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12</cp:revision>
  <dcterms:created xsi:type="dcterms:W3CDTF">2023-02-15T08:15:00Z</dcterms:created>
  <dcterms:modified xsi:type="dcterms:W3CDTF">2023-02-19T15:52:00Z</dcterms:modified>
</cp:coreProperties>
</file>