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98A8" w14:textId="4B104191" w:rsidR="006672EA" w:rsidRPr="00BD7C47" w:rsidRDefault="00BD7C47" w:rsidP="00BD7C47">
      <w:pPr>
        <w:jc w:val="center"/>
        <w:rPr>
          <w:b/>
          <w:bCs/>
        </w:rPr>
      </w:pPr>
      <w:r w:rsidRPr="00BD7C47">
        <w:rPr>
          <w:b/>
          <w:bCs/>
        </w:rPr>
        <w:t xml:space="preserve">Sentenza di Corte di Cassazione </w:t>
      </w:r>
      <w:r w:rsidRPr="00BD7C47">
        <w:rPr>
          <w:b/>
          <w:bCs/>
        </w:rPr>
        <w:t>Civile Ord. Sez. 1 Num. 17184 Anno 2025</w:t>
      </w:r>
    </w:p>
    <w:p w14:paraId="0A0348A0" w14:textId="741E43FE" w:rsidR="00BD7C47" w:rsidRPr="00BD7C47" w:rsidRDefault="00BD7C47" w:rsidP="00BD7C47">
      <w:pPr>
        <w:jc w:val="center"/>
        <w:rPr>
          <w:b/>
          <w:bCs/>
        </w:rPr>
      </w:pPr>
      <w:r w:rsidRPr="00BD7C47">
        <w:rPr>
          <w:b/>
          <w:bCs/>
        </w:rPr>
        <w:t xml:space="preserve">Il prelievo per le occupazioni di suolo pubblico </w:t>
      </w:r>
      <w:r w:rsidRPr="00BD7C47">
        <w:rPr>
          <w:b/>
          <w:bCs/>
        </w:rPr>
        <w:t>non può essere oggetto di trattativa privata</w:t>
      </w:r>
    </w:p>
    <w:p w14:paraId="1CD9B9F0" w14:textId="77777777" w:rsidR="00BD7C47" w:rsidRDefault="00BD7C47" w:rsidP="00BD7C47">
      <w:pPr>
        <w:jc w:val="both"/>
      </w:pPr>
      <w:r>
        <w:t>Nella sentenza n. 17184 della sez. 1 della Corte di Cassazione, si ribadisce un principio fondamentale che caratterizza le entrate di natura fiscale, la cui disponibilità non può essere oggetto di trattativa privata tra l’ente beneficiario e il soggetto passivo.</w:t>
      </w:r>
    </w:p>
    <w:p w14:paraId="5F65BEC3" w14:textId="01EED23A" w:rsidR="00BD7C47" w:rsidRPr="00BD7C47" w:rsidRDefault="00BD7C47" w:rsidP="00BD7C47">
      <w:pPr>
        <w:jc w:val="both"/>
        <w:rPr>
          <w:i/>
          <w:iCs/>
        </w:rPr>
      </w:pPr>
      <w:r>
        <w:t>Nella sentenza si legge: “</w:t>
      </w:r>
      <w:r w:rsidRPr="00BD7C47">
        <w:rPr>
          <w:i/>
          <w:iCs/>
        </w:rPr>
        <w:t xml:space="preserve">La giurisprudenza di questa Corte (Cass., n.3710/2019, 18769/2017 e n. 9240/2022), ha affermato, infatti, che il diritto al canone trova la sua fonte nel provvedimento concessorio, ma non può essere considerato oggetto di trattativa privata: l'obbligazione di corrispondere il canone nasce (non con l'accertamento, ma) con l'occupazione del demanio pubblico, con o senza titolo; ed il diritto al canone e la sua determinazione non possono essere oggetto di rinuncia. </w:t>
      </w:r>
    </w:p>
    <w:p w14:paraId="36A7FC22" w14:textId="7E641C14" w:rsidR="00BD7C47" w:rsidRDefault="00BD7C47" w:rsidP="00BD7C47">
      <w:pPr>
        <w:jc w:val="both"/>
        <w:rPr>
          <w:i/>
          <w:iCs/>
        </w:rPr>
      </w:pPr>
      <w:r w:rsidRPr="00BD7C47">
        <w:rPr>
          <w:i/>
          <w:iCs/>
        </w:rPr>
        <w:t>Invero, una pur deplorevole inerzia del Comune nell’esazione del canone non rileva se non protratta oltre i termini di prescrizione del credito. Il</w:t>
      </w:r>
      <w:r w:rsidRPr="00BD7C47">
        <w:rPr>
          <w:i/>
          <w:iCs/>
        </w:rPr>
        <w:t xml:space="preserve"> </w:t>
      </w:r>
      <w:r w:rsidRPr="00BD7C47">
        <w:rPr>
          <w:i/>
          <w:iCs/>
        </w:rPr>
        <w:t>diritto al cosap non può essere considerato oggetto di trattativa privata (Cass., n. 18171/2022, n. 29455/2018; n. 18679/2017) e comunque non è ipotizzabile una rinunzia al credito per facta concludentia, essendo in tal caso richiesta per la pubblica amministrazione la forma scritta (Cass., n. 11673/2017).</w:t>
      </w:r>
      <w:r>
        <w:rPr>
          <w:i/>
          <w:iCs/>
        </w:rPr>
        <w:t>”</w:t>
      </w:r>
    </w:p>
    <w:p w14:paraId="57DDBA0C" w14:textId="6F26CC31" w:rsidR="00BD7C47" w:rsidRPr="00BD7C47" w:rsidRDefault="00BD7C47" w:rsidP="00BD7C47">
      <w:pPr>
        <w:jc w:val="both"/>
      </w:pPr>
      <w:r>
        <w:t>Il pensiero va alle richieste di esenzione dal CUP invocate da alcune aziende che erogano i servizi pubblici forti di convenzioni sottoscritte con i singoli enti o con le ATO territoriali di riferimento. Ipotesi di esenzioni non previste dalla Legge ne dai regolamenti Comunali.</w:t>
      </w:r>
    </w:p>
    <w:sectPr w:rsidR="00BD7C47" w:rsidRPr="00BD7C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BD"/>
    <w:rsid w:val="00366798"/>
    <w:rsid w:val="006672EA"/>
    <w:rsid w:val="007C2C6C"/>
    <w:rsid w:val="009226BD"/>
    <w:rsid w:val="00BD7C47"/>
    <w:rsid w:val="00F3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29DF"/>
  <w15:chartTrackingRefBased/>
  <w15:docId w15:val="{570DB71F-61A7-47D6-9360-E679443E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2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2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2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2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2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26B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26B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26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26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26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26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26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26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26B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2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26B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2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2</cp:revision>
  <dcterms:created xsi:type="dcterms:W3CDTF">2025-08-07T10:57:00Z</dcterms:created>
  <dcterms:modified xsi:type="dcterms:W3CDTF">2025-08-07T11:05:00Z</dcterms:modified>
</cp:coreProperties>
</file>