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A8F7F" w14:textId="26AB4EB6" w:rsidR="00B872BA" w:rsidRPr="00AF6C9A" w:rsidRDefault="00AF6C9A" w:rsidP="00B872BA">
      <w:pPr>
        <w:jc w:val="both"/>
      </w:pPr>
      <w:r w:rsidRPr="00AF6C9A">
        <w:t xml:space="preserve">Titolo: </w:t>
      </w:r>
      <w:r w:rsidR="00192FF1">
        <w:t>C</w:t>
      </w:r>
      <w:r w:rsidRPr="00AF6C9A">
        <w:t>on il Decreto</w:t>
      </w:r>
      <w:r w:rsidR="00B74F30">
        <w:t xml:space="preserve"> </w:t>
      </w:r>
      <w:r w:rsidRPr="00AF6C9A">
        <w:t xml:space="preserve">Legge </w:t>
      </w:r>
      <w:r w:rsidR="00B872BA" w:rsidRPr="00AF6C9A">
        <w:t>n. 19</w:t>
      </w:r>
      <w:r w:rsidR="00192FF1">
        <w:t>/2026</w:t>
      </w:r>
      <w:r w:rsidRPr="00AF6C9A">
        <w:t xml:space="preserve"> cambiano le procedure per l’installazione dei mezzi pubblicitari</w:t>
      </w:r>
    </w:p>
    <w:p w14:paraId="5BEB7FF0" w14:textId="77777777" w:rsidR="00AF6C9A" w:rsidRPr="00AF6C9A" w:rsidRDefault="00AF6C9A" w:rsidP="00B872BA">
      <w:pPr>
        <w:jc w:val="both"/>
      </w:pPr>
      <w:r w:rsidRPr="00AF6C9A">
        <w:t>Di Alessandro Merciari</w:t>
      </w:r>
    </w:p>
    <w:p w14:paraId="6273A01B" w14:textId="0E1F12DD" w:rsidR="00B872BA" w:rsidRDefault="00AF6C9A" w:rsidP="00B872BA">
      <w:pPr>
        <w:jc w:val="both"/>
      </w:pPr>
      <w:r w:rsidRPr="00AF6C9A">
        <w:t>È stato pubblicato in Gazzetta ufficiale il decreto Legge 19 del 19 febbraio 2026 contenete u</w:t>
      </w:r>
      <w:r w:rsidR="00B872BA" w:rsidRPr="00AF6C9A">
        <w:t>lteriori disposizioni urgenti per l'attuazione del Piano nazionale di ripresa e resilienza (PNRR) e in materia di politiche di coesione</w:t>
      </w:r>
      <w:r>
        <w:t>.</w:t>
      </w:r>
    </w:p>
    <w:p w14:paraId="0D8E5262" w14:textId="6FFA0544" w:rsidR="00B872BA" w:rsidRDefault="00192FF1" w:rsidP="00B872BA">
      <w:pPr>
        <w:jc w:val="both"/>
      </w:pPr>
      <w:r>
        <w:t>Per quanto riguarda l’ambito delle procedure amministrative degli Enti Locali, d</w:t>
      </w:r>
      <w:r>
        <w:t xml:space="preserve">i </w:t>
      </w:r>
      <w:r>
        <w:t>sicuro</w:t>
      </w:r>
      <w:r>
        <w:t xml:space="preserve"> interesse </w:t>
      </w:r>
      <w:r w:rsidR="00AF6C9A">
        <w:t xml:space="preserve"> l’articolo 5</w:t>
      </w:r>
      <w:r w:rsidR="00553E55">
        <w:t xml:space="preserve"> dove al comma 1 vengono apportate delle modifiche alla Legge 241/2000 relativamente ai termini entro i quali le pubbliche amministrazioni devono rendere le proprie determine e concludere i procedimenti, </w:t>
      </w:r>
      <w:r>
        <w:t xml:space="preserve">e </w:t>
      </w:r>
      <w:r w:rsidR="00553E55">
        <w:t>al successivo comma 2, viene introdotta la SCIA quale strumento per</w:t>
      </w:r>
      <w:r w:rsidR="00FC4BF8">
        <w:t xml:space="preserve"> regolarizzare</w:t>
      </w:r>
      <w:r w:rsidR="00553E55">
        <w:t xml:space="preserve"> l’installazione di mezzi pubblicitari</w:t>
      </w:r>
      <w:r>
        <w:t xml:space="preserve"> lungo le strade o in vista di esse</w:t>
      </w:r>
      <w:r w:rsidR="00553E55">
        <w:t>.</w:t>
      </w:r>
    </w:p>
    <w:p w14:paraId="24F601BE" w14:textId="3D516D9D" w:rsidR="00060149" w:rsidRPr="00553E55" w:rsidRDefault="00553E55" w:rsidP="00B872BA">
      <w:pPr>
        <w:jc w:val="both"/>
        <w:rPr>
          <w:i/>
          <w:iCs/>
        </w:rPr>
      </w:pPr>
      <w:r>
        <w:t xml:space="preserve">Il </w:t>
      </w:r>
      <w:r w:rsidR="00192FF1">
        <w:t>comma prevede</w:t>
      </w:r>
      <w:r>
        <w:t>:</w:t>
      </w:r>
      <w:r w:rsidR="00192FF1">
        <w:t xml:space="preserve"> </w:t>
      </w:r>
      <w:r w:rsidRPr="00553E55">
        <w:rPr>
          <w:i/>
          <w:iCs/>
        </w:rPr>
        <w:t>“</w:t>
      </w:r>
      <w:r w:rsidR="00B872BA" w:rsidRPr="00553E55">
        <w:rPr>
          <w:i/>
          <w:iCs/>
        </w:rPr>
        <w:t xml:space="preserve">2. La collocazione dei mezzi pubblicitari </w:t>
      </w:r>
      <w:bookmarkStart w:id="0" w:name="_Hlk223072863"/>
      <w:r w:rsidR="00B872BA" w:rsidRPr="00553E55">
        <w:rPr>
          <w:i/>
          <w:iCs/>
        </w:rPr>
        <w:t>di cui all'articolo 23 del codice della strada</w:t>
      </w:r>
      <w:bookmarkEnd w:id="0"/>
      <w:r w:rsidR="00B872BA" w:rsidRPr="00553E55">
        <w:rPr>
          <w:i/>
          <w:iCs/>
        </w:rPr>
        <w:t xml:space="preserve">, di cui al decreto legislativo 30 aprile 1992, n. 285, lungo le strade, anche su suolo privato, o in vista di esse, ad eccezione delle isole di traffico delle intersezioni canalizzate, ove è vietata la posa di qualunque installazione diversa dalla prescritta segnaletica, è subordinata alla </w:t>
      </w:r>
      <w:bookmarkStart w:id="1" w:name="_Hlk223072945"/>
      <w:r w:rsidR="00B872BA" w:rsidRPr="00553E55">
        <w:rPr>
          <w:i/>
          <w:iCs/>
        </w:rPr>
        <w:t>presentazione della segnalazione certificata di inizio attività (SCIA), di cui agli articoli 19 e 19-bis della legge 7 agosto 1990, n. 241, allo sportello unico per le attività produttive (SUAP) del comune ove è svolta l'attività</w:t>
      </w:r>
      <w:bookmarkEnd w:id="1"/>
      <w:r w:rsidR="00B872BA" w:rsidRPr="00553E55">
        <w:rPr>
          <w:i/>
          <w:iCs/>
        </w:rPr>
        <w:t xml:space="preserve">, fermo restando il rispetto dei requisiti di cui all'articolo 23, comma 1, del predetto codice di cui al decreto legislativo n.285 del 1992, nonché dei requisiti e criteri previsti dal decreto del Presidente della Repubblica 16 dicembre 1992, n. 495, e dai regolamenti comunali o dell'ente proprietario della strada. La SCIA di cui al primo periodo è </w:t>
      </w:r>
      <w:bookmarkStart w:id="2" w:name="_Hlk223072991"/>
      <w:r w:rsidR="00B872BA" w:rsidRPr="00553E55">
        <w:rPr>
          <w:i/>
          <w:iCs/>
        </w:rPr>
        <w:t>corredata da un'asseverazione del tecnico abilitato</w:t>
      </w:r>
      <w:bookmarkEnd w:id="2"/>
      <w:r w:rsidR="00B872BA" w:rsidRPr="00553E55">
        <w:rPr>
          <w:i/>
          <w:iCs/>
        </w:rPr>
        <w:t>. Nel caso in cui l'ente proprietario della strada non sia il comune, il SUAP, ai sensi del suddetto articolo 19-bis della legge n.241 del 1990, la trasmette immediatamente all'ente proprietario della strada al fine di consentire, per quanto di competenza, il controllo sulla sussistenza dei requisiti e dei presupposti per lo svolgimento dell'attività e la presentazione, almeno cinque giorni prima della scadenza del termine di sessanta giorni dal ricevimento della SCIA da parte del SUAP, di eventuali proposte motivate per l'adozione dei provvedimenti ivi previsti. Sono fatte salve le prescrizioni specifiche per le aree sottoposte a vincolo storico-artistico o paesaggistico, per le quali resta necessaria la preventiva autorizzazione. In caso di violazione delle disposizioni del presente articolo, si applicano le sanzioni previste dall'articolo 19, commi 3 e 4, della legge n. 241 del 1990.</w:t>
      </w:r>
      <w:r w:rsidRPr="00553E55">
        <w:rPr>
          <w:i/>
          <w:iCs/>
        </w:rPr>
        <w:t>”</w:t>
      </w:r>
    </w:p>
    <w:p w14:paraId="764B8022" w14:textId="00B7B62E" w:rsidR="00E01D74" w:rsidRDefault="00553E55" w:rsidP="00B872BA">
      <w:pPr>
        <w:jc w:val="both"/>
      </w:pPr>
      <w:r>
        <w:t xml:space="preserve">Una novità importante che </w:t>
      </w:r>
      <w:r w:rsidR="00192FF1">
        <w:t>comporterà</w:t>
      </w:r>
      <w:r>
        <w:t xml:space="preserve"> fin da subito </w:t>
      </w:r>
      <w:r w:rsidR="00192FF1">
        <w:t>cambiamenti</w:t>
      </w:r>
      <w:r>
        <w:t xml:space="preserve"> sulle procedure amministrative di rilascio autorizzazioni </w:t>
      </w:r>
      <w:r w:rsidR="00F22467">
        <w:t>con conseguenze dirette</w:t>
      </w:r>
      <w:r w:rsidR="00192FF1">
        <w:t xml:space="preserve"> anche </w:t>
      </w:r>
      <w:r w:rsidR="00F22467">
        <w:t>per la</w:t>
      </w:r>
      <w:r>
        <w:t xml:space="preserve"> gestione del Canone Unico. Un cambiamento normativo che dovrà</w:t>
      </w:r>
      <w:r w:rsidR="00F22467">
        <w:t xml:space="preserve"> necessariamente</w:t>
      </w:r>
      <w:r>
        <w:t xml:space="preserve"> trovare spazio all’interno dei Regolamenti Comunali e nei delicati processi autorizzatori che vedono </w:t>
      </w:r>
      <w:r w:rsidR="00192FF1">
        <w:t>abitualmente</w:t>
      </w:r>
      <w:r w:rsidR="00FC4BF8">
        <w:t xml:space="preserve"> </w:t>
      </w:r>
      <w:r>
        <w:t xml:space="preserve">coinvolti diversi settori degli enti locali che dovranno, entro tempistiche preordinate, </w:t>
      </w:r>
      <w:r w:rsidR="00FC4BF8">
        <w:t xml:space="preserve">coordinarsi e </w:t>
      </w:r>
      <w:r>
        <w:t>definire tutti i passaggi e pareri, al fine di completare l’iter</w:t>
      </w:r>
      <w:r w:rsidR="00FC4BF8">
        <w:t xml:space="preserve"> entro tempi certi</w:t>
      </w:r>
      <w:r w:rsidR="00192FF1">
        <w:t xml:space="preserve"> dettati dalla normativa</w:t>
      </w:r>
      <w:r>
        <w:t>.</w:t>
      </w:r>
      <w:r w:rsidR="00F22467">
        <w:t xml:space="preserve"> Il pericolo da scongiurare si chiama “silenzio inadempimento”.</w:t>
      </w:r>
    </w:p>
    <w:p w14:paraId="77A7D812" w14:textId="29DA83EB" w:rsidR="00FC4BF8" w:rsidRDefault="00FC4BF8" w:rsidP="00FC4BF8">
      <w:pPr>
        <w:jc w:val="both"/>
      </w:pPr>
      <w:r>
        <w:t xml:space="preserve">È bene ricordare </w:t>
      </w:r>
      <w:r w:rsidR="00192FF1">
        <w:t>come</w:t>
      </w:r>
      <w:r w:rsidRPr="00FC4BF8">
        <w:t xml:space="preserve"> la procedura </w:t>
      </w:r>
      <w:r w:rsidR="00192FF1">
        <w:t xml:space="preserve">per </w:t>
      </w:r>
      <w:r w:rsidRPr="00FC4BF8">
        <w:t xml:space="preserve">l'autorizzazione </w:t>
      </w:r>
      <w:r w:rsidR="00192FF1">
        <w:t>de</w:t>
      </w:r>
      <w:r w:rsidR="00207EF7">
        <w:t xml:space="preserve">i mezzi pubblicitari </w:t>
      </w:r>
      <w:r w:rsidRPr="00FC4BF8">
        <w:t>deriva</w:t>
      </w:r>
      <w:r w:rsidR="00FD530D">
        <w:t xml:space="preserve"> </w:t>
      </w:r>
      <w:r w:rsidR="00192FF1">
        <w:t>principalmente</w:t>
      </w:r>
      <w:r w:rsidR="00FD530D">
        <w:t xml:space="preserve"> </w:t>
      </w:r>
      <w:r w:rsidRPr="00FC4BF8">
        <w:t>dal disposto del Codice della Strada, che stabili</w:t>
      </w:r>
      <w:r w:rsidR="00FD530D">
        <w:t>va (e stabilisce ancora)</w:t>
      </w:r>
      <w:r w:rsidRPr="00FC4BF8">
        <w:t xml:space="preserve"> all'articolo 23, che la collocazione di cartelli e di altri mezzi pubblicitari, comprese le insegne d'esercizio, lungo le strade o in vista di esse è soggetta ad autorizzazione da parte dell'ente proprietario della strada. È quindi onere del soggetto interessato al rilascio, presentare la relativa domanda presso il competente ufficio dell'ente, allegando, oltre alla documentazione amministrativa, una serie di dichiarazioni circa le caratteristiche dell'impianto. Questo modello si</w:t>
      </w:r>
      <w:r w:rsidR="00FD530D">
        <w:t xml:space="preserve"> è sempre</w:t>
      </w:r>
      <w:r w:rsidRPr="00FC4BF8">
        <w:t xml:space="preserve"> fonda</w:t>
      </w:r>
      <w:r w:rsidR="00FD530D">
        <w:t>to</w:t>
      </w:r>
      <w:r w:rsidRPr="00FC4BF8">
        <w:t xml:space="preserve"> su un intervento ex ante dell'amministrazione in forza del quale, a seguito del ricevimento dell'istanza del privato, </w:t>
      </w:r>
      <w:r w:rsidR="00FD530D">
        <w:t>veniva</w:t>
      </w:r>
      <w:r w:rsidRPr="00FC4BF8">
        <w:t xml:space="preserve"> istruito un procedimento volto alla verifica d'ufficio dell'esistenza dei presupposti di fatto e di diritto per l'accoglimento della richiesta, all'esito del quale l'autorizzazione </w:t>
      </w:r>
      <w:r w:rsidR="00FD530D">
        <w:t>veniva</w:t>
      </w:r>
      <w:r w:rsidRPr="00FC4BF8">
        <w:t xml:space="preserve"> rilasciata o </w:t>
      </w:r>
      <w:r w:rsidR="00FD530D">
        <w:t>veniva</w:t>
      </w:r>
      <w:r w:rsidRPr="00FC4BF8">
        <w:t xml:space="preserve"> negata</w:t>
      </w:r>
      <w:r w:rsidR="0029264C">
        <w:t xml:space="preserve"> con provvedimento motivato</w:t>
      </w:r>
      <w:r w:rsidR="00FD530D">
        <w:t>.</w:t>
      </w:r>
    </w:p>
    <w:p w14:paraId="5C775D98" w14:textId="72DD2403" w:rsidR="00553E55" w:rsidRDefault="00FD530D" w:rsidP="00F03FCE">
      <w:pPr>
        <w:tabs>
          <w:tab w:val="num" w:pos="720"/>
        </w:tabs>
        <w:jc w:val="both"/>
      </w:pPr>
      <w:r>
        <w:t xml:space="preserve">Ora, con l’introduzione dell’articolo 5 del DL 19/2026, l’iter </w:t>
      </w:r>
      <w:r w:rsidR="0029264C">
        <w:t xml:space="preserve">si ribalta </w:t>
      </w:r>
      <w:r>
        <w:t xml:space="preserve">e potremo assistere ad un procedimento </w:t>
      </w:r>
      <w:r w:rsidR="00207EF7">
        <w:t>inverso</w:t>
      </w:r>
      <w:r>
        <w:t xml:space="preserve"> che vedrà per esempio, e</w:t>
      </w:r>
      <w:r w:rsidR="00F03FCE">
        <w:t xml:space="preserve">ntro 60 giorni dalla presentazione della SCIA al SUAP, </w:t>
      </w:r>
      <w:r>
        <w:t xml:space="preserve">l’emissione da parte </w:t>
      </w:r>
      <w:r>
        <w:lastRenderedPageBreak/>
        <w:t xml:space="preserve">del Comune di </w:t>
      </w:r>
      <w:r w:rsidR="00553E55" w:rsidRPr="00553E55">
        <w:t>un provvedimento motivato di divieto di prosecuzione dell'attività e di rimozione degli eventuali effetti dannosi, intimando il ripristino dello stato dei luoghi</w:t>
      </w:r>
      <w:r w:rsidR="0081757B">
        <w:t>. O</w:t>
      </w:r>
      <w:r w:rsidR="00F03FCE">
        <w:t xml:space="preserve">ppure </w:t>
      </w:r>
      <w:r w:rsidR="0081757B">
        <w:t xml:space="preserve">in </w:t>
      </w:r>
      <w:r>
        <w:t>altri</w:t>
      </w:r>
      <w:r w:rsidR="0081757B">
        <w:t xml:space="preserve"> casi </w:t>
      </w:r>
      <w:r w:rsidR="00F71F49">
        <w:t xml:space="preserve">l’Ente </w:t>
      </w:r>
      <w:r w:rsidR="00F03FCE">
        <w:t xml:space="preserve">potrà avanzare </w:t>
      </w:r>
      <w:r w:rsidR="00F03FCE" w:rsidRPr="00F03FCE">
        <w:t>una r</w:t>
      </w:r>
      <w:r w:rsidR="00553E55" w:rsidRPr="00553E55">
        <w:t>ichiesta di conformazione</w:t>
      </w:r>
      <w:r w:rsidR="00F03FCE">
        <w:rPr>
          <w:b/>
          <w:bCs/>
        </w:rPr>
        <w:t xml:space="preserve"> </w:t>
      </w:r>
      <w:r>
        <w:t>qualora</w:t>
      </w:r>
      <w:r w:rsidR="00553E55" w:rsidRPr="00553E55">
        <w:t xml:space="preserve"> il vizio </w:t>
      </w:r>
      <w:r>
        <w:t xml:space="preserve">rilevato </w:t>
      </w:r>
      <w:r w:rsidR="0029264C">
        <w:t>risulti</w:t>
      </w:r>
      <w:r w:rsidR="00553E55" w:rsidRPr="00553E55">
        <w:t xml:space="preserve"> sanabile, </w:t>
      </w:r>
      <w:r w:rsidR="00F03FCE">
        <w:t>invitando</w:t>
      </w:r>
      <w:r w:rsidR="00553E55" w:rsidRPr="00553E55">
        <w:t xml:space="preserve"> il titolare a conformare la SCIA alla normativa vigente entro un termine prestabilito.</w:t>
      </w:r>
    </w:p>
    <w:p w14:paraId="0B4D5592" w14:textId="460DC662" w:rsidR="00FD7968" w:rsidRDefault="00F03FCE" w:rsidP="00F03FCE">
      <w:pPr>
        <w:tabs>
          <w:tab w:val="num" w:pos="720"/>
        </w:tabs>
        <w:jc w:val="both"/>
      </w:pPr>
      <w:r>
        <w:t xml:space="preserve">Diventa </w:t>
      </w:r>
      <w:r w:rsidR="00FD530D">
        <w:t>a questo punto</w:t>
      </w:r>
      <w:r>
        <w:t xml:space="preserve"> fondamentale riorganizzare i procedimenti </w:t>
      </w:r>
      <w:r w:rsidR="0081757B">
        <w:t xml:space="preserve">per ottimizzare i processi e scongiurare il pericolo </w:t>
      </w:r>
      <w:r w:rsidR="0029264C">
        <w:t>rappresentato dalla perdita del</w:t>
      </w:r>
      <w:r>
        <w:t xml:space="preserve"> controllo del proprio territorio in tema di installazione mezzi pubblicitari</w:t>
      </w:r>
      <w:r w:rsidR="0081757B">
        <w:t xml:space="preserve">. </w:t>
      </w:r>
      <w:r w:rsidR="0029264C">
        <w:t>D</w:t>
      </w:r>
      <w:r w:rsidR="00FD7968">
        <w:t>iventa importante</w:t>
      </w:r>
      <w:r w:rsidR="0029264C">
        <w:t xml:space="preserve"> altresì</w:t>
      </w:r>
      <w:r w:rsidR="00FD7968">
        <w:t xml:space="preserve"> aprire canali informativi tra uffici </w:t>
      </w:r>
      <w:r w:rsidR="0029264C">
        <w:t>di diversi</w:t>
      </w:r>
      <w:r w:rsidR="00FD7968">
        <w:t xml:space="preserve"> enti territoriali allorquando le SCIA </w:t>
      </w:r>
      <w:r w:rsidR="0029264C">
        <w:t xml:space="preserve">presentate </w:t>
      </w:r>
      <w:r w:rsidR="00FD7968">
        <w:t xml:space="preserve">si riferiscono a installazione eseguite lungo le strade appartenenti a enti </w:t>
      </w:r>
      <w:r w:rsidR="0029264C">
        <w:t xml:space="preserve">diversi </w:t>
      </w:r>
      <w:r w:rsidR="00FD7968">
        <w:t xml:space="preserve"> dal Comune.</w:t>
      </w:r>
    </w:p>
    <w:p w14:paraId="0E9BEBA6" w14:textId="2BE77100" w:rsidR="00F33581" w:rsidRDefault="00FD7968" w:rsidP="00F03FCE">
      <w:pPr>
        <w:tabs>
          <w:tab w:val="num" w:pos="720"/>
        </w:tabs>
        <w:jc w:val="both"/>
      </w:pPr>
      <w:r>
        <w:t xml:space="preserve">L’introduzione della </w:t>
      </w:r>
      <w:r w:rsidR="00F33581">
        <w:t xml:space="preserve">norma riporta d’attualità </w:t>
      </w:r>
      <w:r w:rsidR="00F71F49">
        <w:t xml:space="preserve">due temi: </w:t>
      </w:r>
      <w:r w:rsidR="00D027B6">
        <w:t xml:space="preserve">il primo, </w:t>
      </w:r>
      <w:r w:rsidR="00F33581">
        <w:t>la necessità per i Comuni di</w:t>
      </w:r>
      <w:r w:rsidR="0081757B">
        <w:t xml:space="preserve"> dotarsi di un Piano </w:t>
      </w:r>
      <w:r w:rsidR="00F33581">
        <w:t>G</w:t>
      </w:r>
      <w:r>
        <w:t>enerale degli Impianti Pubblicitari</w:t>
      </w:r>
      <w:r w:rsidR="00D027B6">
        <w:t>,</w:t>
      </w:r>
      <w:r>
        <w:t xml:space="preserve"> a cui i tecnici abilitati</w:t>
      </w:r>
      <w:r w:rsidR="00F33581">
        <w:t xml:space="preserve"> coinvolti nella presentazione delle pratiche</w:t>
      </w:r>
      <w:r>
        <w:t xml:space="preserve"> dovranno </w:t>
      </w:r>
      <w:r w:rsidR="00F33581">
        <w:t xml:space="preserve">necessariamente </w:t>
      </w:r>
      <w:r>
        <w:t>fare riferimento in fase di asseverazione</w:t>
      </w:r>
      <w:r w:rsidR="00F71F49">
        <w:t xml:space="preserve">, </w:t>
      </w:r>
      <w:r w:rsidR="00D027B6">
        <w:t>il secondo, le modalità di</w:t>
      </w:r>
      <w:r w:rsidR="00F71F49">
        <w:t xml:space="preserve"> pagamento del Canone che a mente del comma 835 della legge 160/2019 deve avvenire contestualmente al rilascio del provvedimento amministrativo</w:t>
      </w:r>
      <w:r w:rsidR="00A03CD7">
        <w:t>, ovvero al rilascio dell’autorizzazione all’installazione</w:t>
      </w:r>
      <w:r w:rsidR="00F33581">
        <w:t>.</w:t>
      </w:r>
    </w:p>
    <w:p w14:paraId="60B0E6AC" w14:textId="47997E30" w:rsidR="00F03FCE" w:rsidRDefault="00A03CD7" w:rsidP="00F03FCE">
      <w:pPr>
        <w:tabs>
          <w:tab w:val="num" w:pos="720"/>
        </w:tabs>
        <w:jc w:val="both"/>
      </w:pPr>
      <w:r>
        <w:t>In merito al primo tema, o</w:t>
      </w:r>
      <w:r w:rsidR="00F33581">
        <w:t>ggi più di prima, è indispensabile fissare delle regole a cui attenersi per l’installazione di mezzi pubblicitari,</w:t>
      </w:r>
      <w:r w:rsidR="00FD530D">
        <w:t xml:space="preserve"> e in questo senso </w:t>
      </w:r>
      <w:r w:rsidR="00F33581">
        <w:t xml:space="preserve">il PGIP </w:t>
      </w:r>
      <w:r>
        <w:t>rappresenta senza dubbio</w:t>
      </w:r>
      <w:r w:rsidR="00F33581">
        <w:t xml:space="preserve"> lo strumento più adatto che tutela l’ente locale </w:t>
      </w:r>
      <w:r w:rsidR="00D027B6">
        <w:t>nel</w:t>
      </w:r>
      <w:r w:rsidR="00F33581">
        <w:t xml:space="preserve">la salvaguardia del proprio territorio condizionando la presentazione della SCIA al rispetto delle regole in esso contenute. </w:t>
      </w:r>
      <w:r w:rsidR="00FD7968">
        <w:t xml:space="preserve"> </w:t>
      </w:r>
      <w:r w:rsidR="00F33581">
        <w:t xml:space="preserve">Basarsi viceversa solo sulle disposizioni e sui vincoli imposti dal Codice della Strada e dal relativo Regolamento di Attuazione, non è più sufficiente a </w:t>
      </w:r>
      <w:r>
        <w:t>tutelare il demanio pubblico</w:t>
      </w:r>
      <w:r w:rsidR="00F33581">
        <w:t xml:space="preserve"> </w:t>
      </w:r>
      <w:r w:rsidR="00D96761">
        <w:t xml:space="preserve">e a scongiurare la proliferazione </w:t>
      </w:r>
      <w:r>
        <w:t xml:space="preserve">di </w:t>
      </w:r>
      <w:r w:rsidR="00F33581">
        <w:t>impianti per la diffusione pubblicitaria nel proprio territorio</w:t>
      </w:r>
      <w:r w:rsidR="00D96761">
        <w:t xml:space="preserve"> sempre più fragile</w:t>
      </w:r>
      <w:r w:rsidR="00F33581">
        <w:t>.</w:t>
      </w:r>
    </w:p>
    <w:p w14:paraId="05556A9B" w14:textId="67ECAD1E" w:rsidR="00B351C0" w:rsidRDefault="00B351C0" w:rsidP="00B351C0">
      <w:pPr>
        <w:tabs>
          <w:tab w:val="num" w:pos="720"/>
        </w:tabs>
        <w:jc w:val="both"/>
      </w:pPr>
      <w:r>
        <w:t>Il</w:t>
      </w:r>
      <w:r w:rsidRPr="00B351C0">
        <w:t xml:space="preserve"> Regolamento di attuazione del Codice della Strada all’articolo 53 prevede </w:t>
      </w:r>
      <w:r>
        <w:t>ad oggi</w:t>
      </w:r>
      <w:r w:rsidRPr="00B351C0">
        <w:t xml:space="preserve"> che il soggetto interessato al rilascio di una autorizzazione per l'installazione di cartelli, di insegne di esercizio o di altri mezzi pubblicitari </w:t>
      </w:r>
      <w:r w:rsidR="00A03CD7">
        <w:t>debba</w:t>
      </w:r>
      <w:r w:rsidRPr="00B351C0">
        <w:t xml:space="preserve"> presentare la relativa domanda presso il competente ufficio, allegando, oltre alla documentazione amministrativa richiesta dall'ente competente, un'autodichiarazione, redatta ai sensi della legge 4 gennaio 1968, n. 15, con la quale si attesti che il manufatto che si intende collocare è stato calcolato e realizzato e sarà posto in opera tenendo conto della natura del terreno e della spinta del vento, in modo da garantirne la stabilità. L’articolo specifica anche che se la domanda è relativa a cartelli, insegne di esercizio o altri mezzi pubblicitari per l'esposizione di messaggi variabili devono essere allegati i bozzetti di tutti i messaggi previsti.</w:t>
      </w:r>
      <w:r>
        <w:t xml:space="preserve"> Con la disposizione del DL 19/2026 si procederà</w:t>
      </w:r>
      <w:r w:rsidR="00A03CD7">
        <w:t xml:space="preserve"> diversamente</w:t>
      </w:r>
      <w:r>
        <w:t xml:space="preserve"> ove possibile, </w:t>
      </w:r>
      <w:r w:rsidRPr="00B351C0">
        <w:t>fatte salve le prescrizioni specifiche per le aree sottoposte a vincolo storico-artistico o paesaggistico</w:t>
      </w:r>
      <w:r>
        <w:t xml:space="preserve">, </w:t>
      </w:r>
      <w:r w:rsidR="00A03CD7">
        <w:t xml:space="preserve">presentando </w:t>
      </w:r>
      <w:r>
        <w:t xml:space="preserve">direttamente </w:t>
      </w:r>
      <w:r w:rsidR="00A03CD7">
        <w:t>una</w:t>
      </w:r>
      <w:r>
        <w:t xml:space="preserve"> SCIA </w:t>
      </w:r>
      <w:r w:rsidR="00A03CD7">
        <w:t xml:space="preserve">nella quale saranno </w:t>
      </w:r>
      <w:r>
        <w:t>certifica</w:t>
      </w:r>
      <w:r w:rsidR="00A03CD7">
        <w:t>te</w:t>
      </w:r>
      <w:r>
        <w:t xml:space="preserve"> le caratteristiche tecniche del manufatto che verrà installato.</w:t>
      </w:r>
    </w:p>
    <w:p w14:paraId="71338AA9" w14:textId="45236374" w:rsidR="00F33581" w:rsidRDefault="00D51C72" w:rsidP="00F03FCE">
      <w:pPr>
        <w:tabs>
          <w:tab w:val="num" w:pos="720"/>
        </w:tabs>
        <w:jc w:val="both"/>
      </w:pPr>
      <w:r>
        <w:t xml:space="preserve">In merito al secondo tema, </w:t>
      </w:r>
      <w:r w:rsidR="00D4724E">
        <w:t>sulla contestualità</w:t>
      </w:r>
      <w:r>
        <w:t xml:space="preserve"> del versamento al rilascio dell’autorizzazione all’installazione, dovrà cambiare l’approccio operativo e verosimilmente andrà aggiornata la sezione del Regolamento Comunale in cui viene disciplinato il pagamento.</w:t>
      </w:r>
    </w:p>
    <w:p w14:paraId="41754536" w14:textId="0DE578F9" w:rsidR="00D51C72" w:rsidRDefault="00D51C72" w:rsidP="00F03FCE">
      <w:pPr>
        <w:tabs>
          <w:tab w:val="num" w:pos="720"/>
        </w:tabs>
        <w:jc w:val="both"/>
      </w:pPr>
      <w:r>
        <w:t xml:space="preserve">Ai fini CUP potrebbe </w:t>
      </w:r>
      <w:r w:rsidR="00D1779E">
        <w:t xml:space="preserve">così </w:t>
      </w:r>
      <w:r>
        <w:t xml:space="preserve">tornare in uso diffuso la </w:t>
      </w:r>
      <w:r w:rsidR="002B6B68">
        <w:t>“</w:t>
      </w:r>
      <w:r>
        <w:t>dichiarazione</w:t>
      </w:r>
      <w:r w:rsidR="002B6B68">
        <w:t>”</w:t>
      </w:r>
      <w:r>
        <w:t xml:space="preserve">, oggi relegata solo a </w:t>
      </w:r>
      <w:r w:rsidR="00D96761">
        <w:t xml:space="preserve">favore di </w:t>
      </w:r>
      <w:r>
        <w:t xml:space="preserve">poche fattispecie individuate dai singoli </w:t>
      </w:r>
      <w:r w:rsidR="00D4724E">
        <w:t xml:space="preserve">regolamenti degli </w:t>
      </w:r>
      <w:r>
        <w:t>enti locali.</w:t>
      </w:r>
      <w:r w:rsidR="00D96761">
        <w:t xml:space="preserve"> Con la modifica normativa, i</w:t>
      </w:r>
      <w:r>
        <w:t xml:space="preserve">l titolare dell’impianto, una volta presentata la SCIA, prima dell’installazione del mezzo pubblicitario, potrà </w:t>
      </w:r>
      <w:r w:rsidR="002B6B68">
        <w:t>presentare</w:t>
      </w:r>
      <w:r>
        <w:t xml:space="preserve"> </w:t>
      </w:r>
      <w:r w:rsidR="002B6B68">
        <w:t>apposita</w:t>
      </w:r>
      <w:r>
        <w:t xml:space="preserve"> </w:t>
      </w:r>
      <w:r w:rsidRPr="00D4724E">
        <w:rPr>
          <w:i/>
          <w:iCs/>
        </w:rPr>
        <w:t>dichiarazione</w:t>
      </w:r>
      <w:r>
        <w:t xml:space="preserve"> al Comune</w:t>
      </w:r>
      <w:r w:rsidR="002B6B68">
        <w:t xml:space="preserve">, per consentire la </w:t>
      </w:r>
      <w:r w:rsidR="00D4724E">
        <w:t xml:space="preserve">corretta </w:t>
      </w:r>
      <w:r w:rsidR="002B6B68">
        <w:t>liquidazione del canone</w:t>
      </w:r>
      <w:r w:rsidR="00D4724E">
        <w:t xml:space="preserve"> e il conseguente pagamento</w:t>
      </w:r>
      <w:r w:rsidR="002B6B68">
        <w:t>. Non essendo più previst</w:t>
      </w:r>
      <w:r w:rsidR="00D96761">
        <w:t>o</w:t>
      </w:r>
      <w:r w:rsidR="002B6B68">
        <w:t>, nei casi consentiti</w:t>
      </w:r>
      <w:r w:rsidR="00D4724E">
        <w:t xml:space="preserve"> dall’articolo 5 del DL 19/2026</w:t>
      </w:r>
      <w:r w:rsidR="002B6B68">
        <w:t>, il rilascio di una autorizzazione espressa, il pagamento non sarà più strettamente collegato</w:t>
      </w:r>
      <w:r w:rsidR="00D4724E">
        <w:t xml:space="preserve"> e vincolato</w:t>
      </w:r>
      <w:r w:rsidR="002B6B68">
        <w:t xml:space="preserve"> </w:t>
      </w:r>
      <w:r w:rsidR="00D4724E">
        <w:t>al rilascio de</w:t>
      </w:r>
      <w:r w:rsidR="002B6B68">
        <w:t xml:space="preserve">ll’atto amministrativo, così che potrà </w:t>
      </w:r>
      <w:r w:rsidR="00D96761">
        <w:t xml:space="preserve">davvero </w:t>
      </w:r>
      <w:r w:rsidR="002B6B68">
        <w:t xml:space="preserve">tornare utile, se non necessario, </w:t>
      </w:r>
      <w:r w:rsidR="00D96761">
        <w:t xml:space="preserve">ripristinare </w:t>
      </w:r>
      <w:r w:rsidR="002B6B68">
        <w:t xml:space="preserve">lo strumento dichiarativo </w:t>
      </w:r>
      <w:r w:rsidR="00D4724E">
        <w:t>esattamente</w:t>
      </w:r>
      <w:r w:rsidR="002B6B68">
        <w:t xml:space="preserve"> come avveniva con </w:t>
      </w:r>
      <w:r w:rsidR="00805E8C">
        <w:t>la</w:t>
      </w:r>
      <w:r w:rsidR="002B6B68">
        <w:t xml:space="preserve"> precedente Imposta Comunale sulla Pubblicità.</w:t>
      </w:r>
    </w:p>
    <w:p w14:paraId="0AE99548" w14:textId="77777777" w:rsidR="00F33581" w:rsidRPr="00553E55" w:rsidRDefault="00F33581" w:rsidP="00F03FCE">
      <w:pPr>
        <w:tabs>
          <w:tab w:val="num" w:pos="720"/>
        </w:tabs>
        <w:jc w:val="both"/>
      </w:pPr>
    </w:p>
    <w:p w14:paraId="61A06E2A" w14:textId="77777777" w:rsidR="00553E55" w:rsidRDefault="00553E55" w:rsidP="00B872BA">
      <w:pPr>
        <w:jc w:val="both"/>
      </w:pPr>
    </w:p>
    <w:sectPr w:rsidR="00553E5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2000B"/>
    <w:multiLevelType w:val="multilevel"/>
    <w:tmpl w:val="9DD4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423910">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1257013058">
    <w:abstractNumId w:val="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E1A"/>
    <w:rsid w:val="00060149"/>
    <w:rsid w:val="00192FF1"/>
    <w:rsid w:val="00207EF7"/>
    <w:rsid w:val="00272BE3"/>
    <w:rsid w:val="0029264C"/>
    <w:rsid w:val="002B6B68"/>
    <w:rsid w:val="004668A3"/>
    <w:rsid w:val="00553E55"/>
    <w:rsid w:val="00584EA9"/>
    <w:rsid w:val="007B1496"/>
    <w:rsid w:val="00805E8C"/>
    <w:rsid w:val="0081757B"/>
    <w:rsid w:val="00A03CD7"/>
    <w:rsid w:val="00AD7E1A"/>
    <w:rsid w:val="00AF6C9A"/>
    <w:rsid w:val="00B351C0"/>
    <w:rsid w:val="00B74F30"/>
    <w:rsid w:val="00B872BA"/>
    <w:rsid w:val="00C128C9"/>
    <w:rsid w:val="00D027B6"/>
    <w:rsid w:val="00D1779E"/>
    <w:rsid w:val="00D4724E"/>
    <w:rsid w:val="00D51C72"/>
    <w:rsid w:val="00D96761"/>
    <w:rsid w:val="00E01D74"/>
    <w:rsid w:val="00E57B55"/>
    <w:rsid w:val="00F03FCE"/>
    <w:rsid w:val="00F22467"/>
    <w:rsid w:val="00F33581"/>
    <w:rsid w:val="00F71F49"/>
    <w:rsid w:val="00FC4BF8"/>
    <w:rsid w:val="00FD530D"/>
    <w:rsid w:val="00FD7968"/>
    <w:rsid w:val="00FE4F5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B96E0"/>
  <w15:chartTrackingRefBased/>
  <w15:docId w15:val="{89D6AEC1-A375-42BD-B572-7DDB7C863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D7E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AD7E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AD7E1A"/>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AD7E1A"/>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AD7E1A"/>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AD7E1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D7E1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D7E1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D7E1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D7E1A"/>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AD7E1A"/>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AD7E1A"/>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AD7E1A"/>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AD7E1A"/>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AD7E1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D7E1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D7E1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D7E1A"/>
    <w:rPr>
      <w:rFonts w:eastAsiaTheme="majorEastAsia" w:cstheme="majorBidi"/>
      <w:color w:val="272727" w:themeColor="text1" w:themeTint="D8"/>
    </w:rPr>
  </w:style>
  <w:style w:type="paragraph" w:styleId="Titolo">
    <w:name w:val="Title"/>
    <w:basedOn w:val="Normale"/>
    <w:next w:val="Normale"/>
    <w:link w:val="TitoloCarattere"/>
    <w:uiPriority w:val="10"/>
    <w:qFormat/>
    <w:rsid w:val="00AD7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D7E1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D7E1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D7E1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D7E1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D7E1A"/>
    <w:rPr>
      <w:i/>
      <w:iCs/>
      <w:color w:val="404040" w:themeColor="text1" w:themeTint="BF"/>
    </w:rPr>
  </w:style>
  <w:style w:type="paragraph" w:styleId="Paragrafoelenco">
    <w:name w:val="List Paragraph"/>
    <w:basedOn w:val="Normale"/>
    <w:uiPriority w:val="34"/>
    <w:qFormat/>
    <w:rsid w:val="00AD7E1A"/>
    <w:pPr>
      <w:ind w:left="720"/>
      <w:contextualSpacing/>
    </w:pPr>
  </w:style>
  <w:style w:type="character" w:styleId="Enfasiintensa">
    <w:name w:val="Intense Emphasis"/>
    <w:basedOn w:val="Carpredefinitoparagrafo"/>
    <w:uiPriority w:val="21"/>
    <w:qFormat/>
    <w:rsid w:val="00AD7E1A"/>
    <w:rPr>
      <w:i/>
      <w:iCs/>
      <w:color w:val="2F5496" w:themeColor="accent1" w:themeShade="BF"/>
    </w:rPr>
  </w:style>
  <w:style w:type="paragraph" w:styleId="Citazioneintensa">
    <w:name w:val="Intense Quote"/>
    <w:basedOn w:val="Normale"/>
    <w:next w:val="Normale"/>
    <w:link w:val="CitazioneintensaCarattere"/>
    <w:uiPriority w:val="30"/>
    <w:qFormat/>
    <w:rsid w:val="00AD7E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AD7E1A"/>
    <w:rPr>
      <w:i/>
      <w:iCs/>
      <w:color w:val="2F5496" w:themeColor="accent1" w:themeShade="BF"/>
    </w:rPr>
  </w:style>
  <w:style w:type="character" w:styleId="Riferimentointenso">
    <w:name w:val="Intense Reference"/>
    <w:basedOn w:val="Carpredefinitoparagrafo"/>
    <w:uiPriority w:val="32"/>
    <w:qFormat/>
    <w:rsid w:val="00AD7E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3</Pages>
  <Words>1342</Words>
  <Characters>7656</Characters>
  <Application>Microsoft Office Word</Application>
  <DocSecurity>0</DocSecurity>
  <Lines>63</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14</cp:revision>
  <dcterms:created xsi:type="dcterms:W3CDTF">2026-02-26T16:27:00Z</dcterms:created>
  <dcterms:modified xsi:type="dcterms:W3CDTF">2026-02-28T15:33:00Z</dcterms:modified>
</cp:coreProperties>
</file>