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D6152" w14:textId="40ACDAB6" w:rsidR="009A05AD" w:rsidRPr="00354EF2" w:rsidRDefault="00354EF2" w:rsidP="009A05AD">
      <w:r w:rsidRPr="00354EF2">
        <w:t xml:space="preserve">Titolo: Esente CUP la pubblicità realizzata dalle ASD </w:t>
      </w:r>
    </w:p>
    <w:p w14:paraId="764789D9" w14:textId="103F57AC" w:rsidR="00354EF2" w:rsidRPr="00354EF2" w:rsidRDefault="00354EF2" w:rsidP="009A05AD">
      <w:r w:rsidRPr="00354EF2">
        <w:t>Di Alessandro Merciari</w:t>
      </w:r>
    </w:p>
    <w:p w14:paraId="044811A4" w14:textId="77777777" w:rsidR="00354EF2" w:rsidRDefault="00354EF2" w:rsidP="009A05AD">
      <w:pPr>
        <w:jc w:val="both"/>
        <w:rPr>
          <w:b/>
          <w:bCs/>
        </w:rPr>
      </w:pPr>
      <w:r w:rsidRPr="00354EF2">
        <w:t>Una delle ipotesi di esenzione prevista dal Legislatore al comma 833 riguarda le iniziative pubblicitarie realizzate dalle Associazioni Sportive Dilettantistiche quando espongono messaggi pubblicitari all’interno di palestre e impianti sportivi utilizzati per le proprie attività.</w:t>
      </w:r>
    </w:p>
    <w:p w14:paraId="022FC8EA" w14:textId="47CD26A5" w:rsidR="00354EF2" w:rsidRDefault="00354EF2" w:rsidP="009A05AD">
      <w:pPr>
        <w:jc w:val="both"/>
      </w:pPr>
      <w:r w:rsidRPr="00354EF2">
        <w:t>Una misura</w:t>
      </w:r>
      <w:r>
        <w:t xml:space="preserve"> agevolativa che il Legislatore ha voluto confermare in continuità con</w:t>
      </w:r>
      <w:r w:rsidR="003B1530">
        <w:t xml:space="preserve"> quanto accadeva con</w:t>
      </w:r>
      <w:r>
        <w:t xml:space="preserve"> i precedenti prelievi. Un’attenzione rivolta al mondo delle ASD che in Italia svolgono un importante </w:t>
      </w:r>
      <w:r w:rsidR="003B1530">
        <w:t>ruolo</w:t>
      </w:r>
      <w:r w:rsidR="003B1530">
        <w:t xml:space="preserve"> sociale</w:t>
      </w:r>
      <w:r w:rsidR="003B1530">
        <w:t xml:space="preserve"> </w:t>
      </w:r>
      <w:r>
        <w:t xml:space="preserve">nel garantire lo svolgimento di attività fisica di bambini, ragazzi e adulti </w:t>
      </w:r>
      <w:proofErr w:type="gramStart"/>
      <w:r>
        <w:t xml:space="preserve">di </w:t>
      </w:r>
      <w:r w:rsidR="003B1530">
        <w:t xml:space="preserve"> ogni</w:t>
      </w:r>
      <w:proofErr w:type="gramEnd"/>
      <w:r>
        <w:t xml:space="preserve"> età.</w:t>
      </w:r>
      <w:r w:rsidR="000D4CE4">
        <w:t xml:space="preserve"> </w:t>
      </w:r>
    </w:p>
    <w:p w14:paraId="6660ED09" w14:textId="57419EB3" w:rsidR="000D4CE4" w:rsidRDefault="000D4CE4" w:rsidP="009A05AD">
      <w:pPr>
        <w:jc w:val="both"/>
      </w:pPr>
      <w:r>
        <w:t xml:space="preserve">L’esposizione di striscioni pubblicitari di sponsor </w:t>
      </w:r>
      <w:r w:rsidR="003B1530">
        <w:t xml:space="preserve">e operatori economici </w:t>
      </w:r>
      <w:r>
        <w:t xml:space="preserve">presso gli impianti è certamente una delle fonti principali di sovvenzionamento di queste attività non lucrative e in questo senso si deve leggere la volontà del Legislatore di </w:t>
      </w:r>
      <w:r w:rsidR="003B1530">
        <w:t xml:space="preserve">adottare una norma agevolativa rispondente </w:t>
      </w:r>
      <w:r>
        <w:t>alle esigenze delle associazioni.</w:t>
      </w:r>
    </w:p>
    <w:p w14:paraId="0E88D371" w14:textId="1BE4957F" w:rsidR="000D4CE4" w:rsidRDefault="000D4CE4" w:rsidP="009A05AD">
      <w:pPr>
        <w:jc w:val="both"/>
      </w:pPr>
      <w:r>
        <w:t>Il testo della lettera P del comma 833</w:t>
      </w:r>
      <w:r w:rsidR="004E1C57">
        <w:t>, articolo 1 Legge 160/2019</w:t>
      </w:r>
      <w:r>
        <w:t xml:space="preserve"> prevede:</w:t>
      </w:r>
    </w:p>
    <w:p w14:paraId="40E9E578" w14:textId="010C2459" w:rsidR="009A05AD" w:rsidRPr="009A05AD" w:rsidRDefault="000D4CE4" w:rsidP="009A05AD">
      <w:pPr>
        <w:jc w:val="both"/>
      </w:pPr>
      <w:r>
        <w:rPr>
          <w:i/>
          <w:iCs/>
        </w:rPr>
        <w:t>“</w:t>
      </w:r>
      <w:r w:rsidR="009A05AD" w:rsidRPr="009A05AD">
        <w:rPr>
          <w:i/>
          <w:iCs/>
        </w:rPr>
        <w:t>i messaggi pubblicitari, in qualunque modo realizzati dai soggetti di cui al comma 1 dell’articolo 90 della Legge 27 dicembre 2002, n. 289, rivolti all’interno degli impianti dagli stessi utilizzati per manifestazioni sportive dilettantistiche con capienza inferiore a tremila posti;</w:t>
      </w:r>
      <w:r>
        <w:rPr>
          <w:i/>
          <w:iCs/>
        </w:rPr>
        <w:t>”</w:t>
      </w:r>
      <w:r w:rsidR="009A05AD" w:rsidRPr="009A05AD">
        <w:rPr>
          <w:i/>
          <w:iCs/>
        </w:rPr>
        <w:t xml:space="preserve"> </w:t>
      </w:r>
    </w:p>
    <w:p w14:paraId="09425A30" w14:textId="576FDD15" w:rsidR="009A05AD" w:rsidRDefault="000D4CE4" w:rsidP="009A05AD">
      <w:pPr>
        <w:jc w:val="both"/>
      </w:pPr>
      <w:r>
        <w:t>Una norma che p</w:t>
      </w:r>
      <w:r w:rsidR="009A05AD">
        <w:t>revede l’esenzione per i messaggi pubblicitari, in qualunque modo realizzati da</w:t>
      </w:r>
      <w:r>
        <w:t xml:space="preserve">lle ASD, </w:t>
      </w:r>
      <w:r w:rsidR="009A05AD">
        <w:t xml:space="preserve">rivolti all’interno degli impianti </w:t>
      </w:r>
      <w:r w:rsidR="004E1C57">
        <w:t>con capienza inferiore a tremila posti</w:t>
      </w:r>
      <w:r w:rsidR="004E1C57">
        <w:t xml:space="preserve"> </w:t>
      </w:r>
      <w:r w:rsidR="009A05AD">
        <w:t>dagli stessi utilizzati per manifestazioni sportive dilettantistiche</w:t>
      </w:r>
      <w:r w:rsidR="004E1C57">
        <w:t>.</w:t>
      </w:r>
    </w:p>
    <w:p w14:paraId="7D5DFC95" w14:textId="7BBB3A43" w:rsidR="009A05AD" w:rsidRDefault="000D4CE4" w:rsidP="009A05AD">
      <w:pPr>
        <w:jc w:val="both"/>
      </w:pPr>
      <w:r>
        <w:t>Con questa formulazione</w:t>
      </w:r>
      <w:r w:rsidR="009A05AD">
        <w:t xml:space="preserve"> </w:t>
      </w:r>
      <w:r w:rsidR="000E1861">
        <w:t>si ritiene</w:t>
      </w:r>
      <w:r>
        <w:t xml:space="preserve"> </w:t>
      </w:r>
      <w:r w:rsidR="000E1861">
        <w:t xml:space="preserve">che </w:t>
      </w:r>
      <w:r>
        <w:t xml:space="preserve">l’agevolazione </w:t>
      </w:r>
      <w:r w:rsidR="009A05AD">
        <w:t>oper</w:t>
      </w:r>
      <w:r w:rsidR="000E1861">
        <w:t>i</w:t>
      </w:r>
      <w:r w:rsidR="009A05AD">
        <w:t xml:space="preserve"> sia per le iniziative pubblicitarie dell’associazione sportiva stessa che per la pubblicità effettuata per conto terzi,</w:t>
      </w:r>
      <w:r w:rsidR="00A5759C">
        <w:t xml:space="preserve"> ovvero per quella</w:t>
      </w:r>
      <w:r w:rsidR="009A05AD">
        <w:t xml:space="preserve"> solitamente a </w:t>
      </w:r>
      <w:r w:rsidR="00700A8B">
        <w:t xml:space="preserve">vantaggio di aziende che </w:t>
      </w:r>
      <w:r w:rsidR="009A05AD">
        <w:t>forniscono contributi economici a sostegno delle attività sportive</w:t>
      </w:r>
      <w:r w:rsidR="000E1861">
        <w:t xml:space="preserve"> stesse</w:t>
      </w:r>
      <w:r w:rsidR="009A05AD">
        <w:t>. Diventa infatti rilevante il requisito soggettivo fissato dal Legislatore.</w:t>
      </w:r>
      <w:r w:rsidR="00A5759C">
        <w:t xml:space="preserve"> </w:t>
      </w:r>
    </w:p>
    <w:p w14:paraId="4FC88ADB" w14:textId="259AAAFA" w:rsidR="00A5759C" w:rsidRDefault="00A5759C" w:rsidP="009A05AD">
      <w:pPr>
        <w:jc w:val="both"/>
      </w:pPr>
      <w:r>
        <w:t xml:space="preserve">La scelta di limitare l’esenzione agli impianti di piccole dimensioni (capienza potenziale inferiore a 3000 posti) rafforza l’idea che la ratio della norma sia rivolta a garantire un sostegno </w:t>
      </w:r>
      <w:r w:rsidR="00700A8B">
        <w:t xml:space="preserve">concreto </w:t>
      </w:r>
      <w:r>
        <w:t>alle piccole realtà associative che non perseguono scopo di lucro.</w:t>
      </w:r>
    </w:p>
    <w:p w14:paraId="282A216E" w14:textId="2D22910A" w:rsidR="009A05AD" w:rsidRDefault="009A05AD" w:rsidP="009A05AD">
      <w:pPr>
        <w:jc w:val="both"/>
      </w:pPr>
      <w:r>
        <w:t xml:space="preserve">Non vi </w:t>
      </w:r>
      <w:r w:rsidR="000E1861">
        <w:t>sarebbero peraltro</w:t>
      </w:r>
      <w:r>
        <w:t xml:space="preserve"> limitazioni circa l’ubicazione e la conformità degli impianti sportivi che potranno essere sia coperti che scoperti, la condizione oggettiva per ottenere l’esenzione, è che questa pubblicità sia realizzata all’interno dell’impianto e rivolto verso il pubblico che assiste agli eventi. Eventuali messaggi pubblicitari rivolti palesemente verso l’esterno e percepibili solo dalla pubblica via, per</w:t>
      </w:r>
      <w:r w:rsidR="00A5759C">
        <w:t>derebbero</w:t>
      </w:r>
      <w:r>
        <w:t xml:space="preserve"> le caratteristiche di esenzione e </w:t>
      </w:r>
      <w:r w:rsidR="00A5759C">
        <w:t>sarebbero</w:t>
      </w:r>
      <w:r>
        <w:t xml:space="preserve"> soggette al Canone Unico.</w:t>
      </w:r>
    </w:p>
    <w:p w14:paraId="4DFB8958" w14:textId="2C9EB748" w:rsidR="00060149" w:rsidRDefault="009A05AD" w:rsidP="009A05AD">
      <w:pPr>
        <w:jc w:val="both"/>
      </w:pPr>
      <w:r>
        <w:t>Si richiama sull’argomento la nota n. 1576/DPF del 3 aprile 2006 del Dipartimento delle Politiche Fiscali del Ministero dell’Economia e delle Finanze che scriveva sull’argomento:</w:t>
      </w:r>
    </w:p>
    <w:p w14:paraId="395200C6" w14:textId="6819362D" w:rsidR="009A05AD" w:rsidRDefault="009A05AD" w:rsidP="009A05AD">
      <w:pPr>
        <w:jc w:val="both"/>
        <w:rPr>
          <w:i/>
          <w:iCs/>
        </w:rPr>
      </w:pPr>
      <w:r w:rsidRPr="009A05AD">
        <w:rPr>
          <w:i/>
          <w:iCs/>
        </w:rPr>
        <w:t>“Riguardo, poi, alla visibilità che tali messaggi possono avere anche all’esterno degli impianti sportivi in cui vengono esposti, va precisato che, ai fini del riconoscimento dell’esenzione, è sufficiente che i messaggi pubblicitari siano esposti sulle strutture interne dell’impianto sportivo, essendo ininfluente la loro eventuale visibilità anche all’esterno dell’impianto stesso”.</w:t>
      </w:r>
    </w:p>
    <w:p w14:paraId="3FFDB80F" w14:textId="454AE15E" w:rsidR="009A05AD" w:rsidRDefault="00A5759C" w:rsidP="009A05AD">
      <w:pPr>
        <w:jc w:val="both"/>
      </w:pPr>
      <w:r>
        <w:t xml:space="preserve">Fatta questa analisi sulla portata dell’esenzione che ricondurrebbe all’applicazione del beneficio anche alla </w:t>
      </w:r>
      <w:r w:rsidR="00700A8B">
        <w:t>pubblicità</w:t>
      </w:r>
      <w:r>
        <w:t xml:space="preserve"> esposta per conto terzi, occorre valutare l’arresto giurisprudenziale vissuto con la sentenza </w:t>
      </w:r>
      <w:r w:rsidR="000E1861">
        <w:t xml:space="preserve">della </w:t>
      </w:r>
      <w:r w:rsidR="000E1861" w:rsidRPr="00A5759C">
        <w:t>Corte di Cassazione, la numero 2184 del 30 gennaio 2020</w:t>
      </w:r>
      <w:r w:rsidR="000E1861">
        <w:t>, nella quale si chiarisce:</w:t>
      </w:r>
    </w:p>
    <w:p w14:paraId="2B2008A2" w14:textId="1382F632" w:rsidR="000E1861" w:rsidRDefault="000E1861" w:rsidP="009A05AD">
      <w:pPr>
        <w:jc w:val="both"/>
        <w:rPr>
          <w:i/>
          <w:iCs/>
        </w:rPr>
      </w:pPr>
      <w:r w:rsidRPr="000E1861">
        <w:rPr>
          <w:i/>
          <w:iCs/>
        </w:rPr>
        <w:t xml:space="preserve">“posto che la norma, come ogni norma agevolativa (nel caso, sub specie di esenzione), in quanto norma derogatoria del regime d'imposta, deve essere intesa in senso restrittivo. In conclusione gli enti di cui al primo </w:t>
      </w:r>
      <w:r w:rsidRPr="000E1861">
        <w:rPr>
          <w:i/>
          <w:iCs/>
        </w:rPr>
        <w:lastRenderedPageBreak/>
        <w:t>comma dell'art.90 della legge 289/2002 vanno esenti da imposta sulla pubblicità laddove effettuino in modo diretto propaganda della propria attività al fine di ampliare la base dei propri associati e dei propri soci e di diffondere, così, l'attività sportiva dilettantistica;”</w:t>
      </w:r>
    </w:p>
    <w:p w14:paraId="7C775525" w14:textId="0383B0A3" w:rsidR="000E1861" w:rsidRDefault="000E1861" w:rsidP="009A05AD">
      <w:pPr>
        <w:jc w:val="both"/>
      </w:pPr>
      <w:r>
        <w:t>La linea della Cassazione escluderebbe pertanto l’ipotesi di esenzione nei casi di pubblicità per conto terzi, ancorché realizzata dalla società sportiva dilettantistiche e diffusa all’interno di impianti sportivi con capienza inferiore a 3000 posti.</w:t>
      </w:r>
    </w:p>
    <w:p w14:paraId="354D8FBB" w14:textId="270AF3EA" w:rsidR="00B131BA" w:rsidRDefault="00B131BA" w:rsidP="009A05AD">
      <w:pPr>
        <w:jc w:val="both"/>
      </w:pPr>
      <w:r>
        <w:t xml:space="preserve">Si apre quindi a livello locale, </w:t>
      </w:r>
      <w:r w:rsidR="00700A8B">
        <w:t xml:space="preserve">la questione </w:t>
      </w:r>
      <w:r>
        <w:t xml:space="preserve">su come applicare l’esenzione </w:t>
      </w:r>
      <w:r w:rsidR="00700A8B">
        <w:t xml:space="preserve">in parola e in questo senso </w:t>
      </w:r>
      <w:r>
        <w:t xml:space="preserve">diventa dirimente </w:t>
      </w:r>
      <w:r w:rsidR="00700A8B">
        <w:t xml:space="preserve">quanto previsto nella disciplina </w:t>
      </w:r>
      <w:r>
        <w:t>regolamentare.</w:t>
      </w:r>
    </w:p>
    <w:p w14:paraId="5A18D88B" w14:textId="6818EE8C" w:rsidR="003F6ED5" w:rsidRDefault="00B131BA" w:rsidP="009A05AD">
      <w:pPr>
        <w:jc w:val="both"/>
      </w:pPr>
      <w:r>
        <w:t>Abbiamo più volte ricordato come il Regolamento Comunale rappresenta lo strumento che governa e disciplina l’entrata</w:t>
      </w:r>
      <w:r w:rsidR="00700A8B">
        <w:t xml:space="preserve"> a livello territoriale e la </w:t>
      </w:r>
      <w:r>
        <w:t>normativa di Legge</w:t>
      </w:r>
      <w:r w:rsidR="00700A8B">
        <w:t xml:space="preserve"> in questo contesto</w:t>
      </w:r>
      <w:r>
        <w:t xml:space="preserve"> rappresenta solo una base su cui costruire la propria disciplina locale. Ecco quindi che l</w:t>
      </w:r>
      <w:r w:rsidR="003F6ED5">
        <w:t xml:space="preserve">a </w:t>
      </w:r>
      <w:r w:rsidR="00FB5280">
        <w:t xml:space="preserve">soluzione </w:t>
      </w:r>
      <w:r w:rsidR="00700A8B">
        <w:t>sulla reale</w:t>
      </w:r>
      <w:r>
        <w:t xml:space="preserve"> portata della previsione di esenzione prevista alla lettera P del comma 833, </w:t>
      </w:r>
      <w:r w:rsidR="003F6ED5">
        <w:t xml:space="preserve">dovrebbe trovare </w:t>
      </w:r>
      <w:r w:rsidR="00FB5280">
        <w:t>spazio</w:t>
      </w:r>
      <w:r w:rsidR="003F6ED5">
        <w:t xml:space="preserve"> nella potestà regolamentare riconosciuta agli enti locali che dovranno quindi prevedere se adottare l’interpretazione data dalla Cassazione (</w:t>
      </w:r>
      <w:r>
        <w:t xml:space="preserve">rilasciata </w:t>
      </w:r>
      <w:r w:rsidR="003F6ED5">
        <w:t>in materia di ICP) o se interpretare il nuovo testo normativo nel senso più ampio del termine.</w:t>
      </w:r>
    </w:p>
    <w:p w14:paraId="0966FC7F" w14:textId="07C35C99" w:rsidR="003F6ED5" w:rsidRPr="003F6ED5" w:rsidRDefault="003F6ED5" w:rsidP="003F6ED5">
      <w:pPr>
        <w:jc w:val="both"/>
      </w:pPr>
      <w:r>
        <w:t>A supporto di una lettura che port</w:t>
      </w:r>
      <w:r w:rsidR="00FB5280">
        <w:t>erebbe</w:t>
      </w:r>
      <w:r>
        <w:t xml:space="preserve"> ad escludere l’applicazione del canone anche alla pubblicità realizzata per conto terzi si richiama ancora una volta quanto scrisse il MEF nella risoluzione </w:t>
      </w:r>
      <w:r w:rsidRPr="003F6ED5">
        <w:t>n. 1576/DPF del 3 aprile 2006.</w:t>
      </w:r>
    </w:p>
    <w:p w14:paraId="4EF14A3C" w14:textId="37C2CF4C" w:rsidR="003F6ED5" w:rsidRDefault="003F6ED5" w:rsidP="003F6ED5">
      <w:pPr>
        <w:jc w:val="both"/>
        <w:rPr>
          <w:i/>
          <w:iCs/>
        </w:rPr>
      </w:pPr>
      <w:r w:rsidRPr="003F6ED5">
        <w:t>Nella nota si legge</w:t>
      </w:r>
      <w:r w:rsidR="00FB5280">
        <w:t>va</w:t>
      </w:r>
      <w:r w:rsidRPr="003F6ED5">
        <w:t xml:space="preserve">: </w:t>
      </w:r>
      <w:r w:rsidRPr="003F6ED5">
        <w:rPr>
          <w:i/>
          <w:iCs/>
        </w:rPr>
        <w:t>“… la ratio dell’art. 1, comma 128, della legge n. 266 del 2005, è proprio quella di agevolare ogni forma di pubblicità “in qualunque modo realizzata” dai soggetti che utilizzano impianti di modeste dimensioni per lo svolgimento di manifestazioni sportive dilettantistiche. Pertanto, l’esenzione in parola deve essere accordata anche nell’ipotesi in cui vengano esposti messaggi pubblicitari che non riguardino specificamente le società utilizzatrici degli impianti sportivi, ma soggetti terzi.”</w:t>
      </w:r>
    </w:p>
    <w:p w14:paraId="13AB6C87" w14:textId="0DF033B2" w:rsidR="00FB5280" w:rsidRPr="003F6ED5" w:rsidRDefault="00FB5280" w:rsidP="003F6ED5">
      <w:pPr>
        <w:jc w:val="both"/>
      </w:pPr>
      <w:r>
        <w:t>Al fine di agevolare a livello locale le società sportive dilettantistiche</w:t>
      </w:r>
      <w:r w:rsidR="00B131BA">
        <w:t xml:space="preserve">, se questa viene vissuta dalla pubbliche Amministrazioni come una concreta esigenza, </w:t>
      </w:r>
      <w:r>
        <w:t xml:space="preserve"> si consiglia</w:t>
      </w:r>
      <w:r w:rsidR="00B131BA">
        <w:t xml:space="preserve">, onde evitare dubbi interpretativi, </w:t>
      </w:r>
      <w:r>
        <w:t xml:space="preserve"> di adottare a livello regolamentare, l’ipotesi di prevedere l’esenzione anche a favore delle iniziative pubblicitarie dedicate agli sponsor, magari ponendo dei limiti </w:t>
      </w:r>
      <w:r w:rsidR="00B131BA">
        <w:t>al fine di</w:t>
      </w:r>
      <w:r>
        <w:t xml:space="preserve"> evitare che queste iniziative, volte a sostenere le piccole società sportive, non si traducano in campagne reclamistiche vere e proprie.</w:t>
      </w:r>
    </w:p>
    <w:p w14:paraId="5925ED52" w14:textId="19B9BF2F" w:rsidR="003F6ED5" w:rsidRDefault="003F6ED5" w:rsidP="009A05AD">
      <w:pPr>
        <w:jc w:val="both"/>
      </w:pPr>
    </w:p>
    <w:p w14:paraId="44C1F318" w14:textId="77777777" w:rsidR="000E1861" w:rsidRPr="000E1861" w:rsidRDefault="000E1861" w:rsidP="009A05AD">
      <w:pPr>
        <w:jc w:val="both"/>
      </w:pPr>
    </w:p>
    <w:sectPr w:rsidR="000E1861" w:rsidRPr="000E186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749"/>
    <w:rsid w:val="00060149"/>
    <w:rsid w:val="000D4CE4"/>
    <w:rsid w:val="000E1861"/>
    <w:rsid w:val="00354EF2"/>
    <w:rsid w:val="003B1530"/>
    <w:rsid w:val="003D687B"/>
    <w:rsid w:val="003F6ED5"/>
    <w:rsid w:val="004E1C57"/>
    <w:rsid w:val="00700A8B"/>
    <w:rsid w:val="007B1496"/>
    <w:rsid w:val="009A05AD"/>
    <w:rsid w:val="00A5759C"/>
    <w:rsid w:val="00B131BA"/>
    <w:rsid w:val="00CC7CB7"/>
    <w:rsid w:val="00D07749"/>
    <w:rsid w:val="00ED5E07"/>
    <w:rsid w:val="00FA6B22"/>
    <w:rsid w:val="00FB52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E696A"/>
  <w15:chartTrackingRefBased/>
  <w15:docId w15:val="{9EEB9B99-7C07-4FB5-94B9-EEBC33AF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07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07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07749"/>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07749"/>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07749"/>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0774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0774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0774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0774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7749"/>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07749"/>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07749"/>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07749"/>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07749"/>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0774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0774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0774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07749"/>
    <w:rPr>
      <w:rFonts w:eastAsiaTheme="majorEastAsia" w:cstheme="majorBidi"/>
      <w:color w:val="272727" w:themeColor="text1" w:themeTint="D8"/>
    </w:rPr>
  </w:style>
  <w:style w:type="paragraph" w:styleId="Titolo">
    <w:name w:val="Title"/>
    <w:basedOn w:val="Normale"/>
    <w:next w:val="Normale"/>
    <w:link w:val="TitoloCarattere"/>
    <w:uiPriority w:val="10"/>
    <w:qFormat/>
    <w:rsid w:val="00D07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0774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0774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0774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0774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07749"/>
    <w:rPr>
      <w:i/>
      <w:iCs/>
      <w:color w:val="404040" w:themeColor="text1" w:themeTint="BF"/>
    </w:rPr>
  </w:style>
  <w:style w:type="paragraph" w:styleId="Paragrafoelenco">
    <w:name w:val="List Paragraph"/>
    <w:basedOn w:val="Normale"/>
    <w:uiPriority w:val="34"/>
    <w:qFormat/>
    <w:rsid w:val="00D07749"/>
    <w:pPr>
      <w:ind w:left="720"/>
      <w:contextualSpacing/>
    </w:pPr>
  </w:style>
  <w:style w:type="character" w:styleId="Enfasiintensa">
    <w:name w:val="Intense Emphasis"/>
    <w:basedOn w:val="Carpredefinitoparagrafo"/>
    <w:uiPriority w:val="21"/>
    <w:qFormat/>
    <w:rsid w:val="00D07749"/>
    <w:rPr>
      <w:i/>
      <w:iCs/>
      <w:color w:val="2F5496" w:themeColor="accent1" w:themeShade="BF"/>
    </w:rPr>
  </w:style>
  <w:style w:type="paragraph" w:styleId="Citazioneintensa">
    <w:name w:val="Intense Quote"/>
    <w:basedOn w:val="Normale"/>
    <w:next w:val="Normale"/>
    <w:link w:val="CitazioneintensaCarattere"/>
    <w:uiPriority w:val="30"/>
    <w:qFormat/>
    <w:rsid w:val="00D07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07749"/>
    <w:rPr>
      <w:i/>
      <w:iCs/>
      <w:color w:val="2F5496" w:themeColor="accent1" w:themeShade="BF"/>
    </w:rPr>
  </w:style>
  <w:style w:type="character" w:styleId="Riferimentointenso">
    <w:name w:val="Intense Reference"/>
    <w:basedOn w:val="Carpredefinitoparagrafo"/>
    <w:uiPriority w:val="32"/>
    <w:qFormat/>
    <w:rsid w:val="00D07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964</Words>
  <Characters>5501</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10</cp:revision>
  <dcterms:created xsi:type="dcterms:W3CDTF">2025-10-28T16:08:00Z</dcterms:created>
  <dcterms:modified xsi:type="dcterms:W3CDTF">2025-10-31T11:32:00Z</dcterms:modified>
</cp:coreProperties>
</file>