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CCCEE" w14:textId="70CFA240" w:rsidR="0015157E" w:rsidRDefault="00F30925" w:rsidP="00F3092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 e</w:t>
      </w:r>
      <w:r w:rsidR="00660D2A">
        <w:rPr>
          <w:rFonts w:ascii="Times New Roman" w:hAnsi="Times New Roman" w:cs="Times New Roman"/>
          <w:b/>
          <w:sz w:val="24"/>
          <w:szCs w:val="24"/>
        </w:rPr>
        <w:t>sposizioni pubblicitarie su strade statali</w:t>
      </w:r>
    </w:p>
    <w:p w14:paraId="2C5C32F1" w14:textId="77777777" w:rsidR="00F30925" w:rsidRDefault="00F30925" w:rsidP="00B967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Cosa succede quando si vuole installare un impianto pubblicitario visibile da strada statale gestita da ANAS? Chi deve rilasciare l’autorizzazione all’installazione? Quali canoni sono dovuti e a quale soggetto attivo?</w:t>
      </w:r>
    </w:p>
    <w:p w14:paraId="525C9E45" w14:textId="5F4A5849" w:rsidR="00892F90" w:rsidRDefault="00F30925" w:rsidP="00B967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Queste alcune domande a cui dare una risposta quando una società </w:t>
      </w:r>
      <w:r w:rsidR="00CD58C2">
        <w:rPr>
          <w:rFonts w:ascii="Times New Roman" w:hAnsi="Times New Roman" w:cs="Times New Roman"/>
          <w:sz w:val="24"/>
          <w:szCs w:val="24"/>
        </w:rPr>
        <w:t xml:space="preserve">intende installare un impianto pubblicitario su strada statale. </w:t>
      </w:r>
    </w:p>
    <w:p w14:paraId="1CFC2F9F" w14:textId="77777777" w:rsidR="000F30B8" w:rsidRDefault="00892F90" w:rsidP="00B967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 andiamo con ordine. La disciplina del Canone Unico Patrimoniale prevede al comma 816 che con la sua istituzione vengano sostituiti i precedenti prelievi</w:t>
      </w:r>
      <w:r w:rsidR="00B96783" w:rsidRPr="00B96783">
        <w:rPr>
          <w:rFonts w:ascii="Times New Roman" w:hAnsi="Times New Roman" w:cs="Times New Roman"/>
          <w:sz w:val="24"/>
          <w:szCs w:val="24"/>
        </w:rPr>
        <w:t>: TOSAP la tassa per l’occupazione di spazi ed aree pubbliche, COSAP il canone per l’occupazione di spazi ed aree pubbliche,</w:t>
      </w:r>
      <w:r w:rsidR="00B96783">
        <w:rPr>
          <w:rFonts w:ascii="Times New Roman" w:hAnsi="Times New Roman" w:cs="Times New Roman"/>
          <w:sz w:val="24"/>
          <w:szCs w:val="24"/>
        </w:rPr>
        <w:t xml:space="preserve"> </w:t>
      </w:r>
      <w:r w:rsidR="00B96783" w:rsidRPr="00B96783">
        <w:rPr>
          <w:rFonts w:ascii="Times New Roman" w:hAnsi="Times New Roman" w:cs="Times New Roman"/>
          <w:sz w:val="24"/>
          <w:szCs w:val="24"/>
        </w:rPr>
        <w:t xml:space="preserve">ICP E DPA l’imposta comunale sulla pubblicità e il diritto sulle pubbliche affissioni, CIMP il canone per l’installazione dei mezzi pubblicitari  </w:t>
      </w:r>
      <w:r w:rsidR="00B96783">
        <w:rPr>
          <w:rFonts w:ascii="Times New Roman" w:hAnsi="Times New Roman" w:cs="Times New Roman"/>
          <w:sz w:val="24"/>
          <w:szCs w:val="24"/>
        </w:rPr>
        <w:t xml:space="preserve">e infine </w:t>
      </w:r>
      <w:r w:rsidR="00B96783" w:rsidRPr="00B96783">
        <w:rPr>
          <w:rFonts w:ascii="Times New Roman" w:hAnsi="Times New Roman" w:cs="Times New Roman"/>
          <w:sz w:val="24"/>
          <w:szCs w:val="24"/>
        </w:rPr>
        <w:t>CANONE NON RICOGNITORIO</w:t>
      </w:r>
      <w:r w:rsidR="00B96783">
        <w:rPr>
          <w:rFonts w:ascii="Times New Roman" w:hAnsi="Times New Roman" w:cs="Times New Roman"/>
          <w:sz w:val="24"/>
          <w:szCs w:val="24"/>
        </w:rPr>
        <w:t xml:space="preserve">, ovvero </w:t>
      </w:r>
      <w:r w:rsidR="00B96783" w:rsidRPr="00B96783">
        <w:rPr>
          <w:rFonts w:ascii="Times New Roman" w:hAnsi="Times New Roman" w:cs="Times New Roman"/>
          <w:sz w:val="24"/>
          <w:szCs w:val="24"/>
        </w:rPr>
        <w:t xml:space="preserve"> il canone di cui all’articolo 27, commi 7 e 8, del codice della strada, di cui al decreto legislativo 30 aprile 1992, n. 285, limitatamente alle strade di pertinenza dei comuni e delle province. </w:t>
      </w:r>
    </w:p>
    <w:p w14:paraId="272E75F5" w14:textId="3E18299B" w:rsidR="00B96783" w:rsidRDefault="001C47A4" w:rsidP="00B967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Questo significa che per le strade di competenza ANAS il canone dell’articolo 27 del </w:t>
      </w:r>
      <w:proofErr w:type="spellStart"/>
      <w:r>
        <w:rPr>
          <w:rFonts w:ascii="Times New Roman" w:hAnsi="Times New Roman" w:cs="Times New Roman"/>
          <w:sz w:val="24"/>
          <w:szCs w:val="24"/>
        </w:rPr>
        <w:t>CdS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continua ad operare</w:t>
      </w:r>
      <w:r w:rsidR="000F30B8">
        <w:rPr>
          <w:rFonts w:ascii="Times New Roman" w:hAnsi="Times New Roman" w:cs="Times New Roman"/>
          <w:sz w:val="24"/>
          <w:szCs w:val="24"/>
        </w:rPr>
        <w:t xml:space="preserve"> e potrebbe essere applicato in</w:t>
      </w:r>
      <w:r w:rsidR="000975DA">
        <w:rPr>
          <w:rFonts w:ascii="Times New Roman" w:hAnsi="Times New Roman" w:cs="Times New Roman"/>
          <w:sz w:val="24"/>
          <w:szCs w:val="24"/>
        </w:rPr>
        <w:t xml:space="preserve"> aggiunta o in</w:t>
      </w:r>
      <w:r w:rsidR="000F30B8">
        <w:rPr>
          <w:rFonts w:ascii="Times New Roman" w:hAnsi="Times New Roman" w:cs="Times New Roman"/>
          <w:sz w:val="24"/>
          <w:szCs w:val="24"/>
        </w:rPr>
        <w:t xml:space="preserve"> alternativa al corrispettivo fissato dall’articolo 53 del regolamento di attuazione del </w:t>
      </w:r>
      <w:proofErr w:type="spellStart"/>
      <w:proofErr w:type="gramStart"/>
      <w:r w:rsidR="000F30B8">
        <w:rPr>
          <w:rFonts w:ascii="Times New Roman" w:hAnsi="Times New Roman" w:cs="Times New Roman"/>
          <w:sz w:val="24"/>
          <w:szCs w:val="24"/>
        </w:rPr>
        <w:t>CdS</w:t>
      </w:r>
      <w:proofErr w:type="spellEnd"/>
      <w:r w:rsidR="000F30B8">
        <w:rPr>
          <w:rFonts w:ascii="Times New Roman" w:hAnsi="Times New Roman" w:cs="Times New Roman"/>
          <w:sz w:val="24"/>
          <w:szCs w:val="24"/>
        </w:rPr>
        <w:t xml:space="preserve"> </w:t>
      </w:r>
      <w:r w:rsidR="00A2716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58B3319F" w14:textId="04D6BD26" w:rsidR="00A27161" w:rsidRDefault="00A27161" w:rsidP="00B96783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quanto riguarda la competenza del Comune in tema di rilascio dell’autorizzazione si deve precisare che </w:t>
      </w:r>
      <w:r w:rsidRPr="00A27161">
        <w:rPr>
          <w:rFonts w:ascii="Times New Roman" w:hAnsi="Times New Roman" w:cs="Times New Roman"/>
          <w:sz w:val="24"/>
          <w:szCs w:val="24"/>
        </w:rPr>
        <w:t>l’articolo 23 comma 4</w:t>
      </w:r>
      <w:r>
        <w:rPr>
          <w:rFonts w:ascii="Times New Roman" w:hAnsi="Times New Roman" w:cs="Times New Roman"/>
          <w:sz w:val="24"/>
          <w:szCs w:val="24"/>
        </w:rPr>
        <w:t xml:space="preserve"> del Codice della Strada prevede che: “</w:t>
      </w:r>
      <w:r w:rsidRPr="00A27161">
        <w:rPr>
          <w:rFonts w:ascii="Times New Roman" w:hAnsi="Times New Roman" w:cs="Times New Roman"/>
          <w:i/>
          <w:iCs/>
          <w:sz w:val="24"/>
          <w:szCs w:val="24"/>
        </w:rPr>
        <w:t>la collocazione di cartelli e di altri mezzi pubblicitari lungo le strade o in vista di esse è soggetta in ogni caso ad autorizzazione da parte dell’ente proprietario della strada nel rispetto delle presenti norme. Nell’interno dei centri abitati la competenza è dei comuni, salvo il preventivo nulla osta tecnico dell’ente proprietario se la strada è statale, regionale o provinciale</w:t>
      </w:r>
      <w:r>
        <w:rPr>
          <w:rFonts w:ascii="Times New Roman" w:hAnsi="Times New Roman" w:cs="Times New Roman"/>
          <w:sz w:val="24"/>
          <w:szCs w:val="24"/>
        </w:rPr>
        <w:t>.”</w:t>
      </w:r>
      <w:r w:rsidRPr="00A27161">
        <w:rPr>
          <w:rFonts w:ascii="Times New Roman" w:hAnsi="Times New Roman" w:cs="Times New Roman"/>
          <w:sz w:val="24"/>
          <w:szCs w:val="24"/>
        </w:rPr>
        <w:t xml:space="preserve"> </w:t>
      </w:r>
      <w:r w:rsidR="00664EC5">
        <w:rPr>
          <w:rFonts w:ascii="Times New Roman" w:hAnsi="Times New Roman" w:cs="Times New Roman"/>
          <w:sz w:val="24"/>
          <w:szCs w:val="24"/>
        </w:rPr>
        <w:t xml:space="preserve">Il </w:t>
      </w:r>
      <w:proofErr w:type="gramStart"/>
      <w:r w:rsidR="00664EC5">
        <w:rPr>
          <w:rFonts w:ascii="Times New Roman" w:hAnsi="Times New Roman" w:cs="Times New Roman"/>
          <w:sz w:val="24"/>
          <w:szCs w:val="24"/>
        </w:rPr>
        <w:t xml:space="preserve">successivo </w:t>
      </w:r>
      <w:r w:rsidRPr="00A27161">
        <w:rPr>
          <w:rFonts w:ascii="Times New Roman" w:hAnsi="Times New Roman" w:cs="Times New Roman"/>
          <w:sz w:val="24"/>
          <w:szCs w:val="24"/>
        </w:rPr>
        <w:t xml:space="preserve"> comma</w:t>
      </w:r>
      <w:proofErr w:type="gramEnd"/>
      <w:r w:rsidRPr="00A27161">
        <w:rPr>
          <w:rFonts w:ascii="Times New Roman" w:hAnsi="Times New Roman" w:cs="Times New Roman"/>
          <w:sz w:val="24"/>
          <w:szCs w:val="24"/>
        </w:rPr>
        <w:t xml:space="preserve"> </w:t>
      </w:r>
      <w:r w:rsidR="00664EC5">
        <w:rPr>
          <w:rFonts w:ascii="Times New Roman" w:hAnsi="Times New Roman" w:cs="Times New Roman"/>
          <w:sz w:val="24"/>
          <w:szCs w:val="24"/>
        </w:rPr>
        <w:t>3</w:t>
      </w:r>
      <w:r w:rsidRPr="00A27161">
        <w:rPr>
          <w:rFonts w:ascii="Times New Roman" w:hAnsi="Times New Roman" w:cs="Times New Roman"/>
          <w:sz w:val="24"/>
          <w:szCs w:val="24"/>
        </w:rPr>
        <w:t xml:space="preserve"> dell’articolo 26</w:t>
      </w:r>
      <w:r w:rsidR="00664EC5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="00664EC5">
        <w:rPr>
          <w:rFonts w:ascii="Times New Roman" w:hAnsi="Times New Roman" w:cs="Times New Roman"/>
          <w:sz w:val="24"/>
          <w:szCs w:val="24"/>
        </w:rPr>
        <w:t>CdS</w:t>
      </w:r>
      <w:proofErr w:type="spellEnd"/>
      <w:r w:rsidR="00664EC5">
        <w:rPr>
          <w:rFonts w:ascii="Times New Roman" w:hAnsi="Times New Roman" w:cs="Times New Roman"/>
          <w:sz w:val="24"/>
          <w:szCs w:val="24"/>
        </w:rPr>
        <w:t>, prevede invece che: “</w:t>
      </w:r>
      <w:r w:rsidRPr="00664EC5">
        <w:rPr>
          <w:rFonts w:ascii="Times New Roman" w:hAnsi="Times New Roman" w:cs="Times New Roman"/>
          <w:i/>
          <w:iCs/>
          <w:sz w:val="24"/>
          <w:szCs w:val="24"/>
        </w:rPr>
        <w:t xml:space="preserve"> Per i tratti di strade statali, regionali o provinciali, correnti nell’interno di centri abitati con popolazione inferiore a diecimila abitanti, il rilascio di concessioni e di autorizzazioni è di competenza del comune, previo nulla osta dell’ente proprietario della strada</w:t>
      </w:r>
      <w:r w:rsidR="00664EC5" w:rsidRPr="00664EC5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664EC5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C93EA7B" w14:textId="58255844" w:rsidR="00664EC5" w:rsidRDefault="00664EC5" w:rsidP="00B967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Questo sostanzialmente significa che all’interno dei centri abitati la competenza a rilasciare l’autorizzazione e a riscuotere il CUP è sempre e comunque del Comune</w:t>
      </w:r>
      <w:r w:rsidR="00FD6886">
        <w:rPr>
          <w:rFonts w:ascii="Times New Roman" w:hAnsi="Times New Roman" w:cs="Times New Roman"/>
          <w:sz w:val="24"/>
          <w:szCs w:val="24"/>
        </w:rPr>
        <w:t>, mentre a</w:t>
      </w:r>
      <w:r>
        <w:rPr>
          <w:rFonts w:ascii="Times New Roman" w:hAnsi="Times New Roman" w:cs="Times New Roman"/>
          <w:sz w:val="24"/>
          <w:szCs w:val="24"/>
        </w:rPr>
        <w:t xml:space="preserve">l di fuori la competenza al rilascio è a cura dell’ente proprietario della strada, </w:t>
      </w:r>
      <w:r w:rsidR="00FD6886">
        <w:rPr>
          <w:rFonts w:ascii="Times New Roman" w:hAnsi="Times New Roman" w:cs="Times New Roman"/>
          <w:sz w:val="24"/>
          <w:szCs w:val="24"/>
        </w:rPr>
        <w:t>pertanto,</w:t>
      </w:r>
      <w:r>
        <w:rPr>
          <w:rFonts w:ascii="Times New Roman" w:hAnsi="Times New Roman" w:cs="Times New Roman"/>
          <w:sz w:val="24"/>
          <w:szCs w:val="24"/>
        </w:rPr>
        <w:t xml:space="preserve"> per le strade statali</w:t>
      </w:r>
      <w:r w:rsidR="00FD688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sarà evidentemente l’ANAS. Per quanto riguarda poi l’applicazione del CUP, questo sarà sempre di competenza del Comune per quanto riguarda il presupposto pubblicitario</w:t>
      </w:r>
      <w:r w:rsidR="00FD6886">
        <w:rPr>
          <w:rFonts w:ascii="Times New Roman" w:hAnsi="Times New Roman" w:cs="Times New Roman"/>
          <w:sz w:val="24"/>
          <w:szCs w:val="24"/>
        </w:rPr>
        <w:t xml:space="preserve">, </w:t>
      </w:r>
      <w:r w:rsidR="00FD6886" w:rsidRPr="00FD6886">
        <w:rPr>
          <w:rFonts w:ascii="Times New Roman" w:hAnsi="Times New Roman" w:cs="Times New Roman"/>
          <w:sz w:val="24"/>
          <w:szCs w:val="24"/>
        </w:rPr>
        <w:t>così come accadeva con i precedenti prelievi</w:t>
      </w:r>
      <w:r>
        <w:rPr>
          <w:rFonts w:ascii="Times New Roman" w:hAnsi="Times New Roman" w:cs="Times New Roman"/>
          <w:sz w:val="24"/>
          <w:szCs w:val="24"/>
        </w:rPr>
        <w:t>. L’ANAS, potrà in ogni caso richiedere</w:t>
      </w:r>
      <w:r w:rsidR="001A4B40">
        <w:rPr>
          <w:rFonts w:ascii="Times New Roman" w:hAnsi="Times New Roman" w:cs="Times New Roman"/>
          <w:sz w:val="24"/>
          <w:szCs w:val="24"/>
        </w:rPr>
        <w:t xml:space="preserve"> da parte sua</w:t>
      </w:r>
      <w:r>
        <w:rPr>
          <w:rFonts w:ascii="Times New Roman" w:hAnsi="Times New Roman" w:cs="Times New Roman"/>
          <w:sz w:val="24"/>
          <w:szCs w:val="24"/>
        </w:rPr>
        <w:t xml:space="preserve"> il canone di cui all’articolo 27 del C</w:t>
      </w:r>
      <w:r w:rsidR="001A4B40">
        <w:rPr>
          <w:rFonts w:ascii="Times New Roman" w:hAnsi="Times New Roman" w:cs="Times New Roman"/>
          <w:sz w:val="24"/>
          <w:szCs w:val="24"/>
        </w:rPr>
        <w:t xml:space="preserve">odice </w:t>
      </w:r>
      <w:r>
        <w:rPr>
          <w:rFonts w:ascii="Times New Roman" w:hAnsi="Times New Roman" w:cs="Times New Roman"/>
          <w:sz w:val="24"/>
          <w:szCs w:val="24"/>
        </w:rPr>
        <w:t>d</w:t>
      </w:r>
      <w:r w:rsidR="001A4B40">
        <w:rPr>
          <w:rFonts w:ascii="Times New Roman" w:hAnsi="Times New Roman" w:cs="Times New Roman"/>
          <w:sz w:val="24"/>
          <w:szCs w:val="24"/>
        </w:rPr>
        <w:t xml:space="preserve">ella </w:t>
      </w:r>
      <w:r>
        <w:rPr>
          <w:rFonts w:ascii="Times New Roman" w:hAnsi="Times New Roman" w:cs="Times New Roman"/>
          <w:sz w:val="24"/>
          <w:szCs w:val="24"/>
        </w:rPr>
        <w:t>S</w:t>
      </w:r>
      <w:r w:rsidR="001A4B40">
        <w:rPr>
          <w:rFonts w:ascii="Times New Roman" w:hAnsi="Times New Roman" w:cs="Times New Roman"/>
          <w:sz w:val="24"/>
          <w:szCs w:val="24"/>
        </w:rPr>
        <w:t>trada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6D49">
        <w:rPr>
          <w:rFonts w:ascii="Times New Roman" w:hAnsi="Times New Roman" w:cs="Times New Roman"/>
          <w:sz w:val="24"/>
          <w:szCs w:val="24"/>
        </w:rPr>
        <w:t>oppure in alternativa</w:t>
      </w:r>
      <w:r>
        <w:rPr>
          <w:rFonts w:ascii="Times New Roman" w:hAnsi="Times New Roman" w:cs="Times New Roman"/>
          <w:sz w:val="24"/>
          <w:szCs w:val="24"/>
        </w:rPr>
        <w:t xml:space="preserve"> il corrispettivo previsto dall’articolo 53 del Regolamento di attuazione</w:t>
      </w:r>
      <w:r w:rsidR="00A12F6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00041B" w14:textId="77777777" w:rsidR="00E433F3" w:rsidRDefault="0027280E" w:rsidP="0027280E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D6886">
        <w:rPr>
          <w:rFonts w:ascii="Times New Roman" w:hAnsi="Times New Roman" w:cs="Times New Roman"/>
          <w:sz w:val="24"/>
          <w:szCs w:val="24"/>
        </w:rPr>
        <w:t xml:space="preserve">L’articolo 53 del </w:t>
      </w:r>
      <w:r w:rsidR="001A4B40">
        <w:rPr>
          <w:rFonts w:ascii="Times New Roman" w:hAnsi="Times New Roman" w:cs="Times New Roman"/>
          <w:sz w:val="24"/>
          <w:szCs w:val="24"/>
        </w:rPr>
        <w:t>R</w:t>
      </w:r>
      <w:r w:rsidRPr="00FD6886">
        <w:rPr>
          <w:rFonts w:ascii="Times New Roman" w:hAnsi="Times New Roman" w:cs="Times New Roman"/>
          <w:sz w:val="24"/>
          <w:szCs w:val="24"/>
        </w:rPr>
        <w:t xml:space="preserve">egolamento di attuazione del Cds prevede infatti al comma 1 che: </w:t>
      </w:r>
      <w:r w:rsidRPr="001A4B40">
        <w:rPr>
          <w:rFonts w:ascii="Times New Roman" w:hAnsi="Times New Roman" w:cs="Times New Roman"/>
          <w:i/>
          <w:iCs/>
          <w:sz w:val="24"/>
          <w:szCs w:val="24"/>
        </w:rPr>
        <w:t>“</w:t>
      </w:r>
      <w:r w:rsidR="00892F90" w:rsidRPr="001A4B40">
        <w:rPr>
          <w:rFonts w:ascii="Times New Roman" w:hAnsi="Times New Roman" w:cs="Times New Roman"/>
          <w:i/>
          <w:iCs/>
          <w:sz w:val="24"/>
          <w:szCs w:val="24"/>
        </w:rPr>
        <w:t xml:space="preserve">L'autorizzazione al posizionamento di cartelli, di insegne di esercizio e di altri mezzi pubblicitari </w:t>
      </w:r>
      <w:r w:rsidR="00892F90" w:rsidRPr="001A4B40">
        <w:rPr>
          <w:rFonts w:ascii="Times New Roman" w:hAnsi="Times New Roman" w:cs="Times New Roman"/>
          <w:i/>
          <w:iCs/>
          <w:sz w:val="24"/>
          <w:szCs w:val="24"/>
        </w:rPr>
        <w:lastRenderedPageBreak/>
        <w:t>fuori dai centri abitati, lungo le strade o in vista di essa, richiesta dall'articolo 23, comma 4, del Codice, è rilasciata:</w:t>
      </w:r>
    </w:p>
    <w:p w14:paraId="175FA4F4" w14:textId="7E91076B" w:rsidR="00892F90" w:rsidRPr="001A4B40" w:rsidRDefault="00892F90" w:rsidP="0027280E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A4B40">
        <w:rPr>
          <w:rFonts w:ascii="Times New Roman" w:hAnsi="Times New Roman" w:cs="Times New Roman"/>
          <w:i/>
          <w:iCs/>
          <w:sz w:val="24"/>
          <w:szCs w:val="24"/>
        </w:rPr>
        <w:t xml:space="preserve"> per le strade e le autostrade statali dalla direzione compartimentale dell'A.N.A.S. competente per territorio o dagli uffici speciali per le autostrade;</w:t>
      </w:r>
      <w:r w:rsidR="0027280E" w:rsidRPr="001A4B4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A4B4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a) </w:t>
      </w:r>
      <w:r w:rsidRPr="001A4B40">
        <w:rPr>
          <w:rFonts w:ascii="Times New Roman" w:hAnsi="Times New Roman" w:cs="Times New Roman"/>
          <w:i/>
          <w:iCs/>
          <w:sz w:val="24"/>
          <w:szCs w:val="24"/>
        </w:rPr>
        <w:t>per le autostrade in concessione dalla società concessionaria;</w:t>
      </w:r>
      <w:r w:rsidR="00E433F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A4B4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b) </w:t>
      </w:r>
      <w:r w:rsidRPr="001A4B40">
        <w:rPr>
          <w:rFonts w:ascii="Times New Roman" w:hAnsi="Times New Roman" w:cs="Times New Roman"/>
          <w:i/>
          <w:iCs/>
          <w:sz w:val="24"/>
          <w:szCs w:val="24"/>
        </w:rPr>
        <w:t>per le strade regionali, provinciali, comunali e di proprietà di altri enti, dalle rispettive amministrazioni;</w:t>
      </w:r>
      <w:r w:rsidR="00E433F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A4B4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c) </w:t>
      </w:r>
      <w:r w:rsidRPr="001A4B40">
        <w:rPr>
          <w:rFonts w:ascii="Times New Roman" w:hAnsi="Times New Roman" w:cs="Times New Roman"/>
          <w:i/>
          <w:iCs/>
          <w:sz w:val="24"/>
          <w:szCs w:val="24"/>
        </w:rPr>
        <w:t>per le strade militari dal comando territoriale competente.</w:t>
      </w:r>
      <w:r w:rsidR="0027280E" w:rsidRPr="001A4B40">
        <w:rPr>
          <w:rFonts w:ascii="Times New Roman" w:hAnsi="Times New Roman" w:cs="Times New Roman"/>
          <w:i/>
          <w:iCs/>
          <w:sz w:val="24"/>
          <w:szCs w:val="24"/>
        </w:rPr>
        <w:t>”. Mentre al successivo comma 7 stabilisce che: “</w:t>
      </w:r>
      <w:r w:rsidRPr="00E433F3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Il corrispettivo che il soggetto richiedente deve versare per il rilascio dell'autorizzazione deve essere determinabile da parte dello stesso soggetto </w:t>
      </w:r>
      <w:r w:rsidRPr="001A4B40">
        <w:rPr>
          <w:rFonts w:ascii="Times New Roman" w:hAnsi="Times New Roman" w:cs="Times New Roman"/>
          <w:i/>
          <w:iCs/>
          <w:sz w:val="24"/>
          <w:szCs w:val="24"/>
        </w:rPr>
        <w:t>sulla base di un prezzario annuale, comprensivo di tutti gli oneri, esclusi solo quelli previsti dall'articolo 405, che deve essere predisposto e reso pubblico da parte di ciascun ente competente entro il trentuno ottobre dell'anno precedente a quello di applicazione del listino.</w:t>
      </w:r>
      <w:r w:rsidR="0027280E" w:rsidRPr="001A4B40">
        <w:rPr>
          <w:rFonts w:ascii="Times New Roman" w:hAnsi="Times New Roman" w:cs="Times New Roman"/>
          <w:i/>
          <w:iCs/>
          <w:sz w:val="24"/>
          <w:szCs w:val="24"/>
        </w:rPr>
        <w:t>”</w:t>
      </w:r>
    </w:p>
    <w:p w14:paraId="2F46880F" w14:textId="58AD045D" w:rsidR="007819AE" w:rsidRPr="007819AE" w:rsidRDefault="007819AE" w:rsidP="007819AE">
      <w:pPr>
        <w:jc w:val="both"/>
        <w:rPr>
          <w:rFonts w:ascii="Times New Roman" w:hAnsi="Times New Roman" w:cs="Times New Roman"/>
          <w:sz w:val="24"/>
          <w:szCs w:val="24"/>
        </w:rPr>
      </w:pPr>
      <w:r w:rsidRPr="007819AE">
        <w:rPr>
          <w:rFonts w:ascii="Times New Roman" w:hAnsi="Times New Roman" w:cs="Times New Roman"/>
          <w:sz w:val="24"/>
          <w:szCs w:val="24"/>
        </w:rPr>
        <w:t>La determinazione del canone varia in funzione della tipologia di concessione.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Tuttavia i criteri generali sulla base dei quali sono calcolati gli importi dovuti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come corrispettivi delle autorizzazioni rilasciate dall'ANAS, come spiegato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nell'art.27 del Codice della Strada (</w:t>
      </w:r>
      <w:proofErr w:type="spellStart"/>
      <w:r w:rsidRPr="007819AE">
        <w:rPr>
          <w:rFonts w:ascii="Times New Roman" w:hAnsi="Times New Roman" w:cs="Times New Roman"/>
          <w:sz w:val="24"/>
          <w:szCs w:val="24"/>
        </w:rPr>
        <w:t>Dec</w:t>
      </w:r>
      <w:proofErr w:type="spellEnd"/>
      <w:r w:rsidRPr="007819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19AE">
        <w:rPr>
          <w:rFonts w:ascii="Times New Roman" w:hAnsi="Times New Roman" w:cs="Times New Roman"/>
          <w:sz w:val="24"/>
          <w:szCs w:val="24"/>
        </w:rPr>
        <w:t>Leg.vo</w:t>
      </w:r>
      <w:proofErr w:type="spellEnd"/>
      <w:r w:rsidRPr="007819AE">
        <w:rPr>
          <w:rFonts w:ascii="Times New Roman" w:hAnsi="Times New Roman" w:cs="Times New Roman"/>
          <w:sz w:val="24"/>
          <w:szCs w:val="24"/>
        </w:rPr>
        <w:t xml:space="preserve"> n.285/92), sono: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il grado di soggezione della strada</w:t>
      </w:r>
    </w:p>
    <w:p w14:paraId="00ADEBEA" w14:textId="39442C8C" w:rsidR="007819AE" w:rsidRPr="007819AE" w:rsidRDefault="007819AE" w:rsidP="007819AE">
      <w:pPr>
        <w:jc w:val="both"/>
        <w:rPr>
          <w:rFonts w:ascii="Times New Roman" w:hAnsi="Times New Roman" w:cs="Times New Roman"/>
          <w:sz w:val="24"/>
          <w:szCs w:val="24"/>
        </w:rPr>
      </w:pPr>
      <w:r w:rsidRPr="007819AE">
        <w:rPr>
          <w:rFonts w:ascii="Times New Roman" w:hAnsi="Times New Roman" w:cs="Times New Roman"/>
          <w:sz w:val="24"/>
          <w:szCs w:val="24"/>
        </w:rPr>
        <w:t>Soggezioni che derivano dalla strada, cioè i costi di manutenzione della strada derivanti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dall'apertura dell'accesso o dalla realizzazione dell'attraversamento</w:t>
      </w:r>
      <w:r>
        <w:rPr>
          <w:rFonts w:ascii="Times New Roman" w:hAnsi="Times New Roman" w:cs="Times New Roman"/>
          <w:sz w:val="24"/>
          <w:szCs w:val="24"/>
        </w:rPr>
        <w:t>. L</w:t>
      </w:r>
      <w:r w:rsidRPr="007819AE">
        <w:rPr>
          <w:rFonts w:ascii="Times New Roman" w:hAnsi="Times New Roman" w:cs="Times New Roman"/>
          <w:sz w:val="24"/>
          <w:szCs w:val="24"/>
        </w:rPr>
        <w:t>'installazione di cartelli pubblicitari lungo o in vista di una strada comporta maggiori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oneri di manutenzione, in quanto ogni cartello pubblicitario, oltre a costituire 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potenziale pericolo per la circolazione stradale in ipotesi di sua caduta sulla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carreggiata, interferisce comunque con la segnaletica stradale già esistente o 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successiva installazione, poiché l'ANAS deve costantemente verificare il rispetto delle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distanze minime di legge tra cartellonistica pubblicitaria e segnaletica stradale,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nonché tra le stesse ed i punti singolari della strada (curve, intersezioni, gallerie, ecc.).</w:t>
      </w:r>
    </w:p>
    <w:p w14:paraId="2B40164C" w14:textId="1B6D8EE2" w:rsidR="007819AE" w:rsidRPr="007819AE" w:rsidRDefault="007819AE" w:rsidP="007819AE">
      <w:pPr>
        <w:jc w:val="both"/>
        <w:rPr>
          <w:rFonts w:ascii="Times New Roman" w:hAnsi="Times New Roman" w:cs="Times New Roman"/>
          <w:sz w:val="24"/>
          <w:szCs w:val="24"/>
        </w:rPr>
      </w:pPr>
      <w:r w:rsidRPr="007819AE">
        <w:rPr>
          <w:rFonts w:ascii="Times New Roman" w:hAnsi="Times New Roman" w:cs="Times New Roman"/>
          <w:sz w:val="24"/>
          <w:szCs w:val="24"/>
        </w:rPr>
        <w:t>il valore economico della concessione</w:t>
      </w:r>
    </w:p>
    <w:p w14:paraId="472B2B56" w14:textId="1D34A180" w:rsidR="007819AE" w:rsidRPr="007819AE" w:rsidRDefault="007819AE" w:rsidP="007819AE">
      <w:pPr>
        <w:jc w:val="both"/>
        <w:rPr>
          <w:rFonts w:ascii="Times New Roman" w:hAnsi="Times New Roman" w:cs="Times New Roman"/>
          <w:sz w:val="24"/>
          <w:szCs w:val="24"/>
        </w:rPr>
      </w:pPr>
      <w:r w:rsidRPr="007819AE">
        <w:rPr>
          <w:rFonts w:ascii="Times New Roman" w:hAnsi="Times New Roman" w:cs="Times New Roman"/>
          <w:sz w:val="24"/>
          <w:szCs w:val="24"/>
        </w:rPr>
        <w:t>il vantaggio che l'utente ricava dalla concessione. Vantaggio economico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che ricava il titolare del cartello pubblicitario ovvero colui che gode del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passaggio sulla strada pubblica. Tale vantaggio si evidenzia rispetto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soluzioni alternative che potrebbero comportare percorsi più lunghi 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meno agevoli.</w:t>
      </w:r>
    </w:p>
    <w:p w14:paraId="03994DAE" w14:textId="0AC17FAF" w:rsidR="007819AE" w:rsidRPr="007819AE" w:rsidRDefault="007819AE" w:rsidP="007819AE">
      <w:pPr>
        <w:jc w:val="both"/>
        <w:rPr>
          <w:rFonts w:ascii="Times New Roman" w:hAnsi="Times New Roman" w:cs="Times New Roman"/>
          <w:sz w:val="24"/>
          <w:szCs w:val="24"/>
        </w:rPr>
      </w:pPr>
      <w:r w:rsidRPr="007819AE">
        <w:rPr>
          <w:rFonts w:ascii="Times New Roman" w:hAnsi="Times New Roman" w:cs="Times New Roman"/>
          <w:sz w:val="24"/>
          <w:szCs w:val="24"/>
        </w:rPr>
        <w:t>Il calcolo del canone dipende inoltre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dal volume di traffico attraversante la strada dove ricade l'interferenza.</w:t>
      </w:r>
    </w:p>
    <w:p w14:paraId="27815825" w14:textId="511DE89C" w:rsidR="007819AE" w:rsidRPr="007819AE" w:rsidRDefault="007819AE" w:rsidP="007819AE">
      <w:pPr>
        <w:jc w:val="both"/>
        <w:rPr>
          <w:rFonts w:ascii="Times New Roman" w:hAnsi="Times New Roman" w:cs="Times New Roman"/>
          <w:sz w:val="24"/>
          <w:szCs w:val="24"/>
        </w:rPr>
      </w:pPr>
      <w:r w:rsidRPr="007819AE">
        <w:rPr>
          <w:rFonts w:ascii="Times New Roman" w:hAnsi="Times New Roman" w:cs="Times New Roman"/>
          <w:sz w:val="24"/>
          <w:szCs w:val="24"/>
        </w:rPr>
        <w:t>La somma dovuta dal concessionario sarà determinata, da una parte, dai costi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che l'ANAS sostiene per l'interferenza stradale (costi che si ripercuotono sulle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strade e relative pertinenze, beni che questo ente deve istituzionalmente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mantenere e tutelare per conto dello Stato), e dall'altra, dal vantaggio di chi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utilizza l'accesso (di chi ad esempio affitterà lo spazio pubblicitario contenuto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nell'impianto). Le formule che determinano in pratica i canoni dell'ANAS sono</w:t>
      </w:r>
      <w:r w:rsidR="00660D2A"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disposte annualmente con provvedimento dell'ANAS e pubblicate sulla Gazzetta</w:t>
      </w:r>
      <w:r w:rsidR="00660D2A"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Ufficiale della Repubblica italiana.</w:t>
      </w:r>
    </w:p>
    <w:p w14:paraId="6B91DCDB" w14:textId="63D5FA0E" w:rsidR="007819AE" w:rsidRPr="00B361E2" w:rsidRDefault="007819AE" w:rsidP="007819AE">
      <w:pPr>
        <w:jc w:val="both"/>
        <w:rPr>
          <w:rFonts w:ascii="Times New Roman" w:hAnsi="Times New Roman" w:cs="Times New Roman"/>
          <w:sz w:val="24"/>
          <w:szCs w:val="24"/>
        </w:rPr>
      </w:pPr>
      <w:r w:rsidRPr="007819AE">
        <w:rPr>
          <w:rFonts w:ascii="Times New Roman" w:hAnsi="Times New Roman" w:cs="Times New Roman"/>
          <w:sz w:val="24"/>
          <w:szCs w:val="24"/>
        </w:rPr>
        <w:lastRenderedPageBreak/>
        <w:t>Per quanto concerne le concessioni pubblicitarie ogni anno, entro il mese di</w:t>
      </w:r>
      <w:r w:rsidR="00660D2A"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ottobre è pubblicato sulla G.U. un prezziario di riferimento nel quale sono</w:t>
      </w:r>
      <w:r w:rsidR="00660D2A">
        <w:rPr>
          <w:rFonts w:ascii="Times New Roman" w:hAnsi="Times New Roman" w:cs="Times New Roman"/>
          <w:sz w:val="24"/>
          <w:szCs w:val="24"/>
        </w:rPr>
        <w:t xml:space="preserve"> </w:t>
      </w:r>
      <w:r w:rsidRPr="007819AE">
        <w:rPr>
          <w:rFonts w:ascii="Times New Roman" w:hAnsi="Times New Roman" w:cs="Times New Roman"/>
          <w:sz w:val="24"/>
          <w:szCs w:val="24"/>
        </w:rPr>
        <w:t>indicati gli importi per ogni tipo di pubblicità.</w:t>
      </w:r>
    </w:p>
    <w:sectPr w:rsidR="007819AE" w:rsidRPr="00B361E2" w:rsidSect="0015157E">
      <w:pgSz w:w="11906" w:h="16838"/>
      <w:pgMar w:top="2410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9F57F" w14:textId="77777777" w:rsidR="006B4437" w:rsidRDefault="006B4437" w:rsidP="0015157E">
      <w:pPr>
        <w:spacing w:after="0" w:line="240" w:lineRule="auto"/>
      </w:pPr>
      <w:r>
        <w:separator/>
      </w:r>
    </w:p>
  </w:endnote>
  <w:endnote w:type="continuationSeparator" w:id="0">
    <w:p w14:paraId="3BA50134" w14:textId="77777777" w:rsidR="006B4437" w:rsidRDefault="006B4437" w:rsidP="00151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FD7CB" w14:textId="77777777" w:rsidR="006B4437" w:rsidRDefault="006B4437" w:rsidP="0015157E">
      <w:pPr>
        <w:spacing w:after="0" w:line="240" w:lineRule="auto"/>
      </w:pPr>
      <w:r>
        <w:separator/>
      </w:r>
    </w:p>
  </w:footnote>
  <w:footnote w:type="continuationSeparator" w:id="0">
    <w:p w14:paraId="06523EE7" w14:textId="77777777" w:rsidR="006B4437" w:rsidRDefault="006B4437" w:rsidP="001515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157E"/>
    <w:rsid w:val="0005041D"/>
    <w:rsid w:val="0008529F"/>
    <w:rsid w:val="000975DA"/>
    <w:rsid w:val="000D64AB"/>
    <w:rsid w:val="000F30B8"/>
    <w:rsid w:val="0015157E"/>
    <w:rsid w:val="001A4B40"/>
    <w:rsid w:val="001C47A4"/>
    <w:rsid w:val="001C4D28"/>
    <w:rsid w:val="001D0852"/>
    <w:rsid w:val="001E6836"/>
    <w:rsid w:val="0027280E"/>
    <w:rsid w:val="00357E20"/>
    <w:rsid w:val="003A244A"/>
    <w:rsid w:val="003E15EA"/>
    <w:rsid w:val="004B76E8"/>
    <w:rsid w:val="005B39C6"/>
    <w:rsid w:val="005F4FE8"/>
    <w:rsid w:val="00601717"/>
    <w:rsid w:val="00660D2A"/>
    <w:rsid w:val="00664EC5"/>
    <w:rsid w:val="006B4437"/>
    <w:rsid w:val="00711638"/>
    <w:rsid w:val="007819AE"/>
    <w:rsid w:val="007B683C"/>
    <w:rsid w:val="007F489F"/>
    <w:rsid w:val="00806D7B"/>
    <w:rsid w:val="00812BB6"/>
    <w:rsid w:val="00892F90"/>
    <w:rsid w:val="0090185F"/>
    <w:rsid w:val="009244D4"/>
    <w:rsid w:val="00A00024"/>
    <w:rsid w:val="00A12F65"/>
    <w:rsid w:val="00A27161"/>
    <w:rsid w:val="00AB3E60"/>
    <w:rsid w:val="00AD186C"/>
    <w:rsid w:val="00B03360"/>
    <w:rsid w:val="00B361E2"/>
    <w:rsid w:val="00B57AA4"/>
    <w:rsid w:val="00B96783"/>
    <w:rsid w:val="00BC5D50"/>
    <w:rsid w:val="00C54D4C"/>
    <w:rsid w:val="00C916B2"/>
    <w:rsid w:val="00CD58C2"/>
    <w:rsid w:val="00D26514"/>
    <w:rsid w:val="00D93ACC"/>
    <w:rsid w:val="00DA6D49"/>
    <w:rsid w:val="00E402B9"/>
    <w:rsid w:val="00E433F3"/>
    <w:rsid w:val="00E76883"/>
    <w:rsid w:val="00ED4CF6"/>
    <w:rsid w:val="00ED55CF"/>
    <w:rsid w:val="00ED6ACB"/>
    <w:rsid w:val="00F30925"/>
    <w:rsid w:val="00F44480"/>
    <w:rsid w:val="00F856A4"/>
    <w:rsid w:val="00FD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F3E1F"/>
  <w15:docId w15:val="{B56F3B63-CFFF-4357-855E-8510DE26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15157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5157E"/>
  </w:style>
  <w:style w:type="paragraph" w:styleId="Pidipagina">
    <w:name w:val="footer"/>
    <w:basedOn w:val="Normale"/>
    <w:link w:val="PidipaginaCarattere"/>
    <w:uiPriority w:val="99"/>
    <w:unhideWhenUsed/>
    <w:rsid w:val="0015157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5157E"/>
  </w:style>
  <w:style w:type="paragraph" w:styleId="Paragrafoelenco">
    <w:name w:val="List Paragraph"/>
    <w:basedOn w:val="Normale"/>
    <w:uiPriority w:val="34"/>
    <w:qFormat/>
    <w:rsid w:val="00812BB6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892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892F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22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19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7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67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71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alessandro merciari</cp:lastModifiedBy>
  <cp:revision>10</cp:revision>
  <cp:lastPrinted>2022-01-05T11:23:00Z</cp:lastPrinted>
  <dcterms:created xsi:type="dcterms:W3CDTF">2022-07-27T11:23:00Z</dcterms:created>
  <dcterms:modified xsi:type="dcterms:W3CDTF">2022-09-21T14:35:00Z</dcterms:modified>
</cp:coreProperties>
</file>