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4675" w14:textId="144D0523" w:rsidR="00060149" w:rsidRDefault="00F51757">
      <w:r>
        <w:t xml:space="preserve">Articolo: </w:t>
      </w:r>
      <w:r w:rsidRPr="00F51757">
        <w:t xml:space="preserve">Gli impianti pubblicitari su strada provinciale pagano due volte il </w:t>
      </w:r>
      <w:r w:rsidR="00E57365">
        <w:t>CUP</w:t>
      </w:r>
    </w:p>
    <w:p w14:paraId="5276F6BA" w14:textId="5CCD45FD" w:rsidR="00F51757" w:rsidRDefault="00F51757">
      <w:r>
        <w:t>Di Alessandro Merciari</w:t>
      </w:r>
    </w:p>
    <w:p w14:paraId="6C072022" w14:textId="77777777" w:rsidR="00F51757" w:rsidRDefault="00F51757"/>
    <w:p w14:paraId="362CEAFE" w14:textId="56AA6708" w:rsidR="00F51757" w:rsidRDefault="00F51757" w:rsidP="00F51757">
      <w:pPr>
        <w:jc w:val="both"/>
      </w:pPr>
      <w:r>
        <w:t xml:space="preserve">Più volte </w:t>
      </w:r>
      <w:r>
        <w:t xml:space="preserve">in questi anni </w:t>
      </w:r>
      <w:r>
        <w:t>abbiamo scritto come il Legislatore</w:t>
      </w:r>
      <w:r>
        <w:t>,</w:t>
      </w:r>
      <w:r>
        <w:t xml:space="preserve"> nell’introdurre la disciplina del Canone Unico</w:t>
      </w:r>
      <w:r>
        <w:t>,</w:t>
      </w:r>
      <w:r>
        <w:t xml:space="preserve"> non sia</w:t>
      </w:r>
      <w:r>
        <w:t xml:space="preserve"> </w:t>
      </w:r>
      <w:r>
        <w:t>riuscito a ben delimitare le competenze tra i soggetti attivi individuati al comma 816 della legge</w:t>
      </w:r>
      <w:r>
        <w:t xml:space="preserve"> </w:t>
      </w:r>
      <w:r>
        <w:t>160/2019, ossia i Comuni, le Province e le Città Metropolitane. A creare incertezza è stato</w:t>
      </w:r>
      <w:r>
        <w:t xml:space="preserve"> </w:t>
      </w:r>
      <w:r>
        <w:t>sicuramente il testo del comma 818 con il quale è stata definita la competenza</w:t>
      </w:r>
      <w:r>
        <w:t xml:space="preserve"> </w:t>
      </w:r>
      <w:r>
        <w:t>comunale comprendendo tutti i tratti di strada situati all'interno di centri abitati con popolazione</w:t>
      </w:r>
      <w:r>
        <w:t xml:space="preserve"> </w:t>
      </w:r>
      <w:r>
        <w:t>superiore a 10mila abitanti. Definizione criptica e incompleta, oggetto peraltro di recente modifica,</w:t>
      </w:r>
      <w:r>
        <w:t xml:space="preserve"> </w:t>
      </w:r>
      <w:r>
        <w:t>che ha generato parecchi dubbi sulla sua reale portata.</w:t>
      </w:r>
    </w:p>
    <w:p w14:paraId="2107A36C" w14:textId="358A9F06" w:rsidR="00F51757" w:rsidRDefault="00F51757" w:rsidP="00F51757">
      <w:pPr>
        <w:jc w:val="both"/>
      </w:pPr>
      <w:r>
        <w:t>Nonostante il testo letterale della norma, si era</w:t>
      </w:r>
      <w:r>
        <w:t xml:space="preserve"> già diffuso l’orientamento che voleva la componente</w:t>
      </w:r>
      <w:r>
        <w:t xml:space="preserve"> </w:t>
      </w:r>
      <w:r>
        <w:t>pubblicitaria di totale competenza dei comuni, su tutto il territorio comunale, indipendentemente</w:t>
      </w:r>
      <w:r>
        <w:t xml:space="preserve"> </w:t>
      </w:r>
      <w:r>
        <w:t>dalla proprietà della strada da cui viene diffuso il messaggio. In questo senso il comma 818 è</w:t>
      </w:r>
      <w:r>
        <w:t xml:space="preserve"> </w:t>
      </w:r>
      <w:r>
        <w:t>sempre stato letto</w:t>
      </w:r>
      <w:r>
        <w:t xml:space="preserve"> </w:t>
      </w:r>
      <w:r>
        <w:t>come rivolto esclusivamente alla componente di presupposto individuata alla</w:t>
      </w:r>
      <w:r>
        <w:t xml:space="preserve"> </w:t>
      </w:r>
      <w:r>
        <w:t>lettera A del comma 819 della legge 160/2019, ossia il presupposto legato all’occupazione di suolo</w:t>
      </w:r>
      <w:r>
        <w:t xml:space="preserve"> </w:t>
      </w:r>
      <w:r>
        <w:t>pubblico.</w:t>
      </w:r>
    </w:p>
    <w:p w14:paraId="4C9A190E" w14:textId="50972654" w:rsidR="00F51757" w:rsidRDefault="00F51757" w:rsidP="00F51757">
      <w:pPr>
        <w:jc w:val="both"/>
      </w:pPr>
      <w:r>
        <w:t>La nozione di Canone “unico” non trova applicazione nel senso della fusione delle quote oggetto di</w:t>
      </w:r>
      <w:r>
        <w:t xml:space="preserve"> </w:t>
      </w:r>
      <w:r>
        <w:t>prelievo di competenza di enti diversi, non essendo tale confluenza prevista da alcun passo della</w:t>
      </w:r>
      <w:r>
        <w:t xml:space="preserve"> </w:t>
      </w:r>
      <w:r>
        <w:t>legge 160/2019. Quindi, la Provincia o la Città Metropolitana continuerà, come in passato, a</w:t>
      </w:r>
      <w:r>
        <w:t xml:space="preserve"> </w:t>
      </w:r>
      <w:r>
        <w:t>riscuotere il canone relativo alle occupazioni su strade provinciali fuori dai centri abitati e sui tratti</w:t>
      </w:r>
      <w:r>
        <w:t xml:space="preserve"> </w:t>
      </w:r>
      <w:r>
        <w:t>delle strade provinciali che corrono all'interno dei centri abitati dei Comuni con popolazione</w:t>
      </w:r>
      <w:r>
        <w:t xml:space="preserve"> </w:t>
      </w:r>
      <w:r>
        <w:t>inferiore a 10.000 abitanti.</w:t>
      </w:r>
    </w:p>
    <w:p w14:paraId="1CCE874E" w14:textId="2647518A" w:rsidR="00F51757" w:rsidRDefault="00F51757" w:rsidP="00F51757">
      <w:pPr>
        <w:jc w:val="both"/>
      </w:pPr>
      <w:r>
        <w:t>Il comma 819 chiarisce che il canone è costituito da due autonomi presupposti, ovvero, quello</w:t>
      </w:r>
      <w:r>
        <w:t xml:space="preserve"> </w:t>
      </w:r>
      <w:r>
        <w:t>relativo all'occupazione delle aree appartenenti al demanio o al patrimonio indisponibile degli enti</w:t>
      </w:r>
      <w:r>
        <w:t xml:space="preserve"> </w:t>
      </w:r>
      <w:r>
        <w:t>e degli spazi soprastanti o sottostanti il suolo pubblico, e quello relativo alla diffusione di</w:t>
      </w:r>
      <w:r>
        <w:t xml:space="preserve"> </w:t>
      </w:r>
      <w:r>
        <w:t>messaggi pubblicitari, mediante impianti installati su aree appartenenti al demanio o al</w:t>
      </w:r>
      <w:r>
        <w:t xml:space="preserve"> </w:t>
      </w:r>
      <w:r>
        <w:t>patrimonio indisponibile degli enti, su beni privati laddove siano visibili da luogo pubblico o</w:t>
      </w:r>
      <w:r>
        <w:t xml:space="preserve"> </w:t>
      </w:r>
      <w:r>
        <w:t>aperto al pubblico del territorio comunale, ovvero all’esterno di veicoli adibiti a uso pubblico o a</w:t>
      </w:r>
      <w:r>
        <w:t xml:space="preserve"> </w:t>
      </w:r>
      <w:r>
        <w:t>uso privato.</w:t>
      </w:r>
    </w:p>
    <w:p w14:paraId="38E1D98B" w14:textId="66696649" w:rsidR="00F51757" w:rsidRDefault="00F51757" w:rsidP="00F51757">
      <w:pPr>
        <w:jc w:val="both"/>
      </w:pPr>
      <w:r>
        <w:t>Il canone spettante alla Provincia o alla Città metropolitana ed il canone spettante al Comune si</w:t>
      </w:r>
      <w:r>
        <w:t xml:space="preserve"> </w:t>
      </w:r>
      <w:r>
        <w:t>basano su due presupposti autonomi e diversi; ogni ente è un autonomo soggetto attivo ed ha</w:t>
      </w:r>
      <w:r>
        <w:t xml:space="preserve"> </w:t>
      </w:r>
      <w:r>
        <w:t>autonoma facoltà regolamentare e tariffaria.</w:t>
      </w:r>
    </w:p>
    <w:p w14:paraId="688ABFBB" w14:textId="1235A46A" w:rsidR="00F51757" w:rsidRDefault="00F51757" w:rsidP="00F51757">
      <w:pPr>
        <w:jc w:val="both"/>
      </w:pPr>
      <w:r>
        <w:t>Ecco che il principio dell’assorbimento stabilito dal successivo comma 820 non può che valere nei</w:t>
      </w:r>
      <w:r>
        <w:t xml:space="preserve"> </w:t>
      </w:r>
      <w:r>
        <w:t>confronti di un unico soggetto attivo, e quindi solo nei confronti del Comune, unica ipotesi in cui la</w:t>
      </w:r>
      <w:r>
        <w:t xml:space="preserve"> </w:t>
      </w:r>
      <w:r>
        <w:t>medesima occupazione può dar luogo sia ad un prelievo collegato all’occupazione sia ad un</w:t>
      </w:r>
      <w:r>
        <w:t xml:space="preserve"> </w:t>
      </w:r>
      <w:r>
        <w:t>prelievo collegato alla diffusione di messaggi pubblicitari.</w:t>
      </w:r>
    </w:p>
    <w:p w14:paraId="765FE925" w14:textId="263FE70A" w:rsidR="00F51757" w:rsidRDefault="00F51757" w:rsidP="00F51757">
      <w:pPr>
        <w:jc w:val="both"/>
      </w:pPr>
      <w:r>
        <w:t>Nell’andare quindi a consolidare l’orientamento che vuole la competenza esclusiva dei Comuni in</w:t>
      </w:r>
      <w:r>
        <w:t xml:space="preserve"> </w:t>
      </w:r>
      <w:r>
        <w:t>materia di prelievo sulla pubblicità, in continuità con quanto già avveniva in materia di Imposta</w:t>
      </w:r>
      <w:r>
        <w:t xml:space="preserve"> </w:t>
      </w:r>
      <w:r>
        <w:t>Comunale sulla Pubblicità,</w:t>
      </w:r>
      <w:r>
        <w:t xml:space="preserve"> analizziamo una recente sentenza </w:t>
      </w:r>
      <w:r w:rsidR="00656B77">
        <w:t xml:space="preserve">della Corte d’appello di Ancona, la numero 366 del 26 febbraio 2025 con la quale i giudici </w:t>
      </w:r>
      <w:r w:rsidR="00E57365">
        <w:t>avevano</w:t>
      </w:r>
      <w:r w:rsidR="00656B77">
        <w:t xml:space="preserve"> respinto l’appello di una azienda pubblicitaria che si opponeva al pagamento del Canone Unico a due distinti enti per lo stesso manufatto.</w:t>
      </w:r>
    </w:p>
    <w:p w14:paraId="069D2B4B" w14:textId="4E3DDA7E" w:rsidR="00656B77" w:rsidRDefault="00656B77" w:rsidP="00656B77">
      <w:pPr>
        <w:jc w:val="both"/>
      </w:pPr>
      <w:r>
        <w:t>L’appellante riteneva</w:t>
      </w:r>
      <w:r w:rsidR="00E57365">
        <w:t xml:space="preserve"> </w:t>
      </w:r>
      <w:r>
        <w:t xml:space="preserve">che poiché gli impianti pubblicitari </w:t>
      </w:r>
      <w:r w:rsidR="00E57365">
        <w:t>erano</w:t>
      </w:r>
      <w:r>
        <w:t xml:space="preserve"> stati autorizzati dalla Provincia e si trova</w:t>
      </w:r>
      <w:r w:rsidR="00E57365">
        <w:t>va</w:t>
      </w:r>
      <w:r>
        <w:t>no su strade appartenenti al demanio provinciale, non sussist</w:t>
      </w:r>
      <w:r w:rsidR="00E57365">
        <w:t>eva</w:t>
      </w:r>
      <w:r>
        <w:t xml:space="preserve"> la titolarità del Comune appellato ad esigere il canone unico.</w:t>
      </w:r>
    </w:p>
    <w:p w14:paraId="0865AD39" w14:textId="5692865B" w:rsidR="00656B77" w:rsidRDefault="00656B77" w:rsidP="00656B77">
      <w:pPr>
        <w:jc w:val="both"/>
      </w:pPr>
      <w:r>
        <w:t xml:space="preserve">Ritiene tuttavia la Corte che la nuova normativa vada interpretata a favore del mantenimento del precedente assetto normativo - con riguardo alla soggettività tributaria del Comune, unico attivamente legittimato a pretendere e riscuotere l'imposta per i messaggi pubblicitari diffusi sul territorio comunale (l'ex Imposta </w:t>
      </w:r>
      <w:r>
        <w:lastRenderedPageBreak/>
        <w:t xml:space="preserve">Comunale sulla Pubblicità, </w:t>
      </w:r>
      <w:proofErr w:type="spellStart"/>
      <w:r>
        <w:t>breviter</w:t>
      </w:r>
      <w:proofErr w:type="spellEnd"/>
      <w:r>
        <w:t xml:space="preserve"> ICP) e ciò proprio facendo riferimento a quanto disposto al comma 819 dell'art. 1 della Lg. n. 160/2019 che mantiene, infatti, nettamente distinti i presupposti impositivi del canone.</w:t>
      </w:r>
    </w:p>
    <w:p w14:paraId="69097C0D" w14:textId="68E0FD02" w:rsidR="00E57365" w:rsidRDefault="00E57365" w:rsidP="00656B77">
      <w:pPr>
        <w:jc w:val="both"/>
      </w:pPr>
      <w:r>
        <w:t>Si legge nella sentenza: “</w:t>
      </w:r>
      <w:r w:rsidRPr="00E57365">
        <w:rPr>
          <w:i/>
          <w:iCs/>
        </w:rPr>
        <w:t>In altri termini, poiché il legislatore ha riprodotto, nella loro ontologica diversità, i presupposti impositivi del canone, così come esistenti nella vigenza dei due diversi tributi della TOSAP (la Tassa per l'Occupazione di Spazi e Aree Pubbliche) e dell'ICP (Imposta Comunale sulla Pubblicità), deve ritenersi che anche il Canone Unico abbia natura “bicefala” e ciò anche in considerazione del fatto che, con il comma 820, il legislatore ha inteso impedire la duplicazione d'imposta disponendo che, allorquando sia prevista l'applicazione del canone per l'installazione di messaggi pubblicitari non si faccia luogo anche all'applicazione del canone per l'occupazione del suolo pubblico su cui insistono gli impianti. Trattasi di ipotesi che - ricorrendo solo quando la legittimazione ad imporre entrambi i tributi, per l'occupazione del suolo e per i messaggi pubblicitari dovesse concentrarsi in capo a un unico ente - consente di confermare la duplicità dei presupposti impositivi che la L. n. 160/2019 ha inteso mantenere.</w:t>
      </w:r>
      <w:r>
        <w:rPr>
          <w:i/>
          <w:iCs/>
        </w:rPr>
        <w:t xml:space="preserve"> </w:t>
      </w:r>
      <w:r w:rsidRPr="00E57365">
        <w:rPr>
          <w:i/>
          <w:iCs/>
        </w:rPr>
        <w:t>Il Canone spettante alla Provincia o alla Città metropolitana ed il Canone spettante al Comune si basano, dunque, su due presupposti autonomi e diversi; ogni ente è un autonomo soggetto attivo ed ha autonoma facoltà regolamentare e tariffaria; il principio dell'assorbimento stabilito dal comma 820 non può che valere nei confronti di un unico soggetto attivo</w:t>
      </w:r>
      <w:r>
        <w:rPr>
          <w:i/>
          <w:iCs/>
        </w:rPr>
        <w:t>…</w:t>
      </w:r>
      <w:r w:rsidRPr="00E57365">
        <w:rPr>
          <w:i/>
          <w:iCs/>
        </w:rPr>
        <w:t>”</w:t>
      </w:r>
    </w:p>
    <w:p w14:paraId="3A153545" w14:textId="77777777" w:rsidR="00656B77" w:rsidRDefault="00656B77" w:rsidP="00E57365">
      <w:pPr>
        <w:jc w:val="both"/>
      </w:pPr>
      <w:r w:rsidRPr="00E57365">
        <w:t>Un ulteriore argomento a sostegno della tesi che conferma la legittimazione attiva dei soli Comuni a riscuotere il canone per i messaggi pubblicitari promananti da impianti collocati all'interno del territorio comunale è rappresentato dal comma 817 con cui il Legislatore ha inteso assicurare un gettito pari a quello conseguito dai canoni e dai tributi che sono sostituiti dal canone, fatta salva, in ogni caso, la possibilità di variare il gettito attraverso la modifica delle tariffe: sarebbe, invero, impossibile per i Comuni conseguire l'obiettivo dell'invarianza del gettito se questi fossero privati tout court dell'entrata tributaria loro assicurata dalla precedent</w:t>
      </w:r>
      <w:r>
        <w:t>e vigenza dell'ICP.</w:t>
      </w:r>
    </w:p>
    <w:p w14:paraId="303ED191" w14:textId="77777777" w:rsidR="00656B77" w:rsidRPr="00E57365" w:rsidRDefault="00656B77" w:rsidP="00E57365">
      <w:pPr>
        <w:jc w:val="both"/>
        <w:rPr>
          <w:i/>
          <w:iCs/>
        </w:rPr>
      </w:pPr>
      <w:r>
        <w:t xml:space="preserve">I giudici concludono:  </w:t>
      </w:r>
      <w:r w:rsidRPr="00E57365">
        <w:rPr>
          <w:i/>
          <w:iCs/>
        </w:rPr>
        <w:t xml:space="preserve">“Deve, quindi, ritenersi che per le Province e Città Metropolitane, la legge istitutiva del CUP non ha cambiato nulla rispetto al passato: mentre prima della sua entrata in vigore tali enti riscuotevano il COSAP (Canone occupazione suolo pubblico) per i mezzi pubblicitari posizionati direttamente lungo le strade di loro proprietà e, per lo stesso impianto, il Comune riscuoteva il gettito dell'Imposta Comunale sulla Pubblicità, oggi, per effetto della nuova disciplina, continueranno a riscuotere la componente legata all'occupazione del suolo pubblico, in base al presupposto del comma 819, lettera A; mentre il Comune riscuoterà il Cup per la sua componente, legata alla superficie espositiva del mezzo pubblicitario (presupposto comma 819 lettera B). </w:t>
      </w:r>
    </w:p>
    <w:p w14:paraId="74FA8662" w14:textId="77777777" w:rsidR="00656B77" w:rsidRPr="00E57365" w:rsidRDefault="00656B77" w:rsidP="00E57365">
      <w:pPr>
        <w:jc w:val="both"/>
        <w:rPr>
          <w:i/>
          <w:iCs/>
        </w:rPr>
      </w:pPr>
      <w:r w:rsidRPr="00E57365">
        <w:rPr>
          <w:i/>
          <w:iCs/>
        </w:rPr>
        <w:t>Applicando tali principi alla fattispecie in esame, nella quale gli impianti si trovano su suolo pubblico provinciale, correttamente l’autorizzazione è stata rilasciata dalla Provincia di Pesaro/Urbino ed altrettanto correttamente il Comune, ha richiesto la componente pubblicitaria del Cup, di propria esclusiva spettanza, prevista dalla lettera B del comma 819, escludendo quella relativa all’occupazione. Nella fattispecie non trova applicazione il principio dell’assorbimento, di cui al richiamato comma 820, trattandosi di due soggetti legittimati attivi differenti.”</w:t>
      </w:r>
    </w:p>
    <w:p w14:paraId="4B64C1F5" w14:textId="650D90CC" w:rsidR="00E57365" w:rsidRDefault="00E57365" w:rsidP="00E57365">
      <w:pPr>
        <w:jc w:val="both"/>
      </w:pPr>
      <w:r>
        <w:t xml:space="preserve">In definitiva, </w:t>
      </w:r>
      <w:r w:rsidRPr="00E57365">
        <w:t xml:space="preserve">le occupazioni di suolo pubblico con mezzi pubblicitari su strade provinciali, sia al di fuori dei centri abitati, sia all'interno dei centri abitati di Comuni con popolazione inferiore a diecimila abitanti, </w:t>
      </w:r>
      <w:r>
        <w:t>sono</w:t>
      </w:r>
      <w:r w:rsidRPr="00E57365">
        <w:t xml:space="preserve"> soggette sia al Canone Cup per l'occupazione di suolo pubblico, dovuto alla Provincia o alla Città Metropolitana, sia al Canone Cup per la diffusione dei messaggi pubblicitari, dovuto al Comune, in continuità con i precedenti regimi di tassazione.</w:t>
      </w:r>
    </w:p>
    <w:p w14:paraId="62F3B28A" w14:textId="7371B555" w:rsidR="00656B77" w:rsidRDefault="00656B77" w:rsidP="00F51757">
      <w:pPr>
        <w:jc w:val="both"/>
      </w:pPr>
    </w:p>
    <w:p w14:paraId="0EE4517E" w14:textId="77777777" w:rsidR="00656B77" w:rsidRDefault="00656B77" w:rsidP="00F51757">
      <w:pPr>
        <w:jc w:val="both"/>
      </w:pPr>
    </w:p>
    <w:p w14:paraId="10977E23" w14:textId="22037B87" w:rsidR="00F51757" w:rsidRDefault="00F51757" w:rsidP="00E57365">
      <w:pPr>
        <w:jc w:val="both"/>
      </w:pPr>
    </w:p>
    <w:sectPr w:rsidR="00F5175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A3"/>
    <w:rsid w:val="00060149"/>
    <w:rsid w:val="004A31AB"/>
    <w:rsid w:val="00656B77"/>
    <w:rsid w:val="007B1496"/>
    <w:rsid w:val="00E57365"/>
    <w:rsid w:val="00EA0AA3"/>
    <w:rsid w:val="00F517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C4EB"/>
  <w15:chartTrackingRefBased/>
  <w15:docId w15:val="{DD8911E9-ECA6-47BE-BCD9-59D171C4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A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A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A0AA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A0AA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A0AA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A0AA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A0AA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A0AA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A0AA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A0AA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A0AA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A0AA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A0AA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A0AA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A0AA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A0AA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A0AA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A0AA3"/>
    <w:rPr>
      <w:rFonts w:eastAsiaTheme="majorEastAsia" w:cstheme="majorBidi"/>
      <w:color w:val="272727" w:themeColor="text1" w:themeTint="D8"/>
    </w:rPr>
  </w:style>
  <w:style w:type="paragraph" w:styleId="Titolo">
    <w:name w:val="Title"/>
    <w:basedOn w:val="Normale"/>
    <w:next w:val="Normale"/>
    <w:link w:val="TitoloCarattere"/>
    <w:uiPriority w:val="10"/>
    <w:qFormat/>
    <w:rsid w:val="00EA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A0AA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A0AA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A0AA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A0AA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A0AA3"/>
    <w:rPr>
      <w:i/>
      <w:iCs/>
      <w:color w:val="404040" w:themeColor="text1" w:themeTint="BF"/>
    </w:rPr>
  </w:style>
  <w:style w:type="paragraph" w:styleId="Paragrafoelenco">
    <w:name w:val="List Paragraph"/>
    <w:basedOn w:val="Normale"/>
    <w:uiPriority w:val="34"/>
    <w:qFormat/>
    <w:rsid w:val="00EA0AA3"/>
    <w:pPr>
      <w:ind w:left="720"/>
      <w:contextualSpacing/>
    </w:pPr>
  </w:style>
  <w:style w:type="character" w:styleId="Enfasiintensa">
    <w:name w:val="Intense Emphasis"/>
    <w:basedOn w:val="Carpredefinitoparagrafo"/>
    <w:uiPriority w:val="21"/>
    <w:qFormat/>
    <w:rsid w:val="00EA0AA3"/>
    <w:rPr>
      <w:i/>
      <w:iCs/>
      <w:color w:val="2F5496" w:themeColor="accent1" w:themeShade="BF"/>
    </w:rPr>
  </w:style>
  <w:style w:type="paragraph" w:styleId="Citazioneintensa">
    <w:name w:val="Intense Quote"/>
    <w:basedOn w:val="Normale"/>
    <w:next w:val="Normale"/>
    <w:link w:val="CitazioneintensaCarattere"/>
    <w:uiPriority w:val="30"/>
    <w:qFormat/>
    <w:rsid w:val="00EA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A0AA3"/>
    <w:rPr>
      <w:i/>
      <w:iCs/>
      <w:color w:val="2F5496" w:themeColor="accent1" w:themeShade="BF"/>
    </w:rPr>
  </w:style>
  <w:style w:type="character" w:styleId="Riferimentointenso">
    <w:name w:val="Intense Reference"/>
    <w:basedOn w:val="Carpredefinitoparagrafo"/>
    <w:uiPriority w:val="32"/>
    <w:qFormat/>
    <w:rsid w:val="00EA0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1218</Words>
  <Characters>6948</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2025-05-07T12:58:00Z</dcterms:created>
  <dcterms:modified xsi:type="dcterms:W3CDTF">2025-05-07T13:49:00Z</dcterms:modified>
</cp:coreProperties>
</file>