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C5200" w14:textId="5A8071D4" w:rsidR="00060149" w:rsidRDefault="008F7720">
      <w:r>
        <w:t xml:space="preserve">Titolo: </w:t>
      </w:r>
      <w:r w:rsidR="00495C27" w:rsidRPr="00495C27">
        <w:t>I dati dell'</w:t>
      </w:r>
      <w:r w:rsidR="00495C27">
        <w:t>Os</w:t>
      </w:r>
      <w:r w:rsidR="00495C27" w:rsidRPr="00495C27">
        <w:t>servatorio AGCOM sulla telefonia</w:t>
      </w:r>
      <w:r w:rsidR="00495C27">
        <w:t xml:space="preserve"> </w:t>
      </w:r>
      <w:r w:rsidR="007E5316">
        <w:t>–</w:t>
      </w:r>
      <w:r w:rsidR="00495C27">
        <w:t xml:space="preserve"> </w:t>
      </w:r>
      <w:r w:rsidR="007E5316">
        <w:t>settembre 2024</w:t>
      </w:r>
    </w:p>
    <w:p w14:paraId="1235EF6D" w14:textId="29ED11B4" w:rsidR="008F7720" w:rsidRDefault="008F7720">
      <w:r>
        <w:t>Di Alessandro Merciari</w:t>
      </w:r>
    </w:p>
    <w:p w14:paraId="003E583E" w14:textId="77777777" w:rsidR="008F7720" w:rsidRDefault="008F7720"/>
    <w:p w14:paraId="65FA11D9" w14:textId="3B079886" w:rsidR="008F7720" w:rsidRDefault="00495C27" w:rsidP="00495C27">
      <w:pPr>
        <w:jc w:val="both"/>
      </w:pPr>
      <w:r>
        <w:t xml:space="preserve">Sono stati pubblicati i dati dell’Osservatorio sulle telecomunicazioni di AGCOM riferiti al terzo trimestre 2024. Sono </w:t>
      </w:r>
      <w:r w:rsidR="00D67959">
        <w:t>informazioni</w:t>
      </w:r>
      <w:r>
        <w:t xml:space="preserve"> molto importanti</w:t>
      </w:r>
      <w:r w:rsidR="00D67959">
        <w:t>,</w:t>
      </w:r>
      <w:r>
        <w:t xml:space="preserve"> oltre che per avere un’idea dell’andamento del mercato della telefonia, anche </w:t>
      </w:r>
      <w:proofErr w:type="gramStart"/>
      <w:r>
        <w:t>per  avere</w:t>
      </w:r>
      <w:proofErr w:type="gramEnd"/>
      <w:r>
        <w:t xml:space="preserve"> elementi utili per i controlli da effettuare ai fini del corretto pagamento del Canone per i servizi di rete da parte dei vari operatori che competono sul libero mercato della telefonia.</w:t>
      </w:r>
    </w:p>
    <w:p w14:paraId="427788D3" w14:textId="4065D0C9" w:rsidR="00D67959" w:rsidRDefault="00495C27" w:rsidP="00495C27">
      <w:pPr>
        <w:jc w:val="both"/>
      </w:pPr>
      <w:r>
        <w:t xml:space="preserve">Più volte ci siamo occupati dell’argomento registrando come molte aziende non versano correttamente il canone ritenendosi escluse dal presupposto. Ecco quindi che l’analisi </w:t>
      </w:r>
      <w:r w:rsidR="00D67959">
        <w:t>fornita trimestralmente da ARERA rappresenta uno spunto importante per le attività di Comuni e Province chiamati a verificare il giusto versamento CUP dalle aziende che erogano i servizi di rete nel proprio territorio.</w:t>
      </w:r>
    </w:p>
    <w:p w14:paraId="578B08E4" w14:textId="5E084B02" w:rsidR="00D67959" w:rsidRDefault="00D67959" w:rsidP="00D67959">
      <w:pPr>
        <w:jc w:val="both"/>
      </w:pPr>
      <w:r>
        <w:t>Dall’Osservatorio emerge come a</w:t>
      </w:r>
      <w:r>
        <w:t xml:space="preserve"> fine settembre 2024 nella rete fissa gli accessi complessivi s</w:t>
      </w:r>
      <w:r>
        <w:t>i</w:t>
      </w:r>
      <w:r>
        <w:t xml:space="preserve"> attesta</w:t>
      </w:r>
      <w:r>
        <w:t>no</w:t>
      </w:r>
      <w:r>
        <w:t xml:space="preserve"> intorno ai 20,25 milioni di linee.</w:t>
      </w:r>
      <w:r>
        <w:t xml:space="preserve"> </w:t>
      </w:r>
      <w:r>
        <w:t>Le linee in rame si sono ridotte di circa 150 mila unità su base trimestrale e di 700 mila rispetto al settembre 2023, e nell’ultimo quadriennio sono diminuite di 4,60 milioni di accessi.</w:t>
      </w:r>
    </w:p>
    <w:p w14:paraId="76F846E5" w14:textId="77777777" w:rsidR="00503BA7" w:rsidRDefault="00503BA7" w:rsidP="00503BA7">
      <w:pPr>
        <w:jc w:val="both"/>
      </w:pPr>
      <w:r>
        <w:t xml:space="preserve">Per gli accessi broadband e ultra-broadband, a fine settembre 2024, Tim si conferma il maggiore operatore con il 36,4% degli accessi, seguito da Vodafone con il 16,1% e da Wind Tre e Fastweb rispettivamente con il 14,3% ed il 13,3%; seguono Sky Italia (3,8%), Eolo (3,6%) e Tiscali (3,4%).  </w:t>
      </w:r>
    </w:p>
    <w:p w14:paraId="2DC4C697" w14:textId="77777777" w:rsidR="00503BA7" w:rsidRDefault="00503BA7" w:rsidP="00503BA7">
      <w:pPr>
        <w:jc w:val="both"/>
      </w:pPr>
      <w:r>
        <w:t>È da segnalare che Sky Italia, tra i principali player presenti sul mercato, è quello che ha mostrato, su base annua, il maggiore dinamismo guadagnando 0,6 punti percentuali. In crescita anche il segmento degli operatori di minori dimensioni, che si valuta rappresentino oltre il 9% del mercato.</w:t>
      </w:r>
    </w:p>
    <w:p w14:paraId="689769DD" w14:textId="71034B05" w:rsidR="00503BA7" w:rsidRDefault="00503BA7" w:rsidP="00503BA7">
      <w:pPr>
        <w:jc w:val="both"/>
      </w:pPr>
      <w:r>
        <w:t>Relativamente al segmento delle linee in fibra, Tim detiene il primo posto con il 26,3% del mercato, ed è seguita da Wind Tre (17,2%), Vodafone (17,1%), Fastweb (15,4), Iliad (5,7%) e Sky Italia (5,5%).</w:t>
      </w:r>
    </w:p>
    <w:p w14:paraId="57A05020" w14:textId="46E524CC" w:rsidR="00366868" w:rsidRDefault="00366868" w:rsidP="00503BA7">
      <w:pPr>
        <w:jc w:val="both"/>
      </w:pPr>
      <w:r>
        <w:t xml:space="preserve">Tutti dati utili anche se su scala nazionale, da utilizzare per confrontare le dichiarazioni (e versamenti) fatti dalle singole compagnie in relazione al proprio territorio di competenza. Oltre che da TIM è legittimo aspettarsi versamenti dalle compagnie Vodafone, Wind tre, Fastweb, Sky </w:t>
      </w:r>
      <w:r w:rsidR="00537D59">
        <w:t>Italia</w:t>
      </w:r>
      <w:r>
        <w:t xml:space="preserve"> e Tiscali. Escluso dai controlli la quota di mercato di </w:t>
      </w:r>
      <w:r w:rsidR="00A90195">
        <w:t>E</w:t>
      </w:r>
      <w:r>
        <w:t>olo che non utilizza le reti telefoniche ma il segnale satellitare recepito da apposite parabole.</w:t>
      </w:r>
    </w:p>
    <w:p w14:paraId="6994813C" w14:textId="50B42942" w:rsidR="00366868" w:rsidRDefault="00366868" w:rsidP="00503BA7">
      <w:pPr>
        <w:jc w:val="both"/>
      </w:pPr>
      <w:r>
        <w:t xml:space="preserve">Gli stessi dati che </w:t>
      </w:r>
      <w:r w:rsidR="00A90195">
        <w:t>potranno poi</w:t>
      </w:r>
      <w:r>
        <w:t xml:space="preserve"> essere posti alla base dell’attività di accertamento con liquidazione del canone in via induttiva, seguendo i criteri </w:t>
      </w:r>
      <w:r w:rsidR="00A90195">
        <w:t xml:space="preserve">e le metodologie </w:t>
      </w:r>
      <w:r>
        <w:t>già descritt</w:t>
      </w:r>
      <w:r w:rsidR="00A90195">
        <w:t>e</w:t>
      </w:r>
      <w:r>
        <w:t xml:space="preserve"> nell’e-book “il canone per i servizi di rete” disponibile nello shop on-line del Sole 24 Ore</w:t>
      </w:r>
      <w:r w:rsidR="00A90195">
        <w:t>.</w:t>
      </w:r>
    </w:p>
    <w:sectPr w:rsidR="0036686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3B5"/>
    <w:rsid w:val="00060149"/>
    <w:rsid w:val="00265008"/>
    <w:rsid w:val="00366868"/>
    <w:rsid w:val="003B61CA"/>
    <w:rsid w:val="00495C27"/>
    <w:rsid w:val="00503BA7"/>
    <w:rsid w:val="00537D59"/>
    <w:rsid w:val="007B1496"/>
    <w:rsid w:val="007E5316"/>
    <w:rsid w:val="008F7720"/>
    <w:rsid w:val="00A90195"/>
    <w:rsid w:val="00D67959"/>
    <w:rsid w:val="00F133B5"/>
    <w:rsid w:val="00F5227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3B131"/>
  <w15:chartTrackingRefBased/>
  <w15:docId w15:val="{80B3CF60-5275-4EDF-A6B2-E5AC57621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133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F133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F133B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F133B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F133B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F133B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133B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133B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133B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133B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F133B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F133B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F133B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F133B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F133B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133B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133B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133B5"/>
    <w:rPr>
      <w:rFonts w:eastAsiaTheme="majorEastAsia" w:cstheme="majorBidi"/>
      <w:color w:val="272727" w:themeColor="text1" w:themeTint="D8"/>
    </w:rPr>
  </w:style>
  <w:style w:type="paragraph" w:styleId="Titolo">
    <w:name w:val="Title"/>
    <w:basedOn w:val="Normale"/>
    <w:next w:val="Normale"/>
    <w:link w:val="TitoloCarattere"/>
    <w:uiPriority w:val="10"/>
    <w:qFormat/>
    <w:rsid w:val="00F13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133B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133B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133B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133B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133B5"/>
    <w:rPr>
      <w:i/>
      <w:iCs/>
      <w:color w:val="404040" w:themeColor="text1" w:themeTint="BF"/>
    </w:rPr>
  </w:style>
  <w:style w:type="paragraph" w:styleId="Paragrafoelenco">
    <w:name w:val="List Paragraph"/>
    <w:basedOn w:val="Normale"/>
    <w:uiPriority w:val="34"/>
    <w:qFormat/>
    <w:rsid w:val="00F133B5"/>
    <w:pPr>
      <w:ind w:left="720"/>
      <w:contextualSpacing/>
    </w:pPr>
  </w:style>
  <w:style w:type="character" w:styleId="Enfasiintensa">
    <w:name w:val="Intense Emphasis"/>
    <w:basedOn w:val="Carpredefinitoparagrafo"/>
    <w:uiPriority w:val="21"/>
    <w:qFormat/>
    <w:rsid w:val="00F133B5"/>
    <w:rPr>
      <w:i/>
      <w:iCs/>
      <w:color w:val="2F5496" w:themeColor="accent1" w:themeShade="BF"/>
    </w:rPr>
  </w:style>
  <w:style w:type="paragraph" w:styleId="Citazioneintensa">
    <w:name w:val="Intense Quote"/>
    <w:basedOn w:val="Normale"/>
    <w:next w:val="Normale"/>
    <w:link w:val="CitazioneintensaCarattere"/>
    <w:uiPriority w:val="30"/>
    <w:qFormat/>
    <w:rsid w:val="00F13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F133B5"/>
    <w:rPr>
      <w:i/>
      <w:iCs/>
      <w:color w:val="2F5496" w:themeColor="accent1" w:themeShade="BF"/>
    </w:rPr>
  </w:style>
  <w:style w:type="character" w:styleId="Riferimentointenso">
    <w:name w:val="Intense Reference"/>
    <w:basedOn w:val="Carpredefinitoparagrafo"/>
    <w:uiPriority w:val="32"/>
    <w:qFormat/>
    <w:rsid w:val="00F133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1</Pages>
  <Words>411</Words>
  <Characters>2349</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8</cp:revision>
  <dcterms:created xsi:type="dcterms:W3CDTF">2025-02-06T09:16:00Z</dcterms:created>
  <dcterms:modified xsi:type="dcterms:W3CDTF">2025-02-08T15:18:00Z</dcterms:modified>
</cp:coreProperties>
</file>